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506095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AND EXCHANGE COMMISSION</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Washington, D.C. 20549</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FORM 8-K</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CURRENT REPORT</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231F20"/>
        </w:rPr>
        <w:t>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Date of Report (date of earliest event reported): June 10, 2026</w:t>
      </w:r>
    </w:p>
    <w:p>
      <w:pPr>
        <w:spacing w:after="0" w:line="19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SLM CORPORATION</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165"/>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(Exact name of registrant as specified in its charter)</w:t>
            </w: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80" w:type="dxa"/>
            <w:vAlign w:val="bottom"/>
          </w:tcPr>
          <w:p>
            <w:pPr>
              <w:jc w:val="center"/>
              <w:ind w:right="286"/>
              <w:spacing w:after="0"/>
              <w:rPr>
                <w:sz w:val="20"/>
                <w:szCs w:val="20"/>
                <w:color w:val="auto"/>
              </w:rPr>
            </w:pPr>
            <w:r>
              <w:rPr>
                <w:rFonts w:ascii="Arial" w:cs="Arial" w:eastAsia="Arial" w:hAnsi="Arial"/>
                <w:sz w:val="12"/>
                <w:szCs w:val="12"/>
                <w:b w:val="1"/>
                <w:bCs w:val="1"/>
                <w:color w:val="auto"/>
                <w:w w:val="98"/>
              </w:rPr>
              <w:t>Delaware</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tcPr>
          <w:p>
            <w:pPr>
              <w:jc w:val="right"/>
              <w:ind w:right="1304"/>
              <w:spacing w:after="0"/>
              <w:rPr>
                <w:sz w:val="20"/>
                <w:szCs w:val="20"/>
                <w:color w:val="auto"/>
              </w:rPr>
            </w:pPr>
            <w:r>
              <w:rPr>
                <w:rFonts w:ascii="Arial" w:cs="Arial" w:eastAsia="Arial" w:hAnsi="Arial"/>
                <w:sz w:val="12"/>
                <w:szCs w:val="12"/>
                <w:b w:val="1"/>
                <w:bCs w:val="1"/>
                <w:color w:val="auto"/>
              </w:rPr>
              <w:t>001-13251</w:t>
            </w:r>
          </w:p>
        </w:tc>
        <w:tc>
          <w:tcPr>
            <w:tcW w:w="1240" w:type="dxa"/>
            <w:vAlign w:val="bottom"/>
          </w:tcPr>
          <w:p>
            <w:pPr>
              <w:spacing w:after="0"/>
              <w:rPr>
                <w:sz w:val="16"/>
                <w:szCs w:val="16"/>
                <w:color w:val="auto"/>
              </w:rPr>
            </w:pPr>
          </w:p>
        </w:tc>
        <w:tc>
          <w:tcPr>
            <w:tcW w:w="3740" w:type="dxa"/>
            <w:vAlign w:val="bottom"/>
          </w:tcPr>
          <w:p>
            <w:pPr>
              <w:jc w:val="right"/>
              <w:ind w:right="2526"/>
              <w:spacing w:after="0"/>
              <w:rPr>
                <w:sz w:val="20"/>
                <w:szCs w:val="20"/>
                <w:color w:val="auto"/>
              </w:rPr>
            </w:pPr>
            <w:r>
              <w:rPr>
                <w:rFonts w:ascii="Arial" w:cs="Arial" w:eastAsia="Arial" w:hAnsi="Arial"/>
                <w:sz w:val="12"/>
                <w:szCs w:val="12"/>
                <w:b w:val="1"/>
                <w:bCs w:val="1"/>
                <w:color w:val="auto"/>
              </w:rPr>
              <w:t>52-2013874</w:t>
            </w:r>
          </w:p>
        </w:tc>
        <w:tc>
          <w:tcPr>
            <w:tcW w:w="0" w:type="dxa"/>
            <w:vAlign w:val="bottom"/>
          </w:tcPr>
          <w:p>
            <w:pPr>
              <w:spacing w:after="0"/>
              <w:rPr>
                <w:sz w:val="1"/>
                <w:szCs w:val="1"/>
                <w:color w:val="auto"/>
              </w:rPr>
            </w:pPr>
          </w:p>
        </w:tc>
      </w:tr>
      <w:tr>
        <w:trPr>
          <w:trHeight w:val="131"/>
        </w:trPr>
        <w:tc>
          <w:tcPr>
            <w:tcW w:w="3780" w:type="dxa"/>
            <w:vAlign w:val="bottom"/>
          </w:tcPr>
          <w:p>
            <w:pPr>
              <w:jc w:val="center"/>
              <w:ind w:right="286"/>
              <w:spacing w:after="0"/>
              <w:rPr>
                <w:sz w:val="20"/>
                <w:szCs w:val="20"/>
                <w:color w:val="auto"/>
              </w:rPr>
            </w:pPr>
            <w:r>
              <w:rPr>
                <w:rFonts w:ascii="Arial" w:cs="Arial" w:eastAsia="Arial" w:hAnsi="Arial"/>
                <w:sz w:val="10"/>
                <w:szCs w:val="10"/>
                <w:b w:val="1"/>
                <w:bCs w:val="1"/>
                <w:color w:val="auto"/>
                <w:w w:val="96"/>
              </w:rPr>
              <w:t>(State or other jurisdiction of incorporation or organization)</w:t>
            </w:r>
          </w:p>
        </w:tc>
        <w:tc>
          <w:tcPr>
            <w:tcW w:w="120" w:type="dxa"/>
            <w:vAlign w:val="bottom"/>
          </w:tcPr>
          <w:p>
            <w:pPr>
              <w:spacing w:after="0"/>
              <w:rPr>
                <w:sz w:val="11"/>
                <w:szCs w:val="11"/>
                <w:color w:val="auto"/>
              </w:rPr>
            </w:pPr>
          </w:p>
        </w:tc>
        <w:tc>
          <w:tcPr>
            <w:tcW w:w="3600" w:type="dxa"/>
            <w:vAlign w:val="bottom"/>
            <w:gridSpan w:val="3"/>
          </w:tcPr>
          <w:p>
            <w:pPr>
              <w:jc w:val="center"/>
              <w:ind w:right="2140"/>
              <w:spacing w:after="0"/>
              <w:rPr>
                <w:sz w:val="20"/>
                <w:szCs w:val="20"/>
                <w:color w:val="auto"/>
              </w:rPr>
            </w:pPr>
            <w:r>
              <w:rPr>
                <w:rFonts w:ascii="Arial" w:cs="Arial" w:eastAsia="Arial" w:hAnsi="Arial"/>
                <w:sz w:val="10"/>
                <w:szCs w:val="10"/>
                <w:b w:val="1"/>
                <w:bCs w:val="1"/>
                <w:color w:val="auto"/>
                <w:w w:val="95"/>
              </w:rPr>
              <w:t>(Commission File Number)</w:t>
            </w:r>
          </w:p>
        </w:tc>
        <w:tc>
          <w:tcPr>
            <w:tcW w:w="3740" w:type="dxa"/>
            <w:vAlign w:val="bottom"/>
          </w:tcPr>
          <w:p>
            <w:pPr>
              <w:jc w:val="center"/>
              <w:ind w:right="1986"/>
              <w:spacing w:after="0"/>
              <w:rPr>
                <w:sz w:val="20"/>
                <w:szCs w:val="20"/>
                <w:color w:val="auto"/>
              </w:rPr>
            </w:pPr>
            <w:r>
              <w:rPr>
                <w:rFonts w:ascii="Arial" w:cs="Arial" w:eastAsia="Arial" w:hAnsi="Arial"/>
                <w:sz w:val="10"/>
                <w:szCs w:val="10"/>
                <w:b w:val="1"/>
                <w:bCs w:val="1"/>
                <w:color w:val="auto"/>
                <w:w w:val="96"/>
              </w:rPr>
              <w:t>(I.R.S. Employer Identification No.)</w:t>
            </w:r>
          </w:p>
        </w:tc>
        <w:tc>
          <w:tcPr>
            <w:tcW w:w="0" w:type="dxa"/>
            <w:vAlign w:val="bottom"/>
          </w:tcPr>
          <w:p>
            <w:pPr>
              <w:spacing w:after="0"/>
              <w:rPr>
                <w:sz w:val="1"/>
                <w:szCs w:val="1"/>
                <w:color w:val="auto"/>
              </w:rPr>
            </w:pPr>
          </w:p>
        </w:tc>
      </w:tr>
      <w:tr>
        <w:trPr>
          <w:trHeight w:val="352"/>
        </w:trPr>
        <w:tc>
          <w:tcPr>
            <w:tcW w:w="3780" w:type="dxa"/>
            <w:vAlign w:val="bottom"/>
          </w:tcPr>
          <w:p>
            <w:pPr>
              <w:jc w:val="center"/>
              <w:ind w:right="266"/>
              <w:spacing w:after="0"/>
              <w:rPr>
                <w:sz w:val="20"/>
                <w:szCs w:val="20"/>
                <w:color w:val="auto"/>
              </w:rPr>
            </w:pPr>
            <w:r>
              <w:rPr>
                <w:rFonts w:ascii="Arial" w:cs="Arial" w:eastAsia="Arial" w:hAnsi="Arial"/>
                <w:sz w:val="12"/>
                <w:szCs w:val="12"/>
                <w:b w:val="1"/>
                <w:bCs w:val="1"/>
                <w:color w:val="auto"/>
                <w:w w:val="99"/>
              </w:rPr>
              <w:t>300 Continental Drive</w:t>
            </w: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Newark,</w:t>
            </w:r>
          </w:p>
        </w:tc>
        <w:tc>
          <w:tcPr>
            <w:tcW w:w="3200" w:type="dxa"/>
            <w:vAlign w:val="bottom"/>
            <w:gridSpan w:val="2"/>
          </w:tcPr>
          <w:p>
            <w:pPr>
              <w:ind w:left="620"/>
              <w:spacing w:after="0"/>
              <w:rPr>
                <w:sz w:val="20"/>
                <w:szCs w:val="20"/>
                <w:color w:val="auto"/>
              </w:rPr>
            </w:pPr>
            <w:r>
              <w:rPr>
                <w:rFonts w:ascii="Arial" w:cs="Arial" w:eastAsia="Arial" w:hAnsi="Arial"/>
                <w:sz w:val="12"/>
                <w:szCs w:val="12"/>
                <w:b w:val="1"/>
                <w:bCs w:val="1"/>
                <w:color w:val="auto"/>
              </w:rPr>
              <w:t>Delaware</w:t>
            </w:r>
          </w:p>
        </w:tc>
        <w:tc>
          <w:tcPr>
            <w:tcW w:w="3740" w:type="dxa"/>
            <w:vAlign w:val="bottom"/>
          </w:tcPr>
          <w:p>
            <w:pPr>
              <w:jc w:val="right"/>
              <w:ind w:right="2666"/>
              <w:spacing w:after="0"/>
              <w:rPr>
                <w:sz w:val="20"/>
                <w:szCs w:val="20"/>
                <w:color w:val="auto"/>
              </w:rPr>
            </w:pPr>
            <w:r>
              <w:rPr>
                <w:rFonts w:ascii="Arial" w:cs="Arial" w:eastAsia="Arial" w:hAnsi="Arial"/>
                <w:sz w:val="12"/>
                <w:szCs w:val="12"/>
                <w:b w:val="1"/>
                <w:bCs w:val="1"/>
                <w:color w:val="auto"/>
              </w:rPr>
              <w:t>19713</w:t>
            </w:r>
          </w:p>
        </w:tc>
        <w:tc>
          <w:tcPr>
            <w:tcW w:w="0" w:type="dxa"/>
            <w:vAlign w:val="bottom"/>
          </w:tcPr>
          <w:p>
            <w:pPr>
              <w:spacing w:after="0"/>
              <w:rPr>
                <w:sz w:val="1"/>
                <w:szCs w:val="1"/>
                <w:color w:val="auto"/>
              </w:rPr>
            </w:pPr>
          </w:p>
        </w:tc>
      </w:tr>
      <w:tr>
        <w:trPr>
          <w:trHeight w:val="143"/>
        </w:trPr>
        <w:tc>
          <w:tcPr>
            <w:tcW w:w="3780" w:type="dxa"/>
            <w:vAlign w:val="bottom"/>
          </w:tcPr>
          <w:p>
            <w:pPr>
              <w:ind w:left="2000"/>
              <w:spacing w:after="0"/>
              <w:rPr>
                <w:sz w:val="20"/>
                <w:szCs w:val="20"/>
                <w:color w:val="auto"/>
              </w:rPr>
            </w:pPr>
            <w:r>
              <w:rPr>
                <w:rFonts w:ascii="Arial" w:cs="Arial" w:eastAsia="Arial" w:hAnsi="Arial"/>
                <w:sz w:val="10"/>
                <w:szCs w:val="10"/>
                <w:b w:val="1"/>
                <w:bCs w:val="1"/>
                <w:color w:val="auto"/>
                <w:w w:val="94"/>
              </w:rPr>
              <w:t>(Address of principal executive offices)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740" w:type="dxa"/>
            <w:vAlign w:val="bottom"/>
          </w:tcPr>
          <w:p>
            <w:pPr>
              <w:jc w:val="center"/>
              <w:ind w:right="1986"/>
              <w:spacing w:after="0"/>
              <w:rPr>
                <w:sz w:val="20"/>
                <w:szCs w:val="20"/>
                <w:color w:val="auto"/>
              </w:rPr>
            </w:pPr>
            <w:r>
              <w:rPr>
                <w:rFonts w:ascii="Arial" w:cs="Arial" w:eastAsia="Arial" w:hAnsi="Arial"/>
                <w:sz w:val="10"/>
                <w:szCs w:val="10"/>
                <w:b w:val="1"/>
                <w:bCs w:val="1"/>
                <w:color w:val="auto"/>
                <w:w w:val="92"/>
              </w:rPr>
              <w:t>(Zip Code)</w:t>
            </w:r>
          </w:p>
        </w:tc>
        <w:tc>
          <w:tcPr>
            <w:tcW w:w="0" w:type="dxa"/>
            <w:vAlign w:val="bottom"/>
          </w:tcPr>
          <w:p>
            <w:pPr>
              <w:spacing w:after="0"/>
              <w:rPr>
                <w:sz w:val="1"/>
                <w:szCs w:val="1"/>
                <w:color w:val="auto"/>
              </w:rPr>
            </w:pPr>
          </w:p>
        </w:tc>
      </w:tr>
      <w:tr>
        <w:trPr>
          <w:trHeight w:val="379"/>
        </w:trPr>
        <w:tc>
          <w:tcPr>
            <w:tcW w:w="3780" w:type="dxa"/>
            <w:vAlign w:val="bottom"/>
          </w:tcPr>
          <w:p>
            <w:pPr>
              <w:spacing w:after="0"/>
              <w:rPr>
                <w:sz w:val="24"/>
                <w:szCs w:val="24"/>
                <w:color w:val="auto"/>
              </w:rPr>
            </w:pPr>
          </w:p>
        </w:tc>
        <w:tc>
          <w:tcPr>
            <w:tcW w:w="3720" w:type="dxa"/>
            <w:vAlign w:val="bottom"/>
            <w:gridSpan w:val="4"/>
          </w:tcPr>
          <w:p>
            <w:pPr>
              <w:jc w:val="center"/>
              <w:spacing w:after="0"/>
              <w:rPr>
                <w:sz w:val="20"/>
                <w:szCs w:val="20"/>
                <w:color w:val="auto"/>
              </w:rPr>
            </w:pPr>
            <w:r>
              <w:rPr>
                <w:rFonts w:ascii="Arial" w:cs="Arial" w:eastAsia="Arial" w:hAnsi="Arial"/>
                <w:sz w:val="12"/>
                <w:szCs w:val="12"/>
                <w:color w:val="auto"/>
                <w:w w:val="99"/>
              </w:rPr>
              <w:t xml:space="preserve">Registrant's telephone number, including area code: </w:t>
            </w:r>
            <w:r>
              <w:rPr>
                <w:rFonts w:ascii="Arial" w:cs="Arial" w:eastAsia="Arial" w:hAnsi="Arial"/>
                <w:sz w:val="12"/>
                <w:szCs w:val="12"/>
                <w:b w:val="1"/>
                <w:bCs w:val="1"/>
                <w:color w:val="auto"/>
                <w:w w:val="99"/>
              </w:rPr>
              <w:t>(302) 451-4911</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5"/>
              </w:rPr>
              <w:t>(Former name or former address, if changed since last report)</w:t>
            </w:r>
          </w:p>
        </w:tc>
        <w:tc>
          <w:tcPr>
            <w:tcW w:w="3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37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780" w:type="dxa"/>
            <w:vAlign w:val="bottom"/>
            <w:tcBorders>
              <w:left w:val="single" w:sz="8" w:color="auto"/>
              <w:bottom w:val="single" w:sz="8" w:color="auto"/>
            </w:tcBorders>
          </w:tcPr>
          <w:p>
            <w:pPr>
              <w:jc w:val="center"/>
              <w:ind w:left="26"/>
              <w:spacing w:after="0"/>
              <w:rPr>
                <w:sz w:val="20"/>
                <w:szCs w:val="20"/>
                <w:color w:val="auto"/>
              </w:rPr>
            </w:pPr>
            <w:r>
              <w:rPr>
                <w:rFonts w:ascii="Arial" w:cs="Arial" w:eastAsia="Arial" w:hAnsi="Arial"/>
                <w:sz w:val="11"/>
                <w:szCs w:val="11"/>
                <w:color w:val="auto"/>
                <w:w w:val="97"/>
              </w:rPr>
              <w:t>Title of each class</w:t>
            </w:r>
          </w:p>
        </w:tc>
        <w:tc>
          <w:tcPr>
            <w:tcW w:w="12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jc w:val="center"/>
              <w:ind w:right="384"/>
              <w:spacing w:after="0"/>
              <w:rPr>
                <w:sz w:val="20"/>
                <w:szCs w:val="20"/>
                <w:color w:val="auto"/>
              </w:rPr>
            </w:pPr>
            <w:r>
              <w:rPr>
                <w:rFonts w:ascii="Arial" w:cs="Arial" w:eastAsia="Arial" w:hAnsi="Arial"/>
                <w:sz w:val="11"/>
                <w:szCs w:val="11"/>
                <w:color w:val="auto"/>
                <w:w w:val="97"/>
              </w:rPr>
              <w:t>Trading Symbol(s)</w:t>
            </w:r>
          </w:p>
        </w:tc>
        <w:tc>
          <w:tcPr>
            <w:tcW w:w="1240" w:type="dxa"/>
            <w:vAlign w:val="bottom"/>
            <w:tcBorders>
              <w:bottom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jc w:val="center"/>
              <w:ind w:right="1206"/>
              <w:spacing w:after="0"/>
              <w:rPr>
                <w:sz w:val="20"/>
                <w:szCs w:val="20"/>
                <w:color w:val="auto"/>
              </w:rPr>
            </w:pPr>
            <w:r>
              <w:rPr>
                <w:rFonts w:ascii="Arial" w:cs="Arial" w:eastAsia="Arial" w:hAnsi="Arial"/>
                <w:sz w:val="11"/>
                <w:szCs w:val="11"/>
                <w:color w:val="auto"/>
                <w:w w:val="97"/>
              </w:rPr>
              <w:t>Name of each exchange on which registered</w:t>
            </w:r>
          </w:p>
        </w:tc>
        <w:tc>
          <w:tcPr>
            <w:tcW w:w="0" w:type="dxa"/>
            <w:vAlign w:val="bottom"/>
          </w:tcPr>
          <w:p>
            <w:pPr>
              <w:spacing w:after="0"/>
              <w:rPr>
                <w:sz w:val="1"/>
                <w:szCs w:val="1"/>
                <w:color w:val="auto"/>
              </w:rPr>
            </w:pPr>
          </w:p>
        </w:tc>
      </w:tr>
      <w:tr>
        <w:trPr>
          <w:trHeight w:val="133"/>
        </w:trPr>
        <w:tc>
          <w:tcPr>
            <w:tcW w:w="3780" w:type="dxa"/>
            <w:vAlign w:val="bottom"/>
            <w:tcBorders>
              <w:left w:val="single" w:sz="8" w:color="auto"/>
              <w:bottom w:val="single" w:sz="8" w:color="auto"/>
            </w:tcBorders>
          </w:tcPr>
          <w:p>
            <w:pPr>
              <w:jc w:val="center"/>
              <w:ind w:left="46"/>
              <w:spacing w:after="0"/>
              <w:rPr>
                <w:sz w:val="20"/>
                <w:szCs w:val="20"/>
                <w:color w:val="auto"/>
              </w:rPr>
            </w:pPr>
            <w:r>
              <w:rPr>
                <w:rFonts w:ascii="Arial" w:cs="Arial" w:eastAsia="Arial" w:hAnsi="Arial"/>
                <w:sz w:val="11"/>
                <w:szCs w:val="11"/>
                <w:color w:val="auto"/>
                <w:w w:val="98"/>
              </w:rPr>
              <w:t>Common stock, par value $.20 per share</w:t>
            </w:r>
          </w:p>
        </w:tc>
        <w:tc>
          <w:tcPr>
            <w:tcW w:w="12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jc w:val="center"/>
              <w:ind w:right="364"/>
              <w:spacing w:after="0"/>
              <w:rPr>
                <w:sz w:val="20"/>
                <w:szCs w:val="20"/>
                <w:color w:val="auto"/>
              </w:rPr>
            </w:pPr>
            <w:r>
              <w:rPr>
                <w:rFonts w:ascii="Arial" w:cs="Arial" w:eastAsia="Arial" w:hAnsi="Arial"/>
                <w:sz w:val="11"/>
                <w:szCs w:val="11"/>
                <w:color w:val="auto"/>
                <w:w w:val="97"/>
              </w:rPr>
              <w:t>SLM</w:t>
            </w:r>
          </w:p>
        </w:tc>
        <w:tc>
          <w:tcPr>
            <w:tcW w:w="1240" w:type="dxa"/>
            <w:vAlign w:val="bottom"/>
            <w:tcBorders>
              <w:bottom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jc w:val="center"/>
              <w:ind w:right="1206"/>
              <w:spacing w:after="0"/>
              <w:rPr>
                <w:sz w:val="20"/>
                <w:szCs w:val="20"/>
                <w:color w:val="auto"/>
              </w:rPr>
            </w:pPr>
            <w:r>
              <w:rPr>
                <w:rFonts w:ascii="Arial" w:cs="Arial" w:eastAsia="Arial" w:hAnsi="Arial"/>
                <w:sz w:val="11"/>
                <w:szCs w:val="11"/>
                <w:color w:val="auto"/>
                <w:w w:val="99"/>
              </w:rPr>
              <w:t>The NASDAQ Global Select Market</w:t>
            </w:r>
          </w:p>
        </w:tc>
        <w:tc>
          <w:tcPr>
            <w:tcW w:w="0" w:type="dxa"/>
            <w:vAlign w:val="bottom"/>
          </w:tcPr>
          <w:p>
            <w:pPr>
              <w:spacing w:after="0"/>
              <w:rPr>
                <w:sz w:val="1"/>
                <w:szCs w:val="1"/>
                <w:color w:val="auto"/>
              </w:rPr>
            </w:pPr>
          </w:p>
        </w:tc>
      </w:tr>
      <w:tr>
        <w:trPr>
          <w:trHeight w:val="98"/>
        </w:trPr>
        <w:tc>
          <w:tcPr>
            <w:tcW w:w="3780" w:type="dxa"/>
            <w:vAlign w:val="bottom"/>
            <w:tcBorders>
              <w:left w:val="single" w:sz="8" w:color="auto"/>
            </w:tcBorders>
          </w:tcPr>
          <w:p>
            <w:pPr>
              <w:jc w:val="center"/>
              <w:ind w:left="26"/>
              <w:spacing w:after="0" w:line="99" w:lineRule="exact"/>
              <w:rPr>
                <w:sz w:val="20"/>
                <w:szCs w:val="20"/>
                <w:color w:val="auto"/>
              </w:rPr>
            </w:pPr>
            <w:r>
              <w:rPr>
                <w:rFonts w:ascii="Arial" w:cs="Arial" w:eastAsia="Arial" w:hAnsi="Arial"/>
                <w:sz w:val="11"/>
                <w:szCs w:val="11"/>
                <w:color w:val="auto"/>
                <w:w w:val="98"/>
              </w:rPr>
              <w:t>Floating Rate Non-Cumulative Preferred Stock, Series B, par value $.20 per</w:t>
            </w:r>
          </w:p>
        </w:tc>
        <w:tc>
          <w:tcPr>
            <w:tcW w:w="12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960" w:type="dxa"/>
            <w:vAlign w:val="bottom"/>
            <w:tcBorders>
              <w:right w:val="single" w:sz="8" w:color="auto"/>
            </w:tcBorders>
            <w:vMerge w:val="restart"/>
          </w:tcPr>
          <w:p>
            <w:pPr>
              <w:jc w:val="center"/>
              <w:ind w:right="384"/>
              <w:spacing w:after="0"/>
              <w:rPr>
                <w:sz w:val="20"/>
                <w:szCs w:val="20"/>
                <w:color w:val="auto"/>
              </w:rPr>
            </w:pPr>
            <w:r>
              <w:rPr>
                <w:rFonts w:ascii="Arial" w:cs="Arial" w:eastAsia="Arial" w:hAnsi="Arial"/>
                <w:sz w:val="11"/>
                <w:szCs w:val="11"/>
                <w:color w:val="auto"/>
                <w:w w:val="96"/>
              </w:rPr>
              <w:t>SLMBP</w:t>
            </w:r>
          </w:p>
        </w:tc>
        <w:tc>
          <w:tcPr>
            <w:tcW w:w="1240" w:type="dxa"/>
            <w:vAlign w:val="bottom"/>
          </w:tcPr>
          <w:p>
            <w:pPr>
              <w:spacing w:after="0"/>
              <w:rPr>
                <w:sz w:val="8"/>
                <w:szCs w:val="8"/>
                <w:color w:val="auto"/>
              </w:rPr>
            </w:pPr>
          </w:p>
        </w:tc>
        <w:tc>
          <w:tcPr>
            <w:tcW w:w="3740" w:type="dxa"/>
            <w:vAlign w:val="bottom"/>
            <w:tcBorders>
              <w:right w:val="single" w:sz="8" w:color="auto"/>
            </w:tcBorders>
            <w:vMerge w:val="restart"/>
          </w:tcPr>
          <w:p>
            <w:pPr>
              <w:jc w:val="center"/>
              <w:ind w:right="1206"/>
              <w:spacing w:after="0"/>
              <w:rPr>
                <w:sz w:val="20"/>
                <w:szCs w:val="20"/>
                <w:color w:val="auto"/>
              </w:rPr>
            </w:pPr>
            <w:r>
              <w:rPr>
                <w:rFonts w:ascii="Arial" w:cs="Arial" w:eastAsia="Arial" w:hAnsi="Arial"/>
                <w:sz w:val="11"/>
                <w:szCs w:val="11"/>
                <w:color w:val="auto"/>
                <w:w w:val="99"/>
              </w:rPr>
              <w:t>The NASDAQ Global Select Market</w:t>
            </w:r>
          </w:p>
        </w:tc>
        <w:tc>
          <w:tcPr>
            <w:tcW w:w="0" w:type="dxa"/>
            <w:vAlign w:val="bottom"/>
          </w:tcPr>
          <w:p>
            <w:pPr>
              <w:spacing w:after="0"/>
              <w:rPr>
                <w:sz w:val="1"/>
                <w:szCs w:val="1"/>
                <w:color w:val="auto"/>
              </w:rPr>
            </w:pPr>
          </w:p>
        </w:tc>
      </w:tr>
      <w:tr>
        <w:trPr>
          <w:trHeight w:val="88"/>
        </w:trPr>
        <w:tc>
          <w:tcPr>
            <w:tcW w:w="3780" w:type="dxa"/>
            <w:vAlign w:val="bottom"/>
            <w:tcBorders>
              <w:left w:val="single" w:sz="8" w:color="auto"/>
            </w:tcBorders>
            <w:vMerge w:val="restart"/>
          </w:tcPr>
          <w:p>
            <w:pPr>
              <w:jc w:val="center"/>
              <w:ind w:left="46"/>
              <w:spacing w:after="0"/>
              <w:rPr>
                <w:sz w:val="20"/>
                <w:szCs w:val="20"/>
                <w:color w:val="auto"/>
              </w:rPr>
            </w:pPr>
            <w:r>
              <w:rPr>
                <w:rFonts w:ascii="Arial" w:cs="Arial" w:eastAsia="Arial" w:hAnsi="Arial"/>
                <w:sz w:val="11"/>
                <w:szCs w:val="11"/>
                <w:color w:val="auto"/>
              </w:rPr>
              <w:t>share</w:t>
            </w:r>
          </w:p>
        </w:tc>
        <w:tc>
          <w:tcPr>
            <w:tcW w:w="12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240" w:type="dxa"/>
            <w:vAlign w:val="bottom"/>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3780" w:type="dxa"/>
            <w:vAlign w:val="bottom"/>
            <w:tcBorders>
              <w:left w:val="single" w:sz="8" w:color="auto"/>
              <w:bottom w:val="single" w:sz="8" w:color="auto"/>
            </w:tcBorders>
            <w:vMerge w:val="continue"/>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6"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40" w:hanging="121"/>
        <w:spacing w:after="0"/>
        <w:tabs>
          <w:tab w:leader="none" w:pos="14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197" w:lineRule="exact"/>
        <w:rPr>
          <w:rFonts w:ascii="MS PGothic" w:cs="MS PGothic" w:eastAsia="MS PGothic" w:hAnsi="MS PGothic"/>
          <w:sz w:val="11"/>
          <w:szCs w:val="11"/>
          <w:color w:val="auto"/>
        </w:rPr>
      </w:pPr>
    </w:p>
    <w:p>
      <w:pPr>
        <w:ind w:left="140" w:hanging="121"/>
        <w:spacing w:after="0"/>
        <w:tabs>
          <w:tab w:leader="none" w:pos="14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231F20"/>
        </w:rPr>
        <w:t>Soliciting material pursuant to Rule 14a-12 under the Exchange Act (17 CFR 240.14a-12)</w:t>
      </w:r>
    </w:p>
    <w:p>
      <w:pPr>
        <w:spacing w:after="0" w:line="170" w:lineRule="exact"/>
        <w:rPr>
          <w:rFonts w:ascii="MS PGothic" w:cs="MS PGothic" w:eastAsia="MS PGothic" w:hAnsi="MS PGothic"/>
          <w:sz w:val="11"/>
          <w:szCs w:val="11"/>
          <w:color w:val="auto"/>
        </w:rPr>
      </w:pPr>
    </w:p>
    <w:p>
      <w:pPr>
        <w:ind w:left="140" w:hanging="121"/>
        <w:spacing w:after="0"/>
        <w:tabs>
          <w:tab w:leader="none" w:pos="14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231F20"/>
        </w:rPr>
        <w:t>Pre-commencement communications pursuant to Rule 14d-2(b) under the Exchange Act (17 CFR 240.14d-2(b))</w:t>
      </w:r>
    </w:p>
    <w:p>
      <w:pPr>
        <w:spacing w:after="0" w:line="179" w:lineRule="exact"/>
        <w:rPr>
          <w:rFonts w:ascii="MS PGothic" w:cs="MS PGothic" w:eastAsia="MS PGothic" w:hAnsi="MS PGothic"/>
          <w:sz w:val="11"/>
          <w:szCs w:val="11"/>
          <w:color w:val="auto"/>
        </w:rPr>
      </w:pPr>
    </w:p>
    <w:p>
      <w:pPr>
        <w:ind w:left="140" w:hanging="121"/>
        <w:spacing w:after="0"/>
        <w:tabs>
          <w:tab w:leader="none" w:pos="14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231F20"/>
        </w:rPr>
        <w:t>Pre-commencement communications pursuant to Rule 13e-4(c) under the Exchange Act (17 CFR 240.13e-4(c))</w:t>
      </w:r>
    </w:p>
    <w:p>
      <w:pPr>
        <w:spacing w:after="0" w:line="342" w:lineRule="exact"/>
        <w:rPr>
          <w:sz w:val="24"/>
          <w:szCs w:val="24"/>
          <w:color w:val="auto"/>
        </w:rPr>
      </w:pPr>
    </w:p>
    <w:p>
      <w:pPr>
        <w:ind w:right="260"/>
        <w:spacing w:after="0" w:line="244"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7" w:lineRule="exact"/>
        <w:rPr>
          <w:sz w:val="20"/>
          <w:szCs w:val="20"/>
          <w:color w:val="auto"/>
        </w:rPr>
      </w:pPr>
      <w:r>
        <w:rPr>
          <w:rFonts w:ascii="Arial" w:cs="Arial" w:eastAsia="Arial" w:hAnsi="Arial"/>
          <w:sz w:val="11"/>
          <w:szCs w:val="11"/>
          <w:color w:val="231F20"/>
        </w:rPr>
        <w:t xml:space="preserve">Emerging growth company </w:t>
      </w:r>
      <w:r>
        <w:rPr>
          <w:rFonts w:ascii="MS PGothic" w:cs="MS PGothic" w:eastAsia="MS PGothic" w:hAnsi="MS PGothic"/>
          <w:sz w:val="11"/>
          <w:szCs w:val="11"/>
          <w:color w:val="000000"/>
        </w:rPr>
        <w:t>☐</w:t>
      </w:r>
    </w:p>
    <w:p>
      <w:pPr>
        <w:spacing w:after="0" w:line="174" w:lineRule="exact"/>
        <w:rPr>
          <w:sz w:val="24"/>
          <w:szCs w:val="24"/>
          <w:color w:val="auto"/>
        </w:rPr>
      </w:pPr>
    </w:p>
    <w:p>
      <w:pPr>
        <w:spacing w:after="0" w:line="153"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541655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34290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908" w:right="359" w:bottom="1440" w:gutter="0" w:footer="0" w:header="0"/>
        </w:sectPr>
      </w:pPr>
    </w:p>
    <w:bookmarkStart w:id="1" w:name="page2"/>
    <w:bookmarkEnd w:id="1"/>
    <w:p>
      <w:pPr>
        <w:spacing w:after="0"/>
        <w:tabs>
          <w:tab w:leader="none" w:pos="720" w:val="left"/>
        </w:tabs>
        <w:rPr>
          <w:sz w:val="20"/>
          <w:szCs w:val="20"/>
          <w:color w:val="auto"/>
        </w:rPr>
      </w:pPr>
      <w:r>
        <w:rPr>
          <w:rFonts w:ascii="Arial" w:cs="Arial" w:eastAsia="Arial" w:hAnsi="Arial"/>
          <w:sz w:val="13"/>
          <w:szCs w:val="13"/>
          <w:b w:val="1"/>
          <w:bCs w:val="1"/>
          <w:color w:val="auto"/>
        </w:rPr>
        <w:t>ITEM 7.01</w:t>
        <w:tab/>
        <w:t>REGULATION FD DISCLOSURE.</w:t>
      </w:r>
    </w:p>
    <w:p>
      <w:pPr>
        <w:spacing w:after="0" w:line="176" w:lineRule="exact"/>
        <w:rPr>
          <w:sz w:val="20"/>
          <w:szCs w:val="20"/>
          <w:color w:val="auto"/>
        </w:rPr>
      </w:pPr>
    </w:p>
    <w:p>
      <w:pPr>
        <w:ind w:right="140"/>
        <w:spacing w:after="0" w:line="334" w:lineRule="auto"/>
        <w:rPr>
          <w:sz w:val="20"/>
          <w:szCs w:val="20"/>
          <w:color w:val="auto"/>
        </w:rPr>
      </w:pPr>
      <w:r>
        <w:rPr>
          <w:rFonts w:ascii="Arial" w:cs="Arial" w:eastAsia="Arial" w:hAnsi="Arial"/>
          <w:sz w:val="11"/>
          <w:szCs w:val="11"/>
          <w:color w:val="auto"/>
        </w:rPr>
        <w:t>SLM Corporation (the “Company”) has posted to its website at https://www.salliemae.com/investors/webcasts-and-presentations/, and furnished herewith as Exhibit 99.1, a presentation containing certain information and updates that Pete Graham, Co-President and Chief Financial Officer of the Company, will speak to at the previously announced Morgan Stanley U.S. Financials Conference on June 10, 2026.</w:t>
      </w:r>
    </w:p>
    <w:p>
      <w:pPr>
        <w:spacing w:after="0" w:line="98" w:lineRule="exact"/>
        <w:rPr>
          <w:sz w:val="20"/>
          <w:szCs w:val="20"/>
          <w:color w:val="auto"/>
        </w:rPr>
      </w:pPr>
    </w:p>
    <w:p>
      <w:pPr>
        <w:spacing w:after="0" w:line="303" w:lineRule="auto"/>
        <w:rPr>
          <w:sz w:val="20"/>
          <w:szCs w:val="20"/>
          <w:color w:val="auto"/>
        </w:rPr>
      </w:pPr>
      <w:r>
        <w:rPr>
          <w:rFonts w:ascii="Arial" w:cs="Arial" w:eastAsia="Arial" w:hAnsi="Arial"/>
          <w:sz w:val="11"/>
          <w:szCs w:val="11"/>
          <w:color w:val="auto"/>
        </w:rPr>
        <w:t>The information in this Item 7.01, including Exhibit 99.1 attached hereto and incorporated by reference herein, is being furnished and shall not be deemed "filed" for purposes of Section 18 of the Securities Exchange Act of 1934, as amended, or otherwise subject to the liabilities of that Section. Furthermore, such information, including such Exhibit, shall not be deemed incorporated by reference into any of the Company’s registration statements, reports, or other filings with the Securities and Exchange Commission, except as expressly set forth by specific reference in such registration statement, report, or other filing.</w:t>
      </w:r>
    </w:p>
    <w:p>
      <w:pPr>
        <w:spacing w:after="0" w:line="275" w:lineRule="exact"/>
        <w:rPr>
          <w:sz w:val="20"/>
          <w:szCs w:val="20"/>
          <w:color w:val="auto"/>
        </w:rPr>
      </w:pPr>
    </w:p>
    <w:p>
      <w:pPr>
        <w:spacing w:after="0"/>
        <w:tabs>
          <w:tab w:leader="none" w:pos="720" w:val="left"/>
        </w:tabs>
        <w:rPr>
          <w:sz w:val="20"/>
          <w:szCs w:val="20"/>
          <w:color w:val="auto"/>
        </w:rPr>
      </w:pPr>
      <w:r>
        <w:rPr>
          <w:rFonts w:ascii="Arial" w:cs="Arial" w:eastAsia="Arial" w:hAnsi="Arial"/>
          <w:sz w:val="13"/>
          <w:szCs w:val="13"/>
          <w:b w:val="1"/>
          <w:bCs w:val="1"/>
          <w:color w:val="auto"/>
        </w:rPr>
        <w:t>ITEM 9.01</w:t>
        <w:tab/>
        <w:t>FINANCIAL STATEMENTS AND EXHIBITS.</w:t>
      </w: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Exhibit</w:t>
      </w:r>
    </w:p>
    <w:p>
      <w:pPr>
        <w:spacing w:after="0" w:line="10" w:lineRule="exact"/>
        <w:rPr>
          <w:sz w:val="20"/>
          <w:szCs w:val="20"/>
          <w:color w:val="auto"/>
        </w:rPr>
      </w:pPr>
    </w:p>
    <w:p>
      <w:pPr>
        <w:ind w:left="380"/>
        <w:spacing w:after="0"/>
        <w:tabs>
          <w:tab w:leader="none" w:pos="1760" w:val="left"/>
        </w:tabs>
        <w:rPr>
          <w:sz w:val="20"/>
          <w:szCs w:val="20"/>
          <w:color w:val="auto"/>
        </w:rPr>
      </w:pPr>
      <w:r>
        <w:rPr>
          <w:rFonts w:ascii="Arial" w:cs="Arial" w:eastAsia="Arial" w:hAnsi="Arial"/>
          <w:sz w:val="11"/>
          <w:szCs w:val="11"/>
          <w:u w:val="single" w:color="auto"/>
          <w:color w:val="auto"/>
        </w:rPr>
        <w:t>Number</w:t>
      </w:r>
      <w:r>
        <w:rPr>
          <w:sz w:val="20"/>
          <w:szCs w:val="20"/>
          <w:color w:val="auto"/>
        </w:rPr>
        <w:tab/>
      </w:r>
      <w:r>
        <w:rPr>
          <w:rFonts w:ascii="Arial" w:cs="Arial" w:eastAsia="Arial" w:hAnsi="Arial"/>
          <w:sz w:val="11"/>
          <w:szCs w:val="11"/>
          <w:u w:val="single" w:color="auto"/>
          <w:color w:val="auto"/>
        </w:rPr>
        <w:t>Description</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1320" w:type="dxa"/>
            <w:vAlign w:val="bottom"/>
            <w:vMerge w:val="restart"/>
          </w:tcPr>
          <w:p>
            <w:pPr>
              <w:jc w:val="right"/>
              <w:ind w:right="980"/>
              <w:spacing w:after="0"/>
              <w:rPr>
                <w:sz w:val="20"/>
                <w:szCs w:val="20"/>
                <w:color w:val="auto"/>
              </w:rPr>
            </w:pPr>
            <w:r>
              <w:rPr>
                <w:rFonts w:ascii="Arial" w:cs="Arial" w:eastAsia="Arial" w:hAnsi="Arial"/>
                <w:sz w:val="12"/>
                <w:szCs w:val="12"/>
                <w:color w:val="auto"/>
                <w:w w:val="92"/>
              </w:rPr>
              <w:t>99.1*</w:t>
            </w:r>
          </w:p>
        </w:tc>
        <w:tc>
          <w:tcPr>
            <w:tcW w:w="2300" w:type="dxa"/>
            <w:vAlign w:val="bottom"/>
            <w:tcBorders>
              <w:bottom w:val="single" w:sz="8" w:color="0000FF"/>
            </w:tcBorders>
          </w:tcPr>
          <w:p>
            <w:pPr>
              <w:spacing w:after="0"/>
              <w:rPr>
                <w:sz w:val="20"/>
                <w:szCs w:val="20"/>
                <w:color w:val="auto"/>
              </w:rPr>
            </w:pPr>
            <w:r>
              <w:rPr>
                <w:rFonts w:ascii="Arial" w:cs="Arial" w:eastAsia="Arial" w:hAnsi="Arial"/>
                <w:sz w:val="12"/>
                <w:szCs w:val="12"/>
                <w:color w:val="0000FF"/>
                <w:w w:val="99"/>
              </w:rPr>
              <w:t>Morgan Stanley Conference June 10, 2026</w:t>
            </w:r>
          </w:p>
        </w:tc>
        <w:tc>
          <w:tcPr>
            <w:tcW w:w="0" w:type="dxa"/>
            <w:vAlign w:val="bottom"/>
          </w:tcPr>
          <w:p>
            <w:pPr>
              <w:spacing w:after="0"/>
              <w:rPr>
                <w:sz w:val="1"/>
                <w:szCs w:val="1"/>
                <w:color w:val="auto"/>
              </w:rPr>
            </w:pPr>
          </w:p>
        </w:tc>
      </w:tr>
      <w:tr>
        <w:trPr>
          <w:trHeight w:val="72"/>
        </w:trPr>
        <w:tc>
          <w:tcPr>
            <w:tcW w:w="1320" w:type="dxa"/>
            <w:vAlign w:val="bottom"/>
            <w:vMerge w:val="continue"/>
          </w:tcPr>
          <w:p>
            <w:pPr>
              <w:spacing w:after="0"/>
              <w:rPr>
                <w:sz w:val="6"/>
                <w:szCs w:val="6"/>
                <w:color w:val="auto"/>
              </w:rPr>
            </w:pP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780" w:hanging="1303"/>
        <w:spacing w:after="0"/>
        <w:tabs>
          <w:tab w:leader="none" w:pos="178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Cover Page Interactive Data File (formatted as Inline XBRL)</w:t>
      </w:r>
    </w:p>
    <w:p>
      <w:pPr>
        <w:spacing w:after="0" w:line="150"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2"/>
          <w:szCs w:val="12"/>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959485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300" w:top="638" w:right="499" w:bottom="1440" w:gutter="0" w:footer="0" w:header="0"/>
        </w:sectPr>
      </w:pPr>
    </w:p>
    <w:bookmarkStart w:id="2" w:name="page3"/>
    <w:bookmarkEnd w:id="2"/>
    <w:p>
      <w:pPr>
        <w:ind w:left="4960"/>
        <w:spacing w:after="0"/>
        <w:rPr>
          <w:sz w:val="20"/>
          <w:szCs w:val="20"/>
          <w:color w:val="auto"/>
        </w:rPr>
      </w:pPr>
      <w:r>
        <w:rPr>
          <w:rFonts w:ascii="Arial" w:cs="Arial" w:eastAsia="Arial" w:hAnsi="Arial"/>
          <w:sz w:val="13"/>
          <w:szCs w:val="13"/>
          <w:b w:val="1"/>
          <w:bCs w:val="1"/>
          <w:color w:val="auto"/>
        </w:rPr>
        <w:t>SIGNATURES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39" w:lineRule="exact"/>
        <w:rPr>
          <w:sz w:val="20"/>
          <w:szCs w:val="20"/>
          <w:color w:val="auto"/>
        </w:rPr>
      </w:pPr>
    </w:p>
    <w:p>
      <w:pPr>
        <w:ind w:left="5680"/>
        <w:spacing w:after="0"/>
        <w:rPr>
          <w:sz w:val="20"/>
          <w:szCs w:val="20"/>
          <w:color w:val="auto"/>
        </w:rPr>
      </w:pPr>
      <w:r>
        <w:rPr>
          <w:rFonts w:ascii="Arial" w:cs="Arial" w:eastAsia="Arial" w:hAnsi="Arial"/>
          <w:sz w:val="12"/>
          <w:szCs w:val="12"/>
          <w:b w:val="1"/>
          <w:bCs w:val="1"/>
          <w:color w:val="auto"/>
        </w:rPr>
        <w:t>SLM CORPORATION</w:t>
      </w:r>
    </w:p>
    <w:p>
      <w:pPr>
        <w:spacing w:after="0" w:line="27" w:lineRule="exact"/>
        <w:rPr>
          <w:sz w:val="20"/>
          <w:szCs w:val="20"/>
          <w:color w:val="auto"/>
        </w:rPr>
      </w:pPr>
    </w:p>
    <w:p>
      <w:pPr>
        <w:ind w:left="5500" w:right="3059" w:hanging="5804"/>
        <w:spacing w:after="0" w:line="293" w:lineRule="auto"/>
        <w:tabs>
          <w:tab w:leader="none" w:pos="5480" w:val="left"/>
        </w:tabs>
        <w:rPr>
          <w:sz w:val="20"/>
          <w:szCs w:val="20"/>
          <w:color w:val="auto"/>
        </w:rPr>
      </w:pPr>
      <w:r>
        <w:rPr>
          <w:rFonts w:ascii="Arial" w:cs="Arial" w:eastAsia="Arial" w:hAnsi="Arial"/>
          <w:sz w:val="12"/>
          <w:szCs w:val="12"/>
          <w:color w:val="auto"/>
        </w:rPr>
        <w:t>Date: June 10, 2026</w:t>
      </w:r>
      <w:r>
        <w:rPr>
          <w:sz w:val="20"/>
          <w:szCs w:val="20"/>
          <w:color w:val="auto"/>
        </w:rPr>
        <w:tab/>
      </w:r>
      <w:r>
        <w:rPr>
          <w:rFonts w:ascii="Arial" w:cs="Arial" w:eastAsia="Arial" w:hAnsi="Arial"/>
          <w:sz w:val="11"/>
          <w:szCs w:val="11"/>
          <w:color w:val="auto"/>
        </w:rPr>
        <w:t>By: /s/ PETER M. GRAHAM Peter M.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-103505</wp:posOffset>
            </wp:positionV>
            <wp:extent cx="34918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91865" cy="5715"/>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2"/>
          <w:szCs w:val="12"/>
          <w:color w:val="auto"/>
        </w:rPr>
        <w:t>Co-President and Chief Financial Officer</w:t>
      </w:r>
    </w:p>
    <w:p>
      <w:pPr>
        <w:sectPr>
          <w:pgSz w:w="11900" w:h="16838" w:orient="portrait"/>
          <w:cols w:equalWidth="0" w:num="1">
            <w:col w:w="10039"/>
          </w:cols>
          <w:pgMar w:left="420" w:top="63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2026-06-10T06:02:14Z</dcterms:created>
  <dcterms:modified xsi:type="dcterms:W3CDTF">2026-06-10T06:02:14Z</dcterms:modified>
</cp:coreProperties>
</file>