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2339.xml.htm"/>
      <w:bookmarkStart w:id="1" w:name="kswkform4_17897623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Leech Christopher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10"/>
        <w:gridCol w:w="459"/>
        <w:gridCol w:w="622"/>
        <w:gridCol w:w="1330"/>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20,896.66</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shares of SLM Corporation's Common Stock (the "Shares") received in lieu of the reporting person's quarterly cash retainer and respective committee fees. The per share value of the Shares was equal to the closing sales price per share as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Lipschutz (POA) for Christopher T. Leech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968"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3399</Characters>
  <CharactersWithSpaces>3959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