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2127.xml.htm"/>
      <w:bookmarkStart w:id="1" w:name="kswkform4_178976212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GREIG HENRY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CONTINENTAL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SLM Corp</w:t>
              </w:r>
            </w:hyperlink>
            <w:r>
              <w:rPr/>
              <w:t xml:space="preserve"> [ </w:t>
            </w:r>
            <w:r>
              <w:rPr>
                <w:rFonts w:ascii="Times;serif" w:hAnsi="Times;serif"/>
                <w:color w:val="0000FF"/>
                <w:sz w:val="24"/>
                <w:shd w:fill="FFFFFF" w:val="clear"/>
              </w:rPr>
              <w:t>SLM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10"/>
        <w:gridCol w:w="459"/>
        <w:gridCol w:w="622"/>
        <w:gridCol w:w="1330"/>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17,953.66</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shares of SLM Corporation's Common Stock (the "Shares") received in lieu of the reporting person's quarterly cash retainer and respective committee fees. The per share value of the Shares was equal to the closing sales price per share as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Dividend Equivalent Units issued in connection with Restricted Common Stock held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Lipschutz (POA) for Henry F. Greig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4721" TargetMode="External"/><Relationship Id="rId5" Type="http://schemas.openxmlformats.org/officeDocument/2006/relationships/hyperlink" Target="http://www.sec.gov/cgi-bin/browse-edgar?action=getcompany&amp;CIK=00010320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628</Words>
  <Characters>3386</Characters>
  <CharactersWithSpaces>3946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