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3821.xml.htm"/>
      <w:bookmarkStart w:id="1" w:name="kswkform4_17818138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Leech Christopher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CONTINENTAL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SLM Corp</w:t>
              </w:r>
            </w:hyperlink>
            <w:r>
              <w:rPr/>
              <w:t xml:space="preserve"> [ </w:t>
            </w:r>
            <w:r>
              <w:rPr>
                <w:rFonts w:ascii="Times;serif" w:hAnsi="Times;serif"/>
                <w:color w:val="0000FF"/>
                <w:sz w:val="24"/>
                <w:shd w:fill="FFFFFF" w:val="clear"/>
              </w:rPr>
              <w:t>SLM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883"/>
        <w:gridCol w:w="449"/>
        <w:gridCol w:w="612"/>
        <w:gridCol w:w="140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7,349</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19,946.126</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received shares of Restricted Common Stock, issued pursuant to the terms of the SLM Corporation 2021 Omnibus Incentive Plan - 2026 Independent Director Restricted Stock Agreement (the "2026 Agreement") in partial payment of the annual retainer to independent directors. The Restricted Common Stock award is subject to vesting upon the terms set forth in the 2026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Dividend Equivalent Units issued in connection with Restricted Common Stock held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Nelson (POA) for Christopher T. Leech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7968" TargetMode="External"/><Relationship Id="rId5" Type="http://schemas.openxmlformats.org/officeDocument/2006/relationships/hyperlink" Target="http://www.sec.gov/cgi-bin/browse-edgar?action=getcompany&amp;CIK=00010320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638</Words>
  <Characters>3482</Characters>
  <CharactersWithSpaces>4061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