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554.xml.htm"/>
      <w:bookmarkStart w:id="1" w:name="kswkform4_17818135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GREIG HENRY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CONTINENTAL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SLM Corp</w:t>
              </w:r>
            </w:hyperlink>
            <w:r>
              <w:rPr/>
              <w:t xml:space="preserve"> [ </w:t>
            </w:r>
            <w:r>
              <w:rPr>
                <w:rFonts w:ascii="Times;serif" w:hAnsi="Times;serif"/>
                <w:color w:val="0000FF"/>
                <w:sz w:val="24"/>
                <w:shd w:fill="FFFFFF" w:val="clear"/>
              </w:rPr>
              <w:t>SLM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83"/>
        <w:gridCol w:w="449"/>
        <w:gridCol w:w="612"/>
        <w:gridCol w:w="140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7,349</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15,840.126</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1,089</w:t>
            </w:r>
            <w:r>
              <w:rPr>
                <w:rFonts w:ascii="Times;serif" w:hAnsi="Times;serif"/>
                <w:color w:val="008000"/>
                <w:position w:val="7"/>
                <w:sz w:val="16"/>
                <w:sz w:val="20"/>
                <w:shd w:fill="FFFFFF" w:val="clear"/>
              </w:rPr>
              <w:t>(3)</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16,929.126</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received shares of Restricted Common Stock, issued pursuant to the terms of the SLM Corporation 2021 Omnibus Incentive Plan - 2026 Independent Director Restricted Stock Agreement (the "2026 Agreement") in partial payment of the annual retainer to independent directors. The Restricted Common Stock award is subject to vesting upon the terms set forth in the 2026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Dividend Equivalent Units issued in connection with Restricted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grant of shares of SLM Corporation's Common Stock (the "Shares") received in lieu of the reporting person's quarterly cash retainer and respective committee fees. The per share value of the Shares was equal to the closing sales price per share as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Nelson (POA) for Henry F. Greig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4721" TargetMode="External"/><Relationship Id="rId5" Type="http://schemas.openxmlformats.org/officeDocument/2006/relationships/hyperlink" Target="http://www.sec.gov/cgi-bin/browse-edgar?action=getcompany&amp;CIK=00010320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3750</Characters>
  <CharactersWithSpaces>4380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