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852170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8" w:lineRule="exact"/>
        <w:rPr>
          <w:sz w:val="24"/>
          <w:szCs w:val="24"/>
          <w:color w:val="auto"/>
        </w:rPr>
      </w:pPr>
    </w:p>
    <w:p>
      <w:pPr>
        <w:ind w:left="3860" w:right="2500" w:hanging="3812"/>
        <w:spacing w:after="0" w:line="469" w:lineRule="auto"/>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420" w:hanging="37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6" w:lineRule="exact"/>
        <w:rPr>
          <w:sz w:val="24"/>
          <w:szCs w:val="24"/>
          <w:color w:val="auto"/>
        </w:rPr>
      </w:pPr>
    </w:p>
    <w:p>
      <w:pPr>
        <w:ind w:left="380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001-13251</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SLM Corporation</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57" w:lineRule="exact"/>
        <w:rPr>
          <w:sz w:val="24"/>
          <w:szCs w:val="24"/>
          <w:color w:val="auto"/>
        </w:rPr>
      </w:pPr>
    </w:p>
    <w:tbl>
      <w:tblPr>
        <w:tblLayout w:type="fixed"/>
        <w:tblInd w:w="4040" w:type="dxa"/>
        <w:tblCellMar>
          <w:top w:w="0" w:type="dxa"/>
          <w:left w:w="0" w:type="dxa"/>
          <w:bottom w:w="0" w:type="dxa"/>
          <w:right w:w="0" w:type="dxa"/>
        </w:tblCellMar>
      </w:tblPr>
      <w:tr>
        <w:trPr>
          <w:trHeight w:val="184"/>
        </w:trPr>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Delaware</w:t>
            </w:r>
          </w:p>
        </w:tc>
        <w:tc>
          <w:tcPr>
            <w:tcW w:w="2260" w:type="dxa"/>
            <w:vAlign w:val="bottom"/>
          </w:tcPr>
          <w:p>
            <w:pPr>
              <w:jc w:val="right"/>
              <w:ind w:right="210"/>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212"/>
        </w:trPr>
        <w:tc>
          <w:tcPr>
            <w:tcW w:w="920" w:type="dxa"/>
            <w:vAlign w:val="bottom"/>
            <w:vMerge w:val="continue"/>
          </w:tcPr>
          <w:p>
            <w:pPr>
              <w:spacing w:after="0"/>
              <w:rPr>
                <w:sz w:val="18"/>
                <w:szCs w:val="18"/>
                <w:color w:val="auto"/>
              </w:rPr>
            </w:pPr>
          </w:p>
        </w:tc>
        <w:tc>
          <w:tcPr>
            <w:tcW w:w="2260" w:type="dxa"/>
            <w:vAlign w:val="bottom"/>
          </w:tcPr>
          <w:p>
            <w:pPr>
              <w:jc w:val="right"/>
              <w:ind w:right="10"/>
              <w:spacing w:after="0"/>
              <w:rPr>
                <w:sz w:val="20"/>
                <w:szCs w:val="20"/>
                <w:color w:val="auto"/>
              </w:rPr>
            </w:pPr>
            <w:r>
              <w:rPr>
                <w:rFonts w:ascii="Arial" w:cs="Arial" w:eastAsia="Arial" w:hAnsi="Arial"/>
                <w:sz w:val="16"/>
                <w:szCs w:val="16"/>
                <w:b w:val="1"/>
                <w:bCs w:val="1"/>
                <w:color w:val="auto"/>
              </w:rPr>
              <w:t>2013874</w:t>
            </w:r>
          </w:p>
        </w:tc>
        <w:tc>
          <w:tcPr>
            <w:tcW w:w="0" w:type="dxa"/>
            <w:vAlign w:val="bottom"/>
          </w:tcPr>
          <w:p>
            <w:pPr>
              <w:spacing w:after="0"/>
              <w:rPr>
                <w:sz w:val="1"/>
                <w:szCs w:val="1"/>
                <w:color w:val="auto"/>
              </w:rPr>
            </w:pPr>
          </w:p>
        </w:tc>
      </w:tr>
      <w:tr>
        <w:trPr>
          <w:trHeight w:val="126"/>
        </w:trPr>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(State or other</w:t>
            </w:r>
          </w:p>
        </w:tc>
        <w:tc>
          <w:tcPr>
            <w:tcW w:w="2260" w:type="dxa"/>
            <w:vAlign w:val="bottom"/>
            <w:vMerge w:val="restart"/>
          </w:tcPr>
          <w:p>
            <w:pPr>
              <w:jc w:val="center"/>
              <w:ind w:left="1430"/>
              <w:spacing w:after="0"/>
              <w:rPr>
                <w:sz w:val="20"/>
                <w:szCs w:val="20"/>
                <w:color w:val="auto"/>
              </w:rPr>
            </w:pPr>
            <w:r>
              <w:rPr>
                <w:rFonts w:ascii="Arial" w:cs="Arial" w:eastAsia="Arial" w:hAnsi="Arial"/>
                <w:sz w:val="13"/>
                <w:szCs w:val="13"/>
                <w:b w:val="1"/>
                <w:bCs w:val="1"/>
                <w:color w:val="auto"/>
                <w:w w:val="97"/>
              </w:rPr>
              <w:t>(I.R.S.</w:t>
            </w:r>
          </w:p>
        </w:tc>
        <w:tc>
          <w:tcPr>
            <w:tcW w:w="0" w:type="dxa"/>
            <w:vAlign w:val="bottom"/>
          </w:tcPr>
          <w:p>
            <w:pPr>
              <w:spacing w:after="0"/>
              <w:rPr>
                <w:sz w:val="1"/>
                <w:szCs w:val="1"/>
                <w:color w:val="auto"/>
              </w:rPr>
            </w:pPr>
          </w:p>
        </w:tc>
      </w:tr>
      <w:tr>
        <w:trPr>
          <w:trHeight w:val="135"/>
        </w:trPr>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jurisdiction of</w:t>
            </w: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incorporation</w:t>
            </w:r>
          </w:p>
        </w:tc>
        <w:tc>
          <w:tcPr>
            <w:tcW w:w="2260" w:type="dxa"/>
            <w:vAlign w:val="bottom"/>
          </w:tcPr>
          <w:p>
            <w:pPr>
              <w:jc w:val="center"/>
              <w:ind w:left="1410"/>
              <w:spacing w:after="0" w:line="122" w:lineRule="exact"/>
              <w:rPr>
                <w:sz w:val="20"/>
                <w:szCs w:val="20"/>
                <w:color w:val="auto"/>
              </w:rPr>
            </w:pPr>
            <w:r>
              <w:rPr>
                <w:rFonts w:ascii="Arial" w:cs="Arial" w:eastAsia="Arial" w:hAnsi="Arial"/>
                <w:sz w:val="13"/>
                <w:szCs w:val="13"/>
                <w:b w:val="1"/>
                <w:bCs w:val="1"/>
                <w:color w:val="auto"/>
                <w:w w:val="97"/>
              </w:rPr>
              <w:t>Employer</w:t>
            </w:r>
          </w:p>
        </w:tc>
        <w:tc>
          <w:tcPr>
            <w:tcW w:w="0" w:type="dxa"/>
            <w:vAlign w:val="bottom"/>
          </w:tcPr>
          <w:p>
            <w:pPr>
              <w:spacing w:after="0"/>
              <w:rPr>
                <w:sz w:val="1"/>
                <w:szCs w:val="1"/>
                <w:color w:val="auto"/>
              </w:rPr>
            </w:pPr>
          </w:p>
        </w:tc>
      </w:tr>
      <w:tr>
        <w:trPr>
          <w:trHeight w:val="135"/>
        </w:trPr>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or</w:t>
            </w:r>
          </w:p>
        </w:tc>
        <w:tc>
          <w:tcPr>
            <w:tcW w:w="2260" w:type="dxa"/>
            <w:vAlign w:val="bottom"/>
          </w:tcPr>
          <w:p>
            <w:pPr>
              <w:jc w:val="center"/>
              <w:ind w:left="1410"/>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0" w:type="dxa"/>
            <w:vAlign w:val="bottom"/>
          </w:tcPr>
          <w:p>
            <w:pPr>
              <w:spacing w:after="0"/>
              <w:rPr>
                <w:sz w:val="1"/>
                <w:szCs w:val="1"/>
                <w:color w:val="auto"/>
              </w:rPr>
            </w:pPr>
          </w:p>
        </w:tc>
      </w:tr>
      <w:tr>
        <w:trPr>
          <w:trHeight w:val="172"/>
        </w:trPr>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organization)</w:t>
            </w:r>
          </w:p>
        </w:tc>
        <w:tc>
          <w:tcPr>
            <w:tcW w:w="2260" w:type="dxa"/>
            <w:vAlign w:val="bottom"/>
          </w:tcPr>
          <w:p>
            <w:pPr>
              <w:jc w:val="center"/>
              <w:ind w:left="1430"/>
              <w:spacing w:after="0"/>
              <w:rPr>
                <w:sz w:val="20"/>
                <w:szCs w:val="20"/>
                <w:color w:val="auto"/>
              </w:rPr>
            </w:pPr>
            <w:r>
              <w:rPr>
                <w:rFonts w:ascii="Arial" w:cs="Arial" w:eastAsia="Arial" w:hAnsi="Arial"/>
                <w:sz w:val="13"/>
                <w:szCs w:val="13"/>
                <w:b w:val="1"/>
                <w:bCs w:val="1"/>
                <w:color w:val="auto"/>
                <w:w w:val="94"/>
              </w:rPr>
              <w:t>No.)</w:t>
            </w:r>
          </w:p>
        </w:tc>
        <w:tc>
          <w:tcPr>
            <w:tcW w:w="0" w:type="dxa"/>
            <w:vAlign w:val="bottom"/>
          </w:tcPr>
          <w:p>
            <w:pPr>
              <w:spacing w:after="0"/>
              <w:rPr>
                <w:sz w:val="1"/>
                <w:szCs w:val="1"/>
                <w:color w:val="auto"/>
              </w:rPr>
            </w:pPr>
          </w:p>
        </w:tc>
      </w:tr>
      <w:tr>
        <w:trPr>
          <w:trHeight w:val="220"/>
        </w:trPr>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7"/>
              </w:rPr>
              <w:t>300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Continental</w:t>
            </w:r>
          </w:p>
        </w:tc>
        <w:tc>
          <w:tcPr>
            <w:tcW w:w="2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Newark, Delaware   19713</w:t>
            </w:r>
          </w:p>
        </w:tc>
        <w:tc>
          <w:tcPr>
            <w:tcW w:w="0" w:type="dxa"/>
            <w:vAlign w:val="bottom"/>
          </w:tcPr>
          <w:p>
            <w:pPr>
              <w:spacing w:after="0"/>
              <w:rPr>
                <w:sz w:val="1"/>
                <w:szCs w:val="1"/>
                <w:color w:val="auto"/>
              </w:rPr>
            </w:pPr>
          </w:p>
        </w:tc>
      </w:tr>
      <w:tr>
        <w:trPr>
          <w:trHeight w:val="212"/>
        </w:trPr>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Drive</w:t>
            </w:r>
          </w:p>
        </w:tc>
        <w:tc>
          <w:tcPr>
            <w:tcW w:w="2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(Address of</w:t>
            </w: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9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9"/>
              </w:rPr>
              <w:t>principal</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executive</w:t>
            </w:r>
          </w:p>
        </w:tc>
        <w:tc>
          <w:tcPr>
            <w:tcW w:w="2260" w:type="dxa"/>
            <w:vAlign w:val="bottom"/>
            <w:vMerge w:val="restart"/>
          </w:tcPr>
          <w:p>
            <w:pPr>
              <w:jc w:val="center"/>
              <w:ind w:left="1410"/>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172"/>
        </w:trPr>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offices)</w:t>
            </w: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(302) 451-0200</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3" w:lineRule="exact"/>
        <w:rPr>
          <w:sz w:val="24"/>
          <w:szCs w:val="24"/>
          <w:color w:val="auto"/>
        </w:rPr>
      </w:pPr>
    </w:p>
    <w:tbl>
      <w:tblPr>
        <w:tblLayout w:type="fixed"/>
        <w:tblInd w:w="510" w:type="dxa"/>
        <w:tblCellMar>
          <w:top w:w="0" w:type="dxa"/>
          <w:left w:w="0" w:type="dxa"/>
          <w:bottom w:w="0" w:type="dxa"/>
          <w:right w:w="0" w:type="dxa"/>
        </w:tblCellMar>
      </w:tblPr>
      <w:tr>
        <w:trPr>
          <w:trHeight w:val="223"/>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par value $.20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SLM</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The NASDAQ Global Select Market</w:t>
            </w:r>
          </w:p>
        </w:tc>
      </w:tr>
      <w:tr>
        <w:trPr>
          <w:trHeight w:val="153"/>
        </w:trPr>
        <w:tc>
          <w:tcPr>
            <w:tcW w:w="35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Floating Rate Non-Cumulative Preferred Stock,</w:t>
            </w:r>
          </w:p>
        </w:tc>
        <w:tc>
          <w:tcPr>
            <w:tcW w:w="1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SLMBP</w:t>
            </w:r>
          </w:p>
        </w:tc>
        <w:tc>
          <w:tcPr>
            <w:tcW w:w="48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The NASDAQ Global Select Market</w:t>
            </w:r>
          </w:p>
        </w:tc>
      </w:tr>
      <w:tr>
        <w:trPr>
          <w:trHeight w:val="192"/>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Series B, par value $.20 per share</w:t>
            </w:r>
          </w:p>
        </w:tc>
        <w:tc>
          <w:tcPr>
            <w:tcW w:w="1960" w:type="dxa"/>
            <w:vAlign w:val="bottom"/>
            <w:tcBorders>
              <w:bottom w:val="single" w:sz="8" w:color="auto"/>
              <w:right w:val="single" w:sz="8" w:color="auto"/>
            </w:tcBorders>
          </w:tcPr>
          <w:p>
            <w:pPr>
              <w:spacing w:after="0"/>
              <w:rPr>
                <w:sz w:val="16"/>
                <w:szCs w:val="16"/>
                <w:color w:val="auto"/>
              </w:rPr>
            </w:pPr>
          </w:p>
        </w:tc>
        <w:tc>
          <w:tcPr>
            <w:tcW w:w="4800" w:type="dxa"/>
            <w:vAlign w:val="bottom"/>
            <w:tcBorders>
              <w:bottom w:val="single" w:sz="8" w:color="auto"/>
              <w:right w:val="single" w:sz="8" w:color="auto"/>
            </w:tcBorders>
          </w:tcPr>
          <w:p>
            <w:pPr>
              <w:spacing w:after="0"/>
              <w:rPr>
                <w:sz w:val="16"/>
                <w:szCs w:val="16"/>
                <w:color w:val="auto"/>
              </w:rPr>
            </w:pPr>
          </w:p>
        </w:tc>
      </w:tr>
    </w:tbl>
    <w:p>
      <w:pPr>
        <w:spacing w:after="0" w:line="166" w:lineRule="exact"/>
        <w:rPr>
          <w:sz w:val="24"/>
          <w:szCs w:val="24"/>
          <w:color w:val="auto"/>
        </w:rPr>
      </w:pPr>
    </w:p>
    <w:p>
      <w:pPr>
        <w:ind w:right="480" w:firstLine="445"/>
        <w:spacing w:after="0" w:line="26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680" w:val="left"/>
          <w:tab w:leader="none" w:pos="132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24" w:lineRule="exact"/>
        <w:rPr>
          <w:sz w:val="24"/>
          <w:szCs w:val="24"/>
          <w:color w:val="auto"/>
        </w:rPr>
      </w:pPr>
    </w:p>
    <w:p>
      <w:pPr>
        <w:ind w:right="220" w:firstLine="445"/>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26" w:lineRule="exact"/>
        <w:rPr>
          <w:sz w:val="24"/>
          <w:szCs w:val="24"/>
          <w:color w:val="auto"/>
        </w:rPr>
      </w:pPr>
    </w:p>
    <w:p>
      <w:pPr>
        <w:ind w:firstLine="445"/>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00" w:type="dxa"/>
        <w:tblCellMar>
          <w:top w:w="0" w:type="dxa"/>
          <w:left w:w="0" w:type="dxa"/>
          <w:bottom w:w="0" w:type="dxa"/>
          <w:right w:w="0" w:type="dxa"/>
        </w:tblCellMar>
      </w:tblPr>
      <w:tr>
        <w:trPr>
          <w:trHeight w:val="183"/>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6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spacing w:after="0"/>
              <w:rPr>
                <w:sz w:val="15"/>
                <w:szCs w:val="15"/>
                <w:color w:val="auto"/>
              </w:rPr>
            </w:pPr>
          </w:p>
        </w:tc>
        <w:tc>
          <w:tcPr>
            <w:tcW w:w="3100" w:type="dxa"/>
            <w:vAlign w:val="bottom"/>
          </w:tcPr>
          <w:p>
            <w:pPr>
              <w:ind w:left="76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6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180"/>
              <w:spacing w:after="0"/>
              <w:rPr>
                <w:sz w:val="20"/>
                <w:szCs w:val="20"/>
                <w:color w:val="auto"/>
              </w:rPr>
            </w:pPr>
            <w:r>
              <w:rPr>
                <w:rFonts w:ascii="Arial" w:cs="Arial" w:eastAsia="Arial" w:hAnsi="Arial"/>
                <w:sz w:val="14"/>
                <w:szCs w:val="14"/>
                <w:color w:val="auto"/>
              </w:rPr>
              <w:t>(Do not check if a smaller reporting company)</w:t>
            </w:r>
          </w:p>
        </w:tc>
        <w:tc>
          <w:tcPr>
            <w:tcW w:w="3100" w:type="dxa"/>
            <w:vAlign w:val="bottom"/>
          </w:tcPr>
          <w:p>
            <w:pPr>
              <w:ind w:left="76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181" w:lineRule="exact"/>
        <w:rPr>
          <w:sz w:val="24"/>
          <w:szCs w:val="24"/>
          <w:color w:val="auto"/>
        </w:rPr>
      </w:pPr>
    </w:p>
    <w:p>
      <w:pPr>
        <w:ind w:right="400" w:firstLine="445"/>
        <w:spacing w:after="0" w:line="19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460" w:right="2560"/>
        <w:spacing w:after="0" w:line="25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r>
        <w:rPr>
          <w:rFonts w:ascii="Arial" w:cs="Arial" w:eastAsia="Arial" w:hAnsi="Arial"/>
          <w:sz w:val="14"/>
          <w:szCs w:val="14"/>
          <w:color w:val="auto"/>
        </w:rPr>
        <w:t xml:space="preserve"> As of March 31, 2025, there were 210,738,845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0" w:type="dxa"/>
            <w:vAlign w:val="bottom"/>
            <w:gridSpan w:val="4"/>
          </w:tcPr>
          <w:p>
            <w:pPr>
              <w:jc w:val="center"/>
              <w:ind w:right="3440"/>
              <w:spacing w:after="0"/>
              <w:rPr>
                <w:sz w:val="20"/>
                <w:szCs w:val="20"/>
                <w:color w:val="auto"/>
              </w:rPr>
            </w:pPr>
            <w:r>
              <w:rPr>
                <w:rFonts w:ascii="Arial" w:cs="Arial" w:eastAsia="Arial" w:hAnsi="Arial"/>
                <w:sz w:val="18"/>
                <w:szCs w:val="18"/>
                <w:b w:val="1"/>
                <w:bCs w:val="1"/>
                <w:color w:val="auto"/>
                <w:w w:val="98"/>
              </w:rPr>
              <w:t>SLM CORPORATION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459"/>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98"/>
              </w:rPr>
              <w:t>CONSOLIDATED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4"/>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0" w:type="dxa"/>
            <w:vAlign w:val="bottom"/>
            <w:gridSpan w:val="4"/>
          </w:tcPr>
          <w:p>
            <w:pPr>
              <w:jc w:val="center"/>
              <w:ind w:right="344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82"/>
        </w:trPr>
        <w:tc>
          <w:tcPr>
            <w:tcW w:w="10340" w:type="dxa"/>
            <w:vAlign w:val="bottom"/>
            <w:gridSpan w:val="13"/>
          </w:tcPr>
          <w:p>
            <w:pPr>
              <w:ind w:left="700"/>
              <w:spacing w:after="0"/>
              <w:rPr>
                <w:sz w:val="20"/>
                <w:szCs w:val="20"/>
                <w:color w:val="auto"/>
              </w:rPr>
            </w:pPr>
            <w:r>
              <w:rPr>
                <w:rFonts w:ascii="Arial" w:cs="Arial" w:eastAsia="Arial" w:hAnsi="Arial"/>
                <w:sz w:val="18"/>
                <w:szCs w:val="18"/>
                <w:b w:val="1"/>
                <w:bCs w:val="1"/>
                <w:color w:val="144F82"/>
              </w:rPr>
              <w:t>PART I. 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4"/>
        </w:trPr>
        <w:tc>
          <w:tcPr>
            <w:tcW w:w="1640" w:type="dxa"/>
            <w:vAlign w:val="bottom"/>
          </w:tcPr>
          <w:p>
            <w:pPr>
              <w:ind w:left="700"/>
              <w:spacing w:after="0" w:line="195" w:lineRule="exact"/>
              <w:rPr>
                <w:sz w:val="20"/>
                <w:szCs w:val="20"/>
                <w:color w:val="auto"/>
              </w:rPr>
            </w:pPr>
            <w:r>
              <w:rPr>
                <w:rFonts w:ascii="Arial" w:cs="Arial" w:eastAsia="Arial" w:hAnsi="Arial"/>
                <w:sz w:val="18"/>
                <w:szCs w:val="18"/>
                <w:color w:val="144F82"/>
              </w:rPr>
              <w:t>Item 1.</w:t>
            </w:r>
          </w:p>
        </w:tc>
        <w:tc>
          <w:tcPr>
            <w:tcW w:w="1680" w:type="dxa"/>
            <w:vAlign w:val="bottom"/>
            <w:gridSpan w:val="5"/>
          </w:tcPr>
          <w:p>
            <w:pPr>
              <w:spacing w:after="0" w:line="195" w:lineRule="exact"/>
              <w:rPr>
                <w:sz w:val="20"/>
                <w:szCs w:val="20"/>
                <w:color w:val="auto"/>
              </w:rPr>
            </w:pPr>
            <w:r>
              <w:rPr>
                <w:rFonts w:ascii="Arial" w:cs="Arial" w:eastAsia="Arial" w:hAnsi="Arial"/>
                <w:sz w:val="18"/>
                <w:szCs w:val="18"/>
                <w:color w:val="144F82"/>
                <w:w w:val="98"/>
              </w:rPr>
              <w:t>Financial Statements</w:t>
            </w:r>
          </w:p>
        </w:tc>
        <w:tc>
          <w:tcPr>
            <w:tcW w:w="7020" w:type="dxa"/>
            <w:vAlign w:val="bottom"/>
            <w:gridSpan w:val="7"/>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700"/>
              <w:spacing w:after="0" w:line="195" w:lineRule="exact"/>
              <w:rPr>
                <w:sz w:val="20"/>
                <w:szCs w:val="20"/>
                <w:color w:val="auto"/>
              </w:rPr>
            </w:pPr>
            <w:r>
              <w:rPr>
                <w:rFonts w:ascii="Arial" w:cs="Arial" w:eastAsia="Arial" w:hAnsi="Arial"/>
                <w:sz w:val="18"/>
                <w:szCs w:val="18"/>
                <w:color w:val="144F82"/>
                <w:w w:val="79"/>
              </w:rPr>
              <w:t>2</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380" w:type="dxa"/>
            <w:vAlign w:val="bottom"/>
            <w:shd w:val="clear" w:color="auto" w:fill="144F82"/>
          </w:tcPr>
          <w:p>
            <w:pPr>
              <w:spacing w:after="0" w:line="20" w:lineRule="exact"/>
              <w:rPr>
                <w:sz w:val="1"/>
                <w:szCs w:val="1"/>
                <w:color w:val="auto"/>
              </w:rPr>
            </w:pPr>
          </w:p>
        </w:tc>
        <w:tc>
          <w:tcPr>
            <w:tcW w:w="400" w:type="dxa"/>
            <w:vAlign w:val="bottom"/>
            <w:shd w:val="clear" w:color="auto" w:fill="144F82"/>
          </w:tcPr>
          <w:p>
            <w:pPr>
              <w:spacing w:after="0" w:line="20" w:lineRule="exact"/>
              <w:rPr>
                <w:sz w:val="1"/>
                <w:szCs w:val="1"/>
                <w:color w:val="auto"/>
              </w:rPr>
            </w:pPr>
          </w:p>
        </w:tc>
        <w:tc>
          <w:tcPr>
            <w:tcW w:w="80" w:type="dxa"/>
            <w:vAlign w:val="bottom"/>
            <w:shd w:val="clear" w:color="auto" w:fill="144F82"/>
          </w:tcPr>
          <w:p>
            <w:pPr>
              <w:spacing w:after="0" w:line="20" w:lineRule="exact"/>
              <w:rPr>
                <w:sz w:val="1"/>
                <w:szCs w:val="1"/>
                <w:color w:val="auto"/>
              </w:rPr>
            </w:pPr>
          </w:p>
        </w:tc>
        <w:tc>
          <w:tcPr>
            <w:tcW w:w="200" w:type="dxa"/>
            <w:vAlign w:val="bottom"/>
            <w:shd w:val="clear" w:color="auto" w:fill="144F8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1640" w:type="dxa"/>
            <w:vAlign w:val="bottom"/>
          </w:tcPr>
          <w:p>
            <w:pPr>
              <w:ind w:left="700"/>
              <w:spacing w:after="0"/>
              <w:rPr>
                <w:sz w:val="20"/>
                <w:szCs w:val="20"/>
                <w:color w:val="auto"/>
              </w:rPr>
            </w:pPr>
            <w:r>
              <w:rPr>
                <w:rFonts w:ascii="Arial" w:cs="Arial" w:eastAsia="Arial" w:hAnsi="Arial"/>
                <w:sz w:val="18"/>
                <w:szCs w:val="18"/>
                <w:color w:val="144F82"/>
              </w:rPr>
              <w:t>Item 1.</w:t>
            </w:r>
          </w:p>
        </w:tc>
        <w:tc>
          <w:tcPr>
            <w:tcW w:w="2700" w:type="dxa"/>
            <w:vAlign w:val="bottom"/>
            <w:gridSpan w:val="8"/>
          </w:tcPr>
          <w:p>
            <w:pPr>
              <w:spacing w:after="0"/>
              <w:rPr>
                <w:sz w:val="20"/>
                <w:szCs w:val="20"/>
                <w:color w:val="auto"/>
              </w:rPr>
            </w:pPr>
            <w:r>
              <w:rPr>
                <w:rFonts w:ascii="Arial" w:cs="Arial" w:eastAsia="Arial" w:hAnsi="Arial"/>
                <w:sz w:val="18"/>
                <w:szCs w:val="18"/>
                <w:color w:val="144F82"/>
                <w:w w:val="99"/>
              </w:rPr>
              <w:t>Notes to the Financial Statements</w:t>
            </w:r>
          </w:p>
        </w:tc>
        <w:tc>
          <w:tcPr>
            <w:tcW w:w="600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700"/>
              <w:spacing w:after="0"/>
              <w:rPr>
                <w:sz w:val="20"/>
                <w:szCs w:val="20"/>
                <w:color w:val="auto"/>
              </w:rPr>
            </w:pPr>
            <w:r>
              <w:rPr>
                <w:rFonts w:ascii="Arial" w:cs="Arial" w:eastAsia="Arial" w:hAnsi="Arial"/>
                <w:sz w:val="18"/>
                <w:szCs w:val="18"/>
                <w:color w:val="144F82"/>
                <w:w w:val="79"/>
              </w:rPr>
              <w:t>9</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380" w:type="dxa"/>
            <w:vAlign w:val="bottom"/>
            <w:shd w:val="clear" w:color="auto" w:fill="144F82"/>
          </w:tcPr>
          <w:p>
            <w:pPr>
              <w:spacing w:after="0" w:line="20" w:lineRule="exact"/>
              <w:rPr>
                <w:sz w:val="1"/>
                <w:szCs w:val="1"/>
                <w:color w:val="auto"/>
              </w:rPr>
            </w:pPr>
          </w:p>
        </w:tc>
        <w:tc>
          <w:tcPr>
            <w:tcW w:w="400" w:type="dxa"/>
            <w:vAlign w:val="bottom"/>
            <w:shd w:val="clear" w:color="auto" w:fill="144F82"/>
          </w:tcPr>
          <w:p>
            <w:pPr>
              <w:spacing w:after="0" w:line="20" w:lineRule="exact"/>
              <w:rPr>
                <w:sz w:val="1"/>
                <w:szCs w:val="1"/>
                <w:color w:val="auto"/>
              </w:rPr>
            </w:pPr>
          </w:p>
        </w:tc>
        <w:tc>
          <w:tcPr>
            <w:tcW w:w="80" w:type="dxa"/>
            <w:vAlign w:val="bottom"/>
            <w:shd w:val="clear" w:color="auto" w:fill="144F82"/>
          </w:tcPr>
          <w:p>
            <w:pPr>
              <w:spacing w:after="0" w:line="20" w:lineRule="exact"/>
              <w:rPr>
                <w:sz w:val="1"/>
                <w:szCs w:val="1"/>
                <w:color w:val="auto"/>
              </w:rPr>
            </w:pPr>
          </w:p>
        </w:tc>
        <w:tc>
          <w:tcPr>
            <w:tcW w:w="440" w:type="dxa"/>
            <w:vAlign w:val="bottom"/>
            <w:gridSpan w:val="2"/>
            <w:shd w:val="clear" w:color="auto" w:fill="144F82"/>
          </w:tcPr>
          <w:p>
            <w:pPr>
              <w:spacing w:after="0" w:line="20" w:lineRule="exact"/>
              <w:rPr>
                <w:sz w:val="1"/>
                <w:szCs w:val="1"/>
                <w:color w:val="auto"/>
              </w:rPr>
            </w:pPr>
          </w:p>
        </w:tc>
        <w:tc>
          <w:tcPr>
            <w:tcW w:w="620" w:type="dxa"/>
            <w:vAlign w:val="bottom"/>
            <w:tcBorders>
              <w:left w:val="single" w:sz="8" w:color="144F82"/>
            </w:tcBorders>
            <w:shd w:val="clear" w:color="auto" w:fill="144F82"/>
          </w:tcPr>
          <w:p>
            <w:pPr>
              <w:spacing w:after="0" w:line="20" w:lineRule="exact"/>
              <w:rPr>
                <w:sz w:val="1"/>
                <w:szCs w:val="1"/>
                <w:color w:val="auto"/>
              </w:rPr>
            </w:pPr>
          </w:p>
        </w:tc>
        <w:tc>
          <w:tcPr>
            <w:tcW w:w="160" w:type="dxa"/>
            <w:vAlign w:val="bottom"/>
            <w:shd w:val="clear" w:color="auto" w:fill="144F8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9"/>
        </w:trPr>
        <w:tc>
          <w:tcPr>
            <w:tcW w:w="1640" w:type="dxa"/>
            <w:vAlign w:val="bottom"/>
          </w:tcPr>
          <w:p>
            <w:pPr>
              <w:ind w:left="700"/>
              <w:spacing w:after="0"/>
              <w:rPr>
                <w:sz w:val="20"/>
                <w:szCs w:val="20"/>
                <w:color w:val="auto"/>
              </w:rPr>
            </w:pPr>
            <w:r>
              <w:rPr>
                <w:rFonts w:ascii="Arial" w:cs="Arial" w:eastAsia="Arial" w:hAnsi="Arial"/>
                <w:sz w:val="18"/>
                <w:szCs w:val="18"/>
                <w:color w:val="144F82"/>
              </w:rPr>
              <w:t>Item 2.</w:t>
            </w:r>
          </w:p>
        </w:tc>
        <w:tc>
          <w:tcPr>
            <w:tcW w:w="7080" w:type="dxa"/>
            <w:vAlign w:val="bottom"/>
            <w:gridSpan w:val="11"/>
          </w:tcPr>
          <w:p>
            <w:pPr>
              <w:spacing w:after="0"/>
              <w:rPr>
                <w:sz w:val="20"/>
                <w:szCs w:val="20"/>
                <w:color w:val="auto"/>
              </w:rPr>
            </w:pPr>
            <w:r>
              <w:rPr>
                <w:rFonts w:ascii="Arial" w:cs="Arial" w:eastAsia="Arial" w:hAnsi="Arial"/>
                <w:sz w:val="18"/>
                <w:szCs w:val="18"/>
                <w:color w:val="144F82"/>
                <w:w w:val="99"/>
              </w:rPr>
              <w:t>Management’s Discussion and Analysis of Financial Condition and Results of Operations</w:t>
            </w:r>
          </w:p>
        </w:tc>
        <w:tc>
          <w:tcPr>
            <w:tcW w:w="1620" w:type="dxa"/>
            <w:vAlign w:val="bottom"/>
          </w:tcPr>
          <w:p>
            <w:pPr>
              <w:spacing w:after="0"/>
              <w:rPr>
                <w:sz w:val="18"/>
                <w:szCs w:val="18"/>
                <w:color w:val="auto"/>
              </w:rPr>
            </w:pPr>
          </w:p>
        </w:tc>
        <w:tc>
          <w:tcPr>
            <w:tcW w:w="900" w:type="dxa"/>
            <w:vAlign w:val="bottom"/>
            <w:gridSpan w:val="3"/>
          </w:tcPr>
          <w:p>
            <w:pPr>
              <w:jc w:val="right"/>
              <w:ind w:right="700"/>
              <w:spacing w:after="0"/>
              <w:rPr>
                <w:sz w:val="20"/>
                <w:szCs w:val="20"/>
                <w:color w:val="auto"/>
              </w:rPr>
            </w:pPr>
            <w:r>
              <w:rPr>
                <w:rFonts w:ascii="Arial" w:cs="Arial" w:eastAsia="Arial" w:hAnsi="Arial"/>
                <w:sz w:val="18"/>
                <w:szCs w:val="18"/>
                <w:color w:val="144F82"/>
                <w:w w:val="89"/>
              </w:rPr>
              <w:t>48</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380" w:type="dxa"/>
            <w:vAlign w:val="bottom"/>
            <w:shd w:val="clear" w:color="auto" w:fill="144F82"/>
          </w:tcPr>
          <w:p>
            <w:pPr>
              <w:spacing w:after="0" w:line="20" w:lineRule="exact"/>
              <w:rPr>
                <w:sz w:val="1"/>
                <w:szCs w:val="1"/>
                <w:color w:val="auto"/>
              </w:rPr>
            </w:pPr>
          </w:p>
        </w:tc>
        <w:tc>
          <w:tcPr>
            <w:tcW w:w="400" w:type="dxa"/>
            <w:vAlign w:val="bottom"/>
            <w:shd w:val="clear" w:color="auto" w:fill="144F82"/>
          </w:tcPr>
          <w:p>
            <w:pPr>
              <w:spacing w:after="0" w:line="20" w:lineRule="exact"/>
              <w:rPr>
                <w:sz w:val="1"/>
                <w:szCs w:val="1"/>
                <w:color w:val="auto"/>
              </w:rPr>
            </w:pPr>
          </w:p>
        </w:tc>
        <w:tc>
          <w:tcPr>
            <w:tcW w:w="80" w:type="dxa"/>
            <w:vAlign w:val="bottom"/>
            <w:shd w:val="clear" w:color="auto" w:fill="144F82"/>
          </w:tcPr>
          <w:p>
            <w:pPr>
              <w:spacing w:after="0" w:line="20" w:lineRule="exact"/>
              <w:rPr>
                <w:sz w:val="1"/>
                <w:szCs w:val="1"/>
                <w:color w:val="auto"/>
              </w:rPr>
            </w:pPr>
          </w:p>
        </w:tc>
        <w:tc>
          <w:tcPr>
            <w:tcW w:w="200" w:type="dxa"/>
            <w:vAlign w:val="bottom"/>
            <w:shd w:val="clear" w:color="auto" w:fill="144F82"/>
          </w:tcPr>
          <w:p>
            <w:pPr>
              <w:spacing w:after="0" w:line="20" w:lineRule="exact"/>
              <w:rPr>
                <w:sz w:val="1"/>
                <w:szCs w:val="1"/>
                <w:color w:val="auto"/>
              </w:rPr>
            </w:pPr>
          </w:p>
        </w:tc>
        <w:tc>
          <w:tcPr>
            <w:tcW w:w="240" w:type="dxa"/>
            <w:vAlign w:val="bottom"/>
            <w:shd w:val="clear" w:color="auto" w:fill="144F82"/>
          </w:tcPr>
          <w:p>
            <w:pPr>
              <w:spacing w:after="0" w:line="20" w:lineRule="exact"/>
              <w:rPr>
                <w:sz w:val="1"/>
                <w:szCs w:val="1"/>
                <w:color w:val="auto"/>
              </w:rPr>
            </w:pPr>
          </w:p>
        </w:tc>
        <w:tc>
          <w:tcPr>
            <w:tcW w:w="620" w:type="dxa"/>
            <w:vAlign w:val="bottom"/>
            <w:tcBorders>
              <w:left w:val="single" w:sz="8" w:color="144F82"/>
            </w:tcBorders>
            <w:shd w:val="clear" w:color="auto" w:fill="144F82"/>
          </w:tcPr>
          <w:p>
            <w:pPr>
              <w:spacing w:after="0" w:line="20" w:lineRule="exact"/>
              <w:rPr>
                <w:sz w:val="1"/>
                <w:szCs w:val="1"/>
                <w:color w:val="auto"/>
              </w:rPr>
            </w:pPr>
          </w:p>
        </w:tc>
        <w:tc>
          <w:tcPr>
            <w:tcW w:w="160" w:type="dxa"/>
            <w:vAlign w:val="bottom"/>
            <w:shd w:val="clear" w:color="auto" w:fill="144F82"/>
          </w:tcPr>
          <w:p>
            <w:pPr>
              <w:spacing w:after="0" w:line="20" w:lineRule="exact"/>
              <w:rPr>
                <w:sz w:val="1"/>
                <w:szCs w:val="1"/>
                <w:color w:val="auto"/>
              </w:rPr>
            </w:pPr>
          </w:p>
        </w:tc>
        <w:tc>
          <w:tcPr>
            <w:tcW w:w="1980" w:type="dxa"/>
            <w:vAlign w:val="bottom"/>
            <w:shd w:val="clear" w:color="auto" w:fill="144F82"/>
          </w:tcPr>
          <w:p>
            <w:pPr>
              <w:spacing w:after="0" w:line="20" w:lineRule="exact"/>
              <w:rPr>
                <w:sz w:val="1"/>
                <w:szCs w:val="1"/>
                <w:color w:val="auto"/>
              </w:rPr>
            </w:pPr>
          </w:p>
        </w:tc>
        <w:tc>
          <w:tcPr>
            <w:tcW w:w="160" w:type="dxa"/>
            <w:vAlign w:val="bottom"/>
            <w:shd w:val="clear" w:color="auto" w:fill="144F82"/>
          </w:tcPr>
          <w:p>
            <w:pPr>
              <w:spacing w:after="0" w:line="20" w:lineRule="exact"/>
              <w:rPr>
                <w:sz w:val="1"/>
                <w:szCs w:val="1"/>
                <w:color w:val="auto"/>
              </w:rPr>
            </w:pPr>
          </w:p>
        </w:tc>
        <w:tc>
          <w:tcPr>
            <w:tcW w:w="2240" w:type="dxa"/>
            <w:vAlign w:val="bottom"/>
            <w:shd w:val="clear" w:color="auto" w:fill="144F8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1640" w:type="dxa"/>
            <w:vAlign w:val="bottom"/>
          </w:tcPr>
          <w:p>
            <w:pPr>
              <w:ind w:left="700"/>
              <w:spacing w:after="0"/>
              <w:rPr>
                <w:sz w:val="20"/>
                <w:szCs w:val="20"/>
                <w:color w:val="auto"/>
              </w:rPr>
            </w:pPr>
            <w:r>
              <w:rPr>
                <w:rFonts w:ascii="Arial" w:cs="Arial" w:eastAsia="Arial" w:hAnsi="Arial"/>
                <w:sz w:val="18"/>
                <w:szCs w:val="18"/>
                <w:color w:val="144F82"/>
              </w:rPr>
              <w:t>Item 3.</w:t>
            </w:r>
          </w:p>
        </w:tc>
        <w:tc>
          <w:tcPr>
            <w:tcW w:w="7080" w:type="dxa"/>
            <w:vAlign w:val="bottom"/>
            <w:gridSpan w:val="11"/>
          </w:tcPr>
          <w:p>
            <w:pPr>
              <w:spacing w:after="0"/>
              <w:rPr>
                <w:sz w:val="20"/>
                <w:szCs w:val="20"/>
                <w:color w:val="auto"/>
              </w:rPr>
            </w:pPr>
            <w:r>
              <w:rPr>
                <w:rFonts w:ascii="Arial" w:cs="Arial" w:eastAsia="Arial" w:hAnsi="Arial"/>
                <w:sz w:val="18"/>
                <w:szCs w:val="18"/>
                <w:color w:val="144F82"/>
              </w:rPr>
              <w:t>Quantitative and Qualitative Disclosures about Market Risk</w:t>
            </w:r>
          </w:p>
        </w:tc>
        <w:tc>
          <w:tcPr>
            <w:tcW w:w="1620" w:type="dxa"/>
            <w:vAlign w:val="bottom"/>
          </w:tcPr>
          <w:p>
            <w:pPr>
              <w:spacing w:after="0"/>
              <w:rPr>
                <w:sz w:val="18"/>
                <w:szCs w:val="18"/>
                <w:color w:val="auto"/>
              </w:rPr>
            </w:pPr>
          </w:p>
        </w:tc>
        <w:tc>
          <w:tcPr>
            <w:tcW w:w="900" w:type="dxa"/>
            <w:vAlign w:val="bottom"/>
            <w:gridSpan w:val="3"/>
          </w:tcPr>
          <w:p>
            <w:pPr>
              <w:jc w:val="right"/>
              <w:ind w:right="700"/>
              <w:spacing w:after="0"/>
              <w:rPr>
                <w:sz w:val="20"/>
                <w:szCs w:val="20"/>
                <w:color w:val="auto"/>
              </w:rPr>
            </w:pPr>
            <w:r>
              <w:rPr>
                <w:rFonts w:ascii="Arial" w:cs="Arial" w:eastAsia="Arial" w:hAnsi="Arial"/>
                <w:sz w:val="18"/>
                <w:szCs w:val="18"/>
                <w:color w:val="144F82"/>
                <w:w w:val="89"/>
              </w:rPr>
              <w:t>74</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380" w:type="dxa"/>
            <w:vAlign w:val="bottom"/>
            <w:shd w:val="clear" w:color="auto" w:fill="144F82"/>
          </w:tcPr>
          <w:p>
            <w:pPr>
              <w:spacing w:after="0" w:line="20" w:lineRule="exact"/>
              <w:rPr>
                <w:sz w:val="1"/>
                <w:szCs w:val="1"/>
                <w:color w:val="auto"/>
              </w:rPr>
            </w:pPr>
          </w:p>
        </w:tc>
        <w:tc>
          <w:tcPr>
            <w:tcW w:w="400" w:type="dxa"/>
            <w:vAlign w:val="bottom"/>
            <w:shd w:val="clear" w:color="auto" w:fill="144F82"/>
          </w:tcPr>
          <w:p>
            <w:pPr>
              <w:spacing w:after="0" w:line="20" w:lineRule="exact"/>
              <w:rPr>
                <w:sz w:val="1"/>
                <w:szCs w:val="1"/>
                <w:color w:val="auto"/>
              </w:rPr>
            </w:pPr>
          </w:p>
        </w:tc>
        <w:tc>
          <w:tcPr>
            <w:tcW w:w="80" w:type="dxa"/>
            <w:vAlign w:val="bottom"/>
            <w:shd w:val="clear" w:color="auto" w:fill="144F82"/>
          </w:tcPr>
          <w:p>
            <w:pPr>
              <w:spacing w:after="0" w:line="20" w:lineRule="exact"/>
              <w:rPr>
                <w:sz w:val="1"/>
                <w:szCs w:val="1"/>
                <w:color w:val="auto"/>
              </w:rPr>
            </w:pPr>
          </w:p>
        </w:tc>
        <w:tc>
          <w:tcPr>
            <w:tcW w:w="440" w:type="dxa"/>
            <w:vAlign w:val="bottom"/>
            <w:gridSpan w:val="2"/>
            <w:shd w:val="clear" w:color="auto" w:fill="144F82"/>
          </w:tcPr>
          <w:p>
            <w:pPr>
              <w:spacing w:after="0" w:line="20" w:lineRule="exact"/>
              <w:rPr>
                <w:sz w:val="1"/>
                <w:szCs w:val="1"/>
                <w:color w:val="auto"/>
              </w:rPr>
            </w:pPr>
          </w:p>
        </w:tc>
        <w:tc>
          <w:tcPr>
            <w:tcW w:w="620" w:type="dxa"/>
            <w:vAlign w:val="bottom"/>
            <w:tcBorders>
              <w:left w:val="single" w:sz="8" w:color="144F82"/>
            </w:tcBorders>
            <w:shd w:val="clear" w:color="auto" w:fill="144F82"/>
          </w:tcPr>
          <w:p>
            <w:pPr>
              <w:spacing w:after="0" w:line="20" w:lineRule="exact"/>
              <w:rPr>
                <w:sz w:val="1"/>
                <w:szCs w:val="1"/>
                <w:color w:val="auto"/>
              </w:rPr>
            </w:pPr>
          </w:p>
        </w:tc>
        <w:tc>
          <w:tcPr>
            <w:tcW w:w="2140" w:type="dxa"/>
            <w:vAlign w:val="bottom"/>
            <w:gridSpan w:val="2"/>
            <w:shd w:val="clear" w:color="auto" w:fill="144F8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00" w:type="dxa"/>
            <w:vAlign w:val="bottom"/>
            <w:gridSpan w:val="2"/>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1640" w:type="dxa"/>
            <w:vAlign w:val="bottom"/>
          </w:tcPr>
          <w:p>
            <w:pPr>
              <w:ind w:left="700"/>
              <w:spacing w:after="0"/>
              <w:rPr>
                <w:sz w:val="20"/>
                <w:szCs w:val="20"/>
                <w:color w:val="auto"/>
              </w:rPr>
            </w:pPr>
            <w:r>
              <w:rPr>
                <w:rFonts w:ascii="Arial" w:cs="Arial" w:eastAsia="Arial" w:hAnsi="Arial"/>
                <w:sz w:val="18"/>
                <w:szCs w:val="18"/>
                <w:color w:val="144F82"/>
              </w:rPr>
              <w:t>Item 4.</w:t>
            </w:r>
          </w:p>
        </w:tc>
        <w:tc>
          <w:tcPr>
            <w:tcW w:w="4680" w:type="dxa"/>
            <w:vAlign w:val="bottom"/>
            <w:gridSpan w:val="9"/>
          </w:tcPr>
          <w:p>
            <w:pPr>
              <w:spacing w:after="0"/>
              <w:rPr>
                <w:sz w:val="20"/>
                <w:szCs w:val="20"/>
                <w:color w:val="auto"/>
              </w:rPr>
            </w:pPr>
            <w:r>
              <w:rPr>
                <w:rFonts w:ascii="Arial" w:cs="Arial" w:eastAsia="Arial" w:hAnsi="Arial"/>
                <w:sz w:val="18"/>
                <w:szCs w:val="18"/>
                <w:color w:val="144F82"/>
              </w:rPr>
              <w:t>Controls and Procedures</w:t>
            </w:r>
          </w:p>
        </w:tc>
        <w:tc>
          <w:tcPr>
            <w:tcW w:w="4020" w:type="dxa"/>
            <w:vAlign w:val="bottom"/>
            <w:gridSpan w:val="3"/>
          </w:tcPr>
          <w:p>
            <w:pPr>
              <w:spacing w:after="0"/>
              <w:rPr>
                <w:sz w:val="18"/>
                <w:szCs w:val="18"/>
                <w:color w:val="auto"/>
              </w:rPr>
            </w:pPr>
          </w:p>
        </w:tc>
        <w:tc>
          <w:tcPr>
            <w:tcW w:w="900" w:type="dxa"/>
            <w:vAlign w:val="bottom"/>
            <w:gridSpan w:val="3"/>
          </w:tcPr>
          <w:p>
            <w:pPr>
              <w:jc w:val="right"/>
              <w:ind w:right="700"/>
              <w:spacing w:after="0"/>
              <w:rPr>
                <w:sz w:val="20"/>
                <w:szCs w:val="20"/>
                <w:color w:val="auto"/>
              </w:rPr>
            </w:pPr>
            <w:r>
              <w:rPr>
                <w:rFonts w:ascii="Arial" w:cs="Arial" w:eastAsia="Arial" w:hAnsi="Arial"/>
                <w:sz w:val="18"/>
                <w:szCs w:val="18"/>
                <w:color w:val="144F82"/>
                <w:w w:val="89"/>
              </w:rPr>
              <w:t>77</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380" w:type="dxa"/>
            <w:vAlign w:val="bottom"/>
            <w:shd w:val="clear" w:color="auto" w:fill="144F82"/>
          </w:tcPr>
          <w:p>
            <w:pPr>
              <w:spacing w:after="0" w:line="20" w:lineRule="exact"/>
              <w:rPr>
                <w:sz w:val="1"/>
                <w:szCs w:val="1"/>
                <w:color w:val="auto"/>
              </w:rPr>
            </w:pPr>
          </w:p>
        </w:tc>
        <w:tc>
          <w:tcPr>
            <w:tcW w:w="400" w:type="dxa"/>
            <w:vAlign w:val="bottom"/>
            <w:shd w:val="clear" w:color="auto" w:fill="144F82"/>
          </w:tcPr>
          <w:p>
            <w:pPr>
              <w:spacing w:after="0" w:line="20" w:lineRule="exact"/>
              <w:rPr>
                <w:sz w:val="1"/>
                <w:szCs w:val="1"/>
                <w:color w:val="auto"/>
              </w:rPr>
            </w:pPr>
          </w:p>
        </w:tc>
        <w:tc>
          <w:tcPr>
            <w:tcW w:w="80" w:type="dxa"/>
            <w:vAlign w:val="bottom"/>
            <w:shd w:val="clear" w:color="auto" w:fill="144F82"/>
          </w:tcPr>
          <w:p>
            <w:pPr>
              <w:spacing w:after="0" w:line="20" w:lineRule="exact"/>
              <w:rPr>
                <w:sz w:val="1"/>
                <w:szCs w:val="1"/>
                <w:color w:val="auto"/>
              </w:rPr>
            </w:pPr>
          </w:p>
        </w:tc>
        <w:tc>
          <w:tcPr>
            <w:tcW w:w="440" w:type="dxa"/>
            <w:vAlign w:val="bottom"/>
            <w:gridSpan w:val="2"/>
            <w:shd w:val="clear" w:color="auto" w:fill="144F82"/>
          </w:tcPr>
          <w:p>
            <w:pPr>
              <w:spacing w:after="0" w:line="20" w:lineRule="exact"/>
              <w:rPr>
                <w:sz w:val="1"/>
                <w:szCs w:val="1"/>
                <w:color w:val="auto"/>
              </w:rPr>
            </w:pPr>
          </w:p>
        </w:tc>
        <w:tc>
          <w:tcPr>
            <w:tcW w:w="620" w:type="dxa"/>
            <w:vAlign w:val="bottom"/>
            <w:tcBorders>
              <w:left w:val="single" w:sz="8" w:color="144F82"/>
            </w:tcBorders>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5"/>
        </w:trPr>
        <w:tc>
          <w:tcPr>
            <w:tcW w:w="10340" w:type="dxa"/>
            <w:vAlign w:val="bottom"/>
            <w:gridSpan w:val="13"/>
          </w:tcPr>
          <w:p>
            <w:pPr>
              <w:ind w:left="700"/>
              <w:spacing w:after="0"/>
              <w:rPr>
                <w:sz w:val="20"/>
                <w:szCs w:val="20"/>
                <w:color w:val="auto"/>
              </w:rPr>
            </w:pPr>
            <w:r>
              <w:rPr>
                <w:rFonts w:ascii="Arial" w:cs="Arial" w:eastAsia="Arial" w:hAnsi="Arial"/>
                <w:sz w:val="18"/>
                <w:szCs w:val="18"/>
                <w:b w:val="1"/>
                <w:bCs w:val="1"/>
                <w:color w:val="144F82"/>
              </w:rPr>
              <w:t>PART II. Other Information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194"/>
        </w:trPr>
        <w:tc>
          <w:tcPr>
            <w:tcW w:w="1640" w:type="dxa"/>
            <w:vAlign w:val="bottom"/>
          </w:tcPr>
          <w:p>
            <w:pPr>
              <w:ind w:left="700"/>
              <w:spacing w:after="0" w:line="195" w:lineRule="exact"/>
              <w:rPr>
                <w:sz w:val="20"/>
                <w:szCs w:val="20"/>
                <w:color w:val="auto"/>
              </w:rPr>
            </w:pPr>
            <w:r>
              <w:rPr>
                <w:rFonts w:ascii="Arial" w:cs="Arial" w:eastAsia="Arial" w:hAnsi="Arial"/>
                <w:sz w:val="18"/>
                <w:szCs w:val="18"/>
                <w:color w:val="144F82"/>
              </w:rPr>
              <w:t>Item 1.</w:t>
            </w:r>
          </w:p>
        </w:tc>
        <w:tc>
          <w:tcPr>
            <w:tcW w:w="8700" w:type="dxa"/>
            <w:vAlign w:val="bottom"/>
            <w:gridSpan w:val="12"/>
          </w:tcPr>
          <w:p>
            <w:pPr>
              <w:spacing w:after="0" w:line="195" w:lineRule="exact"/>
              <w:rPr>
                <w:sz w:val="20"/>
                <w:szCs w:val="20"/>
                <w:color w:val="auto"/>
              </w:rPr>
            </w:pPr>
            <w:r>
              <w:rPr>
                <w:rFonts w:ascii="Arial" w:cs="Arial" w:eastAsia="Arial" w:hAnsi="Arial"/>
                <w:sz w:val="18"/>
                <w:szCs w:val="18"/>
                <w:color w:val="144F82"/>
              </w:rPr>
              <w:t>Legal Proceedings</w:t>
            </w:r>
          </w:p>
        </w:tc>
        <w:tc>
          <w:tcPr>
            <w:tcW w:w="900" w:type="dxa"/>
            <w:vAlign w:val="bottom"/>
            <w:gridSpan w:val="3"/>
          </w:tcPr>
          <w:p>
            <w:pPr>
              <w:jc w:val="right"/>
              <w:ind w:right="700"/>
              <w:spacing w:after="0" w:line="195" w:lineRule="exact"/>
              <w:rPr>
                <w:sz w:val="20"/>
                <w:szCs w:val="20"/>
                <w:color w:val="auto"/>
              </w:rPr>
            </w:pPr>
            <w:r>
              <w:rPr>
                <w:rFonts w:ascii="Arial" w:cs="Arial" w:eastAsia="Arial" w:hAnsi="Arial"/>
                <w:sz w:val="18"/>
                <w:szCs w:val="18"/>
                <w:color w:val="144F82"/>
                <w:w w:val="89"/>
              </w:rPr>
              <w:t>78</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380" w:type="dxa"/>
            <w:vAlign w:val="bottom"/>
            <w:shd w:val="clear" w:color="auto" w:fill="144F82"/>
          </w:tcPr>
          <w:p>
            <w:pPr>
              <w:spacing w:after="0" w:line="20" w:lineRule="exact"/>
              <w:rPr>
                <w:sz w:val="1"/>
                <w:szCs w:val="1"/>
                <w:color w:val="auto"/>
              </w:rPr>
            </w:pPr>
          </w:p>
        </w:tc>
        <w:tc>
          <w:tcPr>
            <w:tcW w:w="400" w:type="dxa"/>
            <w:vAlign w:val="bottom"/>
            <w:shd w:val="clear" w:color="auto" w:fill="144F82"/>
          </w:tcPr>
          <w:p>
            <w:pPr>
              <w:spacing w:after="0" w:line="20" w:lineRule="exact"/>
              <w:rPr>
                <w:sz w:val="1"/>
                <w:szCs w:val="1"/>
                <w:color w:val="auto"/>
              </w:rPr>
            </w:pPr>
          </w:p>
        </w:tc>
        <w:tc>
          <w:tcPr>
            <w:tcW w:w="80" w:type="dxa"/>
            <w:vAlign w:val="bottom"/>
            <w:shd w:val="clear" w:color="auto" w:fill="144F8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1640" w:type="dxa"/>
            <w:vAlign w:val="bottom"/>
          </w:tcPr>
          <w:p>
            <w:pPr>
              <w:ind w:left="700"/>
              <w:spacing w:after="0"/>
              <w:rPr>
                <w:sz w:val="20"/>
                <w:szCs w:val="20"/>
                <w:color w:val="auto"/>
              </w:rPr>
            </w:pPr>
            <w:r>
              <w:rPr>
                <w:rFonts w:ascii="Arial" w:cs="Arial" w:eastAsia="Arial" w:hAnsi="Arial"/>
                <w:sz w:val="18"/>
                <w:szCs w:val="18"/>
                <w:color w:val="144F82"/>
              </w:rPr>
              <w:t>Item 1A.</w:t>
            </w:r>
          </w:p>
        </w:tc>
        <w:tc>
          <w:tcPr>
            <w:tcW w:w="1000" w:type="dxa"/>
            <w:vAlign w:val="bottom"/>
            <w:gridSpan w:val="2"/>
          </w:tcPr>
          <w:p>
            <w:pPr>
              <w:spacing w:after="0"/>
              <w:rPr>
                <w:sz w:val="20"/>
                <w:szCs w:val="20"/>
                <w:color w:val="auto"/>
              </w:rPr>
            </w:pPr>
            <w:r>
              <w:rPr>
                <w:rFonts w:ascii="Arial" w:cs="Arial" w:eastAsia="Arial" w:hAnsi="Arial"/>
                <w:sz w:val="18"/>
                <w:szCs w:val="18"/>
                <w:color w:val="144F82"/>
                <w:w w:val="97"/>
              </w:rPr>
              <w:t>Risk Factors</w:t>
            </w:r>
          </w:p>
        </w:tc>
        <w:tc>
          <w:tcPr>
            <w:tcW w:w="480" w:type="dxa"/>
            <w:vAlign w:val="bottom"/>
            <w:gridSpan w:val="2"/>
          </w:tcPr>
          <w:p>
            <w:pPr>
              <w:spacing w:after="0"/>
              <w:rPr>
                <w:sz w:val="18"/>
                <w:szCs w:val="18"/>
                <w:color w:val="auto"/>
              </w:rPr>
            </w:pPr>
          </w:p>
        </w:tc>
        <w:tc>
          <w:tcPr>
            <w:tcW w:w="7220" w:type="dxa"/>
            <w:vAlign w:val="bottom"/>
            <w:gridSpan w:val="8"/>
          </w:tcPr>
          <w:p>
            <w:pPr>
              <w:spacing w:after="0"/>
              <w:rPr>
                <w:sz w:val="18"/>
                <w:szCs w:val="18"/>
                <w:color w:val="auto"/>
              </w:rPr>
            </w:pPr>
          </w:p>
        </w:tc>
        <w:tc>
          <w:tcPr>
            <w:tcW w:w="900" w:type="dxa"/>
            <w:vAlign w:val="bottom"/>
            <w:gridSpan w:val="3"/>
          </w:tcPr>
          <w:p>
            <w:pPr>
              <w:jc w:val="right"/>
              <w:ind w:right="700"/>
              <w:spacing w:after="0"/>
              <w:rPr>
                <w:sz w:val="20"/>
                <w:szCs w:val="20"/>
                <w:color w:val="auto"/>
              </w:rPr>
            </w:pPr>
            <w:r>
              <w:rPr>
                <w:rFonts w:ascii="Arial" w:cs="Arial" w:eastAsia="Arial" w:hAnsi="Arial"/>
                <w:sz w:val="18"/>
                <w:szCs w:val="18"/>
                <w:color w:val="144F82"/>
                <w:w w:val="89"/>
              </w:rPr>
              <w:t>78</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380" w:type="dxa"/>
            <w:vAlign w:val="bottom"/>
            <w:shd w:val="clear" w:color="auto" w:fill="144F8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00" w:type="dxa"/>
            <w:vAlign w:val="bottom"/>
            <w:gridSpan w:val="2"/>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9"/>
        </w:trPr>
        <w:tc>
          <w:tcPr>
            <w:tcW w:w="1640" w:type="dxa"/>
            <w:vAlign w:val="bottom"/>
          </w:tcPr>
          <w:p>
            <w:pPr>
              <w:ind w:left="700"/>
              <w:spacing w:after="0"/>
              <w:rPr>
                <w:sz w:val="20"/>
                <w:szCs w:val="20"/>
                <w:color w:val="auto"/>
              </w:rPr>
            </w:pPr>
            <w:r>
              <w:rPr>
                <w:rFonts w:ascii="Arial" w:cs="Arial" w:eastAsia="Arial" w:hAnsi="Arial"/>
                <w:sz w:val="18"/>
                <w:szCs w:val="18"/>
                <w:color w:val="144F82"/>
              </w:rPr>
              <w:t>Item 2.</w:t>
            </w:r>
          </w:p>
        </w:tc>
        <w:tc>
          <w:tcPr>
            <w:tcW w:w="8700" w:type="dxa"/>
            <w:vAlign w:val="bottom"/>
            <w:gridSpan w:val="12"/>
          </w:tcPr>
          <w:p>
            <w:pPr>
              <w:spacing w:after="0"/>
              <w:rPr>
                <w:sz w:val="20"/>
                <w:szCs w:val="20"/>
                <w:color w:val="auto"/>
              </w:rPr>
            </w:pPr>
            <w:r>
              <w:rPr>
                <w:rFonts w:ascii="Arial" w:cs="Arial" w:eastAsia="Arial" w:hAnsi="Arial"/>
                <w:sz w:val="18"/>
                <w:szCs w:val="18"/>
                <w:color w:val="144F82"/>
              </w:rPr>
              <w:t>Unregistered Sales of Equity Securities and Use of Proceeds</w:t>
            </w:r>
          </w:p>
        </w:tc>
        <w:tc>
          <w:tcPr>
            <w:tcW w:w="900" w:type="dxa"/>
            <w:vAlign w:val="bottom"/>
            <w:gridSpan w:val="3"/>
          </w:tcPr>
          <w:p>
            <w:pPr>
              <w:jc w:val="right"/>
              <w:ind w:right="700"/>
              <w:spacing w:after="0"/>
              <w:rPr>
                <w:sz w:val="20"/>
                <w:szCs w:val="20"/>
                <w:color w:val="auto"/>
              </w:rPr>
            </w:pPr>
            <w:r>
              <w:rPr>
                <w:rFonts w:ascii="Arial" w:cs="Arial" w:eastAsia="Arial" w:hAnsi="Arial"/>
                <w:sz w:val="18"/>
                <w:szCs w:val="18"/>
                <w:color w:val="144F82"/>
                <w:w w:val="89"/>
              </w:rPr>
              <w:t>78</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780" w:type="dxa"/>
            <w:vAlign w:val="bottom"/>
            <w:gridSpan w:val="2"/>
            <w:shd w:val="clear" w:color="auto" w:fill="144F82"/>
          </w:tcPr>
          <w:p>
            <w:pPr>
              <w:spacing w:after="0" w:line="20" w:lineRule="exact"/>
              <w:rPr>
                <w:sz w:val="1"/>
                <w:szCs w:val="1"/>
                <w:color w:val="auto"/>
              </w:rPr>
            </w:pPr>
          </w:p>
        </w:tc>
        <w:tc>
          <w:tcPr>
            <w:tcW w:w="520" w:type="dxa"/>
            <w:vAlign w:val="bottom"/>
            <w:gridSpan w:val="3"/>
            <w:shd w:val="clear" w:color="auto" w:fill="144F82"/>
          </w:tcPr>
          <w:p>
            <w:pPr>
              <w:spacing w:after="0" w:line="20" w:lineRule="exact"/>
              <w:rPr>
                <w:sz w:val="1"/>
                <w:szCs w:val="1"/>
                <w:color w:val="auto"/>
              </w:rPr>
            </w:pPr>
          </w:p>
        </w:tc>
        <w:tc>
          <w:tcPr>
            <w:tcW w:w="620" w:type="dxa"/>
            <w:vAlign w:val="bottom"/>
            <w:tcBorders>
              <w:left w:val="single" w:sz="8" w:color="144F82"/>
            </w:tcBorders>
            <w:shd w:val="clear" w:color="auto" w:fill="144F82"/>
          </w:tcPr>
          <w:p>
            <w:pPr>
              <w:spacing w:after="0" w:line="20" w:lineRule="exact"/>
              <w:rPr>
                <w:sz w:val="1"/>
                <w:szCs w:val="1"/>
                <w:color w:val="auto"/>
              </w:rPr>
            </w:pPr>
          </w:p>
        </w:tc>
        <w:tc>
          <w:tcPr>
            <w:tcW w:w="2300" w:type="dxa"/>
            <w:vAlign w:val="bottom"/>
            <w:gridSpan w:val="3"/>
            <w:shd w:val="clear" w:color="auto" w:fill="144F82"/>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00" w:type="dxa"/>
            <w:vAlign w:val="bottom"/>
            <w:gridSpan w:val="2"/>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1640" w:type="dxa"/>
            <w:vAlign w:val="bottom"/>
          </w:tcPr>
          <w:p>
            <w:pPr>
              <w:ind w:left="700"/>
              <w:spacing w:after="0"/>
              <w:rPr>
                <w:sz w:val="20"/>
                <w:szCs w:val="20"/>
                <w:color w:val="auto"/>
              </w:rPr>
            </w:pPr>
            <w:r>
              <w:rPr>
                <w:rFonts w:ascii="Arial" w:cs="Arial" w:eastAsia="Arial" w:hAnsi="Arial"/>
                <w:sz w:val="18"/>
                <w:szCs w:val="18"/>
                <w:color w:val="144F82"/>
              </w:rPr>
              <w:t>Item 3.</w:t>
            </w:r>
          </w:p>
        </w:tc>
        <w:tc>
          <w:tcPr>
            <w:tcW w:w="4840" w:type="dxa"/>
            <w:vAlign w:val="bottom"/>
            <w:gridSpan w:val="10"/>
          </w:tcPr>
          <w:p>
            <w:pPr>
              <w:spacing w:after="0"/>
              <w:rPr>
                <w:sz w:val="20"/>
                <w:szCs w:val="20"/>
                <w:color w:val="auto"/>
              </w:rPr>
            </w:pPr>
            <w:r>
              <w:rPr>
                <w:rFonts w:ascii="Arial" w:cs="Arial" w:eastAsia="Arial" w:hAnsi="Arial"/>
                <w:sz w:val="18"/>
                <w:szCs w:val="18"/>
                <w:color w:val="144F82"/>
              </w:rPr>
              <w:t>Defaults Upon Senior Securities</w:t>
            </w:r>
          </w:p>
        </w:tc>
        <w:tc>
          <w:tcPr>
            <w:tcW w:w="3860" w:type="dxa"/>
            <w:vAlign w:val="bottom"/>
            <w:gridSpan w:val="2"/>
          </w:tcPr>
          <w:p>
            <w:pPr>
              <w:spacing w:after="0"/>
              <w:rPr>
                <w:sz w:val="18"/>
                <w:szCs w:val="18"/>
                <w:color w:val="auto"/>
              </w:rPr>
            </w:pPr>
          </w:p>
        </w:tc>
        <w:tc>
          <w:tcPr>
            <w:tcW w:w="900" w:type="dxa"/>
            <w:vAlign w:val="bottom"/>
            <w:gridSpan w:val="3"/>
          </w:tcPr>
          <w:p>
            <w:pPr>
              <w:jc w:val="right"/>
              <w:ind w:right="700"/>
              <w:spacing w:after="0"/>
              <w:rPr>
                <w:sz w:val="20"/>
                <w:szCs w:val="20"/>
                <w:color w:val="auto"/>
              </w:rPr>
            </w:pPr>
            <w:r>
              <w:rPr>
                <w:rFonts w:ascii="Arial" w:cs="Arial" w:eastAsia="Arial" w:hAnsi="Arial"/>
                <w:sz w:val="18"/>
                <w:szCs w:val="18"/>
                <w:color w:val="144F82"/>
                <w:w w:val="89"/>
              </w:rPr>
              <w:t>78</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380" w:type="dxa"/>
            <w:vAlign w:val="bottom"/>
            <w:shd w:val="clear" w:color="auto" w:fill="144F82"/>
          </w:tcPr>
          <w:p>
            <w:pPr>
              <w:spacing w:after="0" w:line="20" w:lineRule="exact"/>
              <w:rPr>
                <w:sz w:val="1"/>
                <w:szCs w:val="1"/>
                <w:color w:val="auto"/>
              </w:rPr>
            </w:pPr>
          </w:p>
        </w:tc>
        <w:tc>
          <w:tcPr>
            <w:tcW w:w="400" w:type="dxa"/>
            <w:vAlign w:val="bottom"/>
            <w:shd w:val="clear" w:color="auto" w:fill="144F82"/>
          </w:tcPr>
          <w:p>
            <w:pPr>
              <w:spacing w:after="0" w:line="20" w:lineRule="exact"/>
              <w:rPr>
                <w:sz w:val="1"/>
                <w:szCs w:val="1"/>
                <w:color w:val="auto"/>
              </w:rPr>
            </w:pPr>
          </w:p>
        </w:tc>
        <w:tc>
          <w:tcPr>
            <w:tcW w:w="80" w:type="dxa"/>
            <w:vAlign w:val="bottom"/>
            <w:shd w:val="clear" w:color="auto" w:fill="144F82"/>
          </w:tcPr>
          <w:p>
            <w:pPr>
              <w:spacing w:after="0" w:line="20" w:lineRule="exact"/>
              <w:rPr>
                <w:sz w:val="1"/>
                <w:szCs w:val="1"/>
                <w:color w:val="auto"/>
              </w:rPr>
            </w:pPr>
          </w:p>
        </w:tc>
        <w:tc>
          <w:tcPr>
            <w:tcW w:w="200" w:type="dxa"/>
            <w:vAlign w:val="bottom"/>
            <w:shd w:val="clear" w:color="auto" w:fill="144F82"/>
          </w:tcPr>
          <w:p>
            <w:pPr>
              <w:spacing w:after="0" w:line="20" w:lineRule="exact"/>
              <w:rPr>
                <w:sz w:val="1"/>
                <w:szCs w:val="1"/>
                <w:color w:val="auto"/>
              </w:rPr>
            </w:pPr>
          </w:p>
        </w:tc>
        <w:tc>
          <w:tcPr>
            <w:tcW w:w="240" w:type="dxa"/>
            <w:vAlign w:val="bottom"/>
            <w:shd w:val="clear" w:color="auto" w:fill="144F82"/>
          </w:tcPr>
          <w:p>
            <w:pPr>
              <w:spacing w:after="0" w:line="20" w:lineRule="exact"/>
              <w:rPr>
                <w:sz w:val="1"/>
                <w:szCs w:val="1"/>
                <w:color w:val="auto"/>
              </w:rPr>
            </w:pPr>
          </w:p>
        </w:tc>
        <w:tc>
          <w:tcPr>
            <w:tcW w:w="620" w:type="dxa"/>
            <w:vAlign w:val="bottom"/>
            <w:tcBorders>
              <w:left w:val="single" w:sz="8" w:color="144F82"/>
            </w:tcBorders>
            <w:shd w:val="clear" w:color="auto" w:fill="144F8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9"/>
        </w:trPr>
        <w:tc>
          <w:tcPr>
            <w:tcW w:w="1640" w:type="dxa"/>
            <w:vAlign w:val="bottom"/>
          </w:tcPr>
          <w:p>
            <w:pPr>
              <w:ind w:left="700"/>
              <w:spacing w:after="0"/>
              <w:rPr>
                <w:sz w:val="20"/>
                <w:szCs w:val="20"/>
                <w:color w:val="auto"/>
              </w:rPr>
            </w:pPr>
            <w:r>
              <w:rPr>
                <w:rFonts w:ascii="Arial" w:cs="Arial" w:eastAsia="Arial" w:hAnsi="Arial"/>
                <w:sz w:val="18"/>
                <w:szCs w:val="18"/>
                <w:color w:val="144F82"/>
              </w:rPr>
              <w:t>Item 4.</w:t>
            </w:r>
          </w:p>
        </w:tc>
        <w:tc>
          <w:tcPr>
            <w:tcW w:w="2540" w:type="dxa"/>
            <w:vAlign w:val="bottom"/>
            <w:gridSpan w:val="7"/>
          </w:tcPr>
          <w:p>
            <w:pPr>
              <w:spacing w:after="0"/>
              <w:rPr>
                <w:sz w:val="20"/>
                <w:szCs w:val="20"/>
                <w:color w:val="auto"/>
              </w:rPr>
            </w:pPr>
            <w:r>
              <w:rPr>
                <w:rFonts w:ascii="Arial" w:cs="Arial" w:eastAsia="Arial" w:hAnsi="Arial"/>
                <w:sz w:val="18"/>
                <w:szCs w:val="18"/>
                <w:color w:val="144F82"/>
              </w:rPr>
              <w:t>Mine Safety Disclosures</w:t>
            </w:r>
          </w:p>
        </w:tc>
        <w:tc>
          <w:tcPr>
            <w:tcW w:w="6160" w:type="dxa"/>
            <w:vAlign w:val="bottom"/>
            <w:gridSpan w:val="5"/>
          </w:tcPr>
          <w:p>
            <w:pPr>
              <w:spacing w:after="0"/>
              <w:rPr>
                <w:sz w:val="18"/>
                <w:szCs w:val="18"/>
                <w:color w:val="auto"/>
              </w:rPr>
            </w:pPr>
          </w:p>
        </w:tc>
        <w:tc>
          <w:tcPr>
            <w:tcW w:w="900" w:type="dxa"/>
            <w:vAlign w:val="bottom"/>
            <w:gridSpan w:val="3"/>
          </w:tcPr>
          <w:p>
            <w:pPr>
              <w:jc w:val="right"/>
              <w:ind w:right="700"/>
              <w:spacing w:after="0"/>
              <w:rPr>
                <w:sz w:val="20"/>
                <w:szCs w:val="20"/>
                <w:color w:val="auto"/>
              </w:rPr>
            </w:pPr>
            <w:r>
              <w:rPr>
                <w:rFonts w:ascii="Arial" w:cs="Arial" w:eastAsia="Arial" w:hAnsi="Arial"/>
                <w:sz w:val="18"/>
                <w:szCs w:val="18"/>
                <w:color w:val="144F82"/>
                <w:w w:val="89"/>
              </w:rPr>
              <w:t>78</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380" w:type="dxa"/>
            <w:vAlign w:val="bottom"/>
            <w:shd w:val="clear" w:color="auto" w:fill="144F82"/>
          </w:tcPr>
          <w:p>
            <w:pPr>
              <w:spacing w:after="0" w:line="20" w:lineRule="exact"/>
              <w:rPr>
                <w:sz w:val="1"/>
                <w:szCs w:val="1"/>
                <w:color w:val="auto"/>
              </w:rPr>
            </w:pPr>
          </w:p>
        </w:tc>
        <w:tc>
          <w:tcPr>
            <w:tcW w:w="400" w:type="dxa"/>
            <w:vAlign w:val="bottom"/>
            <w:shd w:val="clear" w:color="auto" w:fill="144F82"/>
          </w:tcPr>
          <w:p>
            <w:pPr>
              <w:spacing w:after="0" w:line="20" w:lineRule="exact"/>
              <w:rPr>
                <w:sz w:val="1"/>
                <w:szCs w:val="1"/>
                <w:color w:val="auto"/>
              </w:rPr>
            </w:pPr>
          </w:p>
        </w:tc>
        <w:tc>
          <w:tcPr>
            <w:tcW w:w="80" w:type="dxa"/>
            <w:vAlign w:val="bottom"/>
            <w:shd w:val="clear" w:color="auto" w:fill="144F82"/>
          </w:tcPr>
          <w:p>
            <w:pPr>
              <w:spacing w:after="0" w:line="20" w:lineRule="exact"/>
              <w:rPr>
                <w:sz w:val="1"/>
                <w:szCs w:val="1"/>
                <w:color w:val="auto"/>
              </w:rPr>
            </w:pPr>
          </w:p>
        </w:tc>
        <w:tc>
          <w:tcPr>
            <w:tcW w:w="200" w:type="dxa"/>
            <w:vAlign w:val="bottom"/>
            <w:shd w:val="clear" w:color="auto" w:fill="144F82"/>
          </w:tcPr>
          <w:p>
            <w:pPr>
              <w:spacing w:after="0" w:line="20" w:lineRule="exact"/>
              <w:rPr>
                <w:sz w:val="1"/>
                <w:szCs w:val="1"/>
                <w:color w:val="auto"/>
              </w:rPr>
            </w:pPr>
          </w:p>
        </w:tc>
        <w:tc>
          <w:tcPr>
            <w:tcW w:w="240" w:type="dxa"/>
            <w:vAlign w:val="bottom"/>
            <w:shd w:val="clear" w:color="auto" w:fill="144F8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100" w:type="dxa"/>
            <w:vAlign w:val="bottom"/>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9"/>
        </w:trPr>
        <w:tc>
          <w:tcPr>
            <w:tcW w:w="1640" w:type="dxa"/>
            <w:vAlign w:val="bottom"/>
          </w:tcPr>
          <w:p>
            <w:pPr>
              <w:ind w:left="700"/>
              <w:spacing w:after="0"/>
              <w:rPr>
                <w:sz w:val="20"/>
                <w:szCs w:val="20"/>
                <w:color w:val="auto"/>
              </w:rPr>
            </w:pPr>
            <w:r>
              <w:rPr>
                <w:rFonts w:ascii="Arial" w:cs="Arial" w:eastAsia="Arial" w:hAnsi="Arial"/>
                <w:sz w:val="18"/>
                <w:szCs w:val="18"/>
                <w:color w:val="144F82"/>
              </w:rPr>
              <w:t>Item 5.</w:t>
            </w:r>
          </w:p>
        </w:tc>
        <w:tc>
          <w:tcPr>
            <w:tcW w:w="1400" w:type="dxa"/>
            <w:vAlign w:val="bottom"/>
            <w:gridSpan w:val="3"/>
          </w:tcPr>
          <w:p>
            <w:pPr>
              <w:spacing w:after="0"/>
              <w:rPr>
                <w:sz w:val="20"/>
                <w:szCs w:val="20"/>
                <w:color w:val="auto"/>
              </w:rPr>
            </w:pPr>
            <w:r>
              <w:rPr>
                <w:rFonts w:ascii="Arial" w:cs="Arial" w:eastAsia="Arial" w:hAnsi="Arial"/>
                <w:sz w:val="18"/>
                <w:szCs w:val="18"/>
                <w:color w:val="144F82"/>
                <w:w w:val="98"/>
              </w:rPr>
              <w:t>Other Information</w:t>
            </w:r>
          </w:p>
        </w:tc>
        <w:tc>
          <w:tcPr>
            <w:tcW w:w="520" w:type="dxa"/>
            <w:vAlign w:val="bottom"/>
            <w:gridSpan w:val="3"/>
          </w:tcPr>
          <w:p>
            <w:pPr>
              <w:spacing w:after="0"/>
              <w:rPr>
                <w:sz w:val="18"/>
                <w:szCs w:val="18"/>
                <w:color w:val="auto"/>
              </w:rPr>
            </w:pPr>
          </w:p>
        </w:tc>
        <w:tc>
          <w:tcPr>
            <w:tcW w:w="6780" w:type="dxa"/>
            <w:vAlign w:val="bottom"/>
            <w:gridSpan w:val="6"/>
          </w:tcPr>
          <w:p>
            <w:pPr>
              <w:spacing w:after="0"/>
              <w:rPr>
                <w:sz w:val="18"/>
                <w:szCs w:val="18"/>
                <w:color w:val="auto"/>
              </w:rPr>
            </w:pPr>
          </w:p>
        </w:tc>
        <w:tc>
          <w:tcPr>
            <w:tcW w:w="900" w:type="dxa"/>
            <w:vAlign w:val="bottom"/>
            <w:gridSpan w:val="3"/>
          </w:tcPr>
          <w:p>
            <w:pPr>
              <w:jc w:val="right"/>
              <w:ind w:right="700"/>
              <w:spacing w:after="0"/>
              <w:rPr>
                <w:sz w:val="20"/>
                <w:szCs w:val="20"/>
                <w:color w:val="auto"/>
              </w:rPr>
            </w:pPr>
            <w:r>
              <w:rPr>
                <w:rFonts w:ascii="Arial" w:cs="Arial" w:eastAsia="Arial" w:hAnsi="Arial"/>
                <w:sz w:val="18"/>
                <w:szCs w:val="18"/>
                <w:color w:val="144F82"/>
                <w:w w:val="89"/>
              </w:rPr>
              <w:t>79</w:t>
            </w:r>
          </w:p>
        </w:tc>
      </w:tr>
      <w:tr>
        <w:trPr>
          <w:trHeight w:val="20"/>
        </w:trPr>
        <w:tc>
          <w:tcPr>
            <w:tcW w:w="1640" w:type="dxa"/>
            <w:vAlign w:val="bottom"/>
          </w:tcPr>
          <w:p>
            <w:pPr>
              <w:spacing w:after="0" w:line="20" w:lineRule="exact"/>
              <w:rPr>
                <w:sz w:val="1"/>
                <w:szCs w:val="1"/>
                <w:color w:val="auto"/>
              </w:rPr>
            </w:pPr>
          </w:p>
        </w:tc>
        <w:tc>
          <w:tcPr>
            <w:tcW w:w="620" w:type="dxa"/>
            <w:vAlign w:val="bottom"/>
            <w:shd w:val="clear" w:color="auto" w:fill="144F82"/>
          </w:tcPr>
          <w:p>
            <w:pPr>
              <w:spacing w:after="0" w:line="20" w:lineRule="exact"/>
              <w:rPr>
                <w:sz w:val="1"/>
                <w:szCs w:val="1"/>
                <w:color w:val="auto"/>
              </w:rPr>
            </w:pPr>
          </w:p>
        </w:tc>
        <w:tc>
          <w:tcPr>
            <w:tcW w:w="780" w:type="dxa"/>
            <w:vAlign w:val="bottom"/>
            <w:gridSpan w:val="2"/>
            <w:shd w:val="clear" w:color="auto" w:fill="144F82"/>
          </w:tcPr>
          <w:p>
            <w:pPr>
              <w:spacing w:after="0" w:line="20" w:lineRule="exact"/>
              <w:rPr>
                <w:sz w:val="1"/>
                <w:szCs w:val="1"/>
                <w:color w:val="auto"/>
              </w:rPr>
            </w:pPr>
          </w:p>
        </w:tc>
        <w:tc>
          <w:tcPr>
            <w:tcW w:w="7300" w:type="dxa"/>
            <w:vAlign w:val="bottom"/>
            <w:gridSpan w:val="9"/>
          </w:tcPr>
          <w:p>
            <w:pPr>
              <w:spacing w:after="0" w:line="20" w:lineRule="exact"/>
              <w:rPr>
                <w:sz w:val="1"/>
                <w:szCs w:val="1"/>
                <w:color w:val="auto"/>
              </w:rPr>
            </w:pPr>
          </w:p>
        </w:tc>
        <w:tc>
          <w:tcPr>
            <w:tcW w:w="200" w:type="dxa"/>
            <w:vAlign w:val="bottom"/>
            <w:gridSpan w:val="2"/>
            <w:shd w:val="clear" w:color="auto" w:fill="144F8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1640" w:type="dxa"/>
            <w:vAlign w:val="bottom"/>
          </w:tcPr>
          <w:p>
            <w:pPr>
              <w:ind w:left="700"/>
              <w:spacing w:after="0"/>
              <w:rPr>
                <w:sz w:val="20"/>
                <w:szCs w:val="20"/>
                <w:color w:val="auto"/>
              </w:rPr>
            </w:pPr>
            <w:r>
              <w:rPr>
                <w:rFonts w:ascii="Arial" w:cs="Arial" w:eastAsia="Arial" w:hAnsi="Arial"/>
                <w:sz w:val="18"/>
                <w:szCs w:val="18"/>
                <w:color w:val="144F82"/>
              </w:rPr>
              <w:t>Item 6.</w:t>
            </w:r>
          </w:p>
        </w:tc>
        <w:tc>
          <w:tcPr>
            <w:tcW w:w="1400" w:type="dxa"/>
            <w:vAlign w:val="bottom"/>
            <w:gridSpan w:val="3"/>
          </w:tcPr>
          <w:p>
            <w:pPr>
              <w:spacing w:after="0"/>
              <w:rPr>
                <w:sz w:val="20"/>
                <w:szCs w:val="20"/>
                <w:color w:val="auto"/>
              </w:rPr>
            </w:pPr>
            <w:r>
              <w:rPr>
                <w:rFonts w:ascii="Arial" w:cs="Arial" w:eastAsia="Arial" w:hAnsi="Arial"/>
                <w:sz w:val="18"/>
                <w:szCs w:val="18"/>
                <w:color w:val="144F82"/>
              </w:rPr>
              <w:t>Exhibits</w:t>
            </w:r>
          </w:p>
        </w:tc>
        <w:tc>
          <w:tcPr>
            <w:tcW w:w="7300" w:type="dxa"/>
            <w:vAlign w:val="bottom"/>
            <w:gridSpan w:val="9"/>
          </w:tcPr>
          <w:p>
            <w:pPr>
              <w:spacing w:after="0"/>
              <w:rPr>
                <w:sz w:val="18"/>
                <w:szCs w:val="18"/>
                <w:color w:val="auto"/>
              </w:rPr>
            </w:pPr>
          </w:p>
        </w:tc>
        <w:tc>
          <w:tcPr>
            <w:tcW w:w="900" w:type="dxa"/>
            <w:vAlign w:val="bottom"/>
            <w:gridSpan w:val="3"/>
          </w:tcPr>
          <w:p>
            <w:pPr>
              <w:jc w:val="right"/>
              <w:ind w:right="700"/>
              <w:spacing w:after="0"/>
              <w:rPr>
                <w:sz w:val="20"/>
                <w:szCs w:val="20"/>
                <w:color w:val="auto"/>
              </w:rPr>
            </w:pPr>
            <w:r>
              <w:rPr>
                <w:rFonts w:ascii="Arial" w:cs="Arial" w:eastAsia="Arial" w:hAnsi="Arial"/>
                <w:sz w:val="18"/>
                <w:szCs w:val="18"/>
                <w:color w:val="144F82"/>
                <w:w w:val="89"/>
              </w:rPr>
              <w:t>79</w:t>
            </w:r>
          </w:p>
        </w:tc>
      </w:tr>
      <w:tr>
        <w:trPr>
          <w:trHeight w:val="1688"/>
        </w:trPr>
        <w:tc>
          <w:tcPr>
            <w:tcW w:w="1640" w:type="dxa"/>
            <w:vAlign w:val="bottom"/>
            <w:tcBorders>
              <w:bottom w:val="single" w:sz="8" w:color="9A9A9A"/>
            </w:tcBorders>
          </w:tcPr>
          <w:p>
            <w:pPr>
              <w:spacing w:after="0"/>
              <w:rPr>
                <w:sz w:val="24"/>
                <w:szCs w:val="24"/>
                <w:color w:val="auto"/>
              </w:rPr>
            </w:pPr>
          </w:p>
        </w:tc>
        <w:tc>
          <w:tcPr>
            <w:tcW w:w="620" w:type="dxa"/>
            <w:vAlign w:val="bottom"/>
            <w:tcBorders>
              <w:top w:val="single" w:sz="8" w:color="144F82"/>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top w:val="single" w:sz="8" w:color="144F82"/>
              <w:bottom w:val="single" w:sz="8" w:color="9A9A9A"/>
            </w:tcBorders>
          </w:tcPr>
          <w:p>
            <w:pPr>
              <w:spacing w:after="0"/>
              <w:rPr>
                <w:sz w:val="24"/>
                <w:szCs w:val="24"/>
                <w:color w:val="auto"/>
              </w:rPr>
            </w:pPr>
          </w:p>
        </w:tc>
        <w:tc>
          <w:tcPr>
            <w:tcW w:w="100" w:type="dxa"/>
            <w:vAlign w:val="bottom"/>
            <w:tcBorders>
              <w:top w:val="single" w:sz="8" w:color="144F82"/>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6"/>
          <w:szCs w:val="16"/>
          <w:b w:val="1"/>
          <w:bCs w:val="1"/>
          <w:color w:val="144F82"/>
        </w:rPr>
        <w:t>CONSOLIDATED BALANCE SHEETS (Unaudited)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144F82"/>
              </w:rPr>
              <w:t>March 31,</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144F82"/>
              </w:rPr>
              <w:t>December 31,</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 except share and per share amounts)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144F82"/>
              </w:rPr>
              <w:t>2025</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144F82"/>
              </w:rPr>
              <w:t>2024</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Arial" w:cs="Arial" w:eastAsia="Arial" w:hAnsi="Arial"/>
                <w:sz w:val="16"/>
                <w:szCs w:val="16"/>
                <w:b w:val="1"/>
                <w:bCs w:val="1"/>
                <w:color w:val="144F82"/>
              </w:rPr>
              <w:t>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3,695,076</w:t>
            </w:r>
          </w:p>
        </w:tc>
        <w:tc>
          <w:tcPr>
            <w:tcW w:w="2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4,700,366</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EDEDEE"/>
          </w:tcPr>
          <w:p>
            <w:pPr>
              <w:ind w:left="140"/>
              <w:spacing w:after="0"/>
              <w:rPr>
                <w:sz w:val="20"/>
                <w:szCs w:val="20"/>
                <w:color w:val="auto"/>
              </w:rPr>
            </w:pPr>
            <w:r>
              <w:rPr>
                <w:rFonts w:ascii="Arial" w:cs="Arial" w:eastAsia="Arial" w:hAnsi="Arial"/>
                <w:sz w:val="16"/>
                <w:szCs w:val="16"/>
                <w:color w:val="auto"/>
              </w:rPr>
              <w:t>Trading investments at fair value (cost of $40,270 and $41,715, respectively)</w:t>
            </w:r>
          </w:p>
        </w:tc>
        <w:tc>
          <w:tcPr>
            <w:tcW w:w="260" w:type="dxa"/>
            <w:vAlign w:val="bottom"/>
            <w:shd w:val="clear" w:color="auto" w:fill="EDEDEE"/>
          </w:tcPr>
          <w:p>
            <w:pPr>
              <w:spacing w:after="0"/>
              <w:rPr>
                <w:sz w:val="18"/>
                <w:szCs w:val="18"/>
                <w:color w:val="auto"/>
              </w:rPr>
            </w:pPr>
          </w:p>
        </w:tc>
        <w:tc>
          <w:tcPr>
            <w:tcW w:w="132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53,732</w:t>
            </w:r>
          </w:p>
        </w:tc>
        <w:tc>
          <w:tcPr>
            <w:tcW w:w="220" w:type="dxa"/>
            <w:vAlign w:val="bottom"/>
            <w:shd w:val="clear" w:color="auto" w:fill="EDEDEE"/>
          </w:tcPr>
          <w:p>
            <w:pPr>
              <w:spacing w:after="0"/>
              <w:rPr>
                <w:sz w:val="18"/>
                <w:szCs w:val="18"/>
                <w:color w:val="auto"/>
              </w:rPr>
            </w:pPr>
          </w:p>
        </w:tc>
        <w:tc>
          <w:tcPr>
            <w:tcW w:w="13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53,262</w:t>
            </w: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line="162" w:lineRule="exact"/>
              <w:rPr>
                <w:sz w:val="20"/>
                <w:szCs w:val="20"/>
                <w:color w:val="auto"/>
              </w:rPr>
            </w:pPr>
            <w:r>
              <w:rPr>
                <w:rFonts w:ascii="Arial" w:cs="Arial" w:eastAsia="Arial" w:hAnsi="Arial"/>
                <w:sz w:val="16"/>
                <w:szCs w:val="16"/>
                <w:color w:val="auto"/>
              </w:rPr>
              <w:t>Available-for-sale investments at fair value (cost of $1,747,064 and $2,042,473,</w:t>
            </w:r>
          </w:p>
        </w:tc>
        <w:tc>
          <w:tcPr>
            <w:tcW w:w="260" w:type="dxa"/>
            <w:vAlign w:val="bottom"/>
          </w:tcPr>
          <w:p>
            <w:pPr>
              <w:spacing w:after="0"/>
              <w:rPr>
                <w:sz w:val="14"/>
                <w:szCs w:val="14"/>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1,656,977</w:t>
            </w: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1,933,226</w:t>
            </w:r>
          </w:p>
        </w:tc>
        <w:tc>
          <w:tcPr>
            <w:tcW w:w="0" w:type="dxa"/>
            <w:vAlign w:val="bottom"/>
          </w:tcPr>
          <w:p>
            <w:pPr>
              <w:spacing w:after="0"/>
              <w:rPr>
                <w:sz w:val="1"/>
                <w:szCs w:val="1"/>
                <w:color w:val="auto"/>
              </w:rPr>
            </w:pPr>
          </w:p>
        </w:tc>
      </w:tr>
      <w:tr>
        <w:trPr>
          <w:trHeight w:val="215"/>
        </w:trPr>
        <w:tc>
          <w:tcPr>
            <w:tcW w:w="672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EDEDEE"/>
          </w:tcPr>
          <w:p>
            <w:pPr>
              <w:ind w:left="140"/>
              <w:spacing w:after="0"/>
              <w:rPr>
                <w:sz w:val="20"/>
                <w:szCs w:val="20"/>
                <w:color w:val="auto"/>
              </w:rPr>
            </w:pPr>
            <w:r>
              <w:rPr>
                <w:rFonts w:ascii="Arial" w:cs="Arial" w:eastAsia="Arial" w:hAnsi="Arial"/>
                <w:sz w:val="16"/>
                <w:szCs w:val="16"/>
                <w:color w:val="auto"/>
              </w:rPr>
              <w:t>Other investments</w:t>
            </w:r>
          </w:p>
        </w:tc>
        <w:tc>
          <w:tcPr>
            <w:tcW w:w="260" w:type="dxa"/>
            <w:vAlign w:val="bottom"/>
            <w:tcBorders>
              <w:bottom w:val="single" w:sz="8" w:color="auto"/>
            </w:tcBorders>
            <w:shd w:val="clear" w:color="auto" w:fill="EDEDEE"/>
          </w:tcPr>
          <w:p>
            <w:pPr>
              <w:spacing w:after="0"/>
              <w:rPr>
                <w:sz w:val="18"/>
                <w:szCs w:val="18"/>
                <w:color w:val="auto"/>
              </w:rPr>
            </w:pPr>
          </w:p>
        </w:tc>
        <w:tc>
          <w:tcPr>
            <w:tcW w:w="132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97,960</w:t>
            </w:r>
          </w:p>
        </w:tc>
        <w:tc>
          <w:tcPr>
            <w:tcW w:w="220" w:type="dxa"/>
            <w:vAlign w:val="bottom"/>
            <w:tcBorders>
              <w:bottom w:val="single" w:sz="8" w:color="auto"/>
            </w:tcBorders>
            <w:shd w:val="clear" w:color="auto" w:fill="EDEDEE"/>
          </w:tcPr>
          <w:p>
            <w:pPr>
              <w:spacing w:after="0"/>
              <w:rPr>
                <w:sz w:val="18"/>
                <w:szCs w:val="18"/>
                <w:color w:val="auto"/>
              </w:rPr>
            </w:pPr>
          </w:p>
        </w:tc>
        <w:tc>
          <w:tcPr>
            <w:tcW w:w="13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112,377</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Arial" w:cs="Arial" w:eastAsia="Arial" w:hAnsi="Arial"/>
                <w:sz w:val="16"/>
                <w:szCs w:val="16"/>
                <w:color w:val="auto"/>
              </w:rPr>
              <w:t>Total investments</w:t>
            </w:r>
          </w:p>
        </w:tc>
        <w:tc>
          <w:tcPr>
            <w:tcW w:w="2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1,808,669</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2,098,865</w:t>
            </w:r>
          </w:p>
        </w:tc>
        <w:tc>
          <w:tcPr>
            <w:tcW w:w="0" w:type="dxa"/>
            <w:vAlign w:val="bottom"/>
          </w:tcPr>
          <w:p>
            <w:pPr>
              <w:spacing w:after="0"/>
              <w:rPr>
                <w:sz w:val="1"/>
                <w:szCs w:val="1"/>
                <w:color w:val="auto"/>
              </w:rPr>
            </w:pPr>
          </w:p>
        </w:tc>
      </w:tr>
      <w:tr>
        <w:trPr>
          <w:trHeight w:val="163"/>
        </w:trPr>
        <w:tc>
          <w:tcPr>
            <w:tcW w:w="672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Loans held for investment (net of allowance for losses of $1,443,715 and $1,435,920,</w:t>
            </w:r>
          </w:p>
        </w:tc>
        <w:tc>
          <w:tcPr>
            <w:tcW w:w="260" w:type="dxa"/>
            <w:vAlign w:val="bottom"/>
            <w:shd w:val="clear" w:color="auto" w:fill="EDEDEE"/>
          </w:tcPr>
          <w:p>
            <w:pPr>
              <w:spacing w:after="0"/>
              <w:rPr>
                <w:sz w:val="14"/>
                <w:szCs w:val="14"/>
                <w:color w:val="auto"/>
              </w:rPr>
            </w:pPr>
          </w:p>
        </w:tc>
        <w:tc>
          <w:tcPr>
            <w:tcW w:w="1320" w:type="dxa"/>
            <w:vAlign w:val="bottom"/>
            <w:vMerge w:val="restart"/>
            <w:shd w:val="clear" w:color="auto" w:fill="EDEDEE"/>
          </w:tcPr>
          <w:p>
            <w:pPr>
              <w:jc w:val="right"/>
              <w:ind w:right="39"/>
              <w:spacing w:after="0"/>
              <w:rPr>
                <w:sz w:val="20"/>
                <w:szCs w:val="20"/>
                <w:color w:val="auto"/>
              </w:rPr>
            </w:pPr>
            <w:r>
              <w:rPr>
                <w:rFonts w:ascii="Arial" w:cs="Arial" w:eastAsia="Arial" w:hAnsi="Arial"/>
                <w:sz w:val="16"/>
                <w:szCs w:val="16"/>
                <w:color w:val="auto"/>
              </w:rPr>
              <w:t>21,091,204</w:t>
            </w:r>
          </w:p>
        </w:tc>
        <w:tc>
          <w:tcPr>
            <w:tcW w:w="220" w:type="dxa"/>
            <w:vAlign w:val="bottom"/>
            <w:shd w:val="clear" w:color="auto" w:fill="EDEDEE"/>
          </w:tcPr>
          <w:p>
            <w:pPr>
              <w:spacing w:after="0"/>
              <w:rPr>
                <w:sz w:val="14"/>
                <w:szCs w:val="14"/>
                <w:color w:val="auto"/>
              </w:rPr>
            </w:pPr>
          </w:p>
        </w:tc>
        <w:tc>
          <w:tcPr>
            <w:tcW w:w="13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20,902,158</w:t>
            </w:r>
          </w:p>
        </w:tc>
        <w:tc>
          <w:tcPr>
            <w:tcW w:w="0" w:type="dxa"/>
            <w:vAlign w:val="bottom"/>
          </w:tcPr>
          <w:p>
            <w:pPr>
              <w:spacing w:after="0"/>
              <w:rPr>
                <w:sz w:val="1"/>
                <w:szCs w:val="1"/>
                <w:color w:val="auto"/>
              </w:rPr>
            </w:pPr>
          </w:p>
        </w:tc>
      </w:tr>
      <w:tr>
        <w:trPr>
          <w:trHeight w:val="216"/>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color w:val="auto"/>
              </w:rPr>
              <w:t>respectively)</w:t>
            </w:r>
          </w:p>
        </w:tc>
        <w:tc>
          <w:tcPr>
            <w:tcW w:w="260" w:type="dxa"/>
            <w:vAlign w:val="bottom"/>
            <w:shd w:val="clear" w:color="auto" w:fill="EDEDEE"/>
          </w:tcPr>
          <w:p>
            <w:pPr>
              <w:spacing w:after="0"/>
              <w:rPr>
                <w:sz w:val="18"/>
                <w:szCs w:val="18"/>
                <w:color w:val="auto"/>
              </w:rPr>
            </w:pPr>
          </w:p>
        </w:tc>
        <w:tc>
          <w:tcPr>
            <w:tcW w:w="1320" w:type="dxa"/>
            <w:vAlign w:val="bottom"/>
            <w:vMerge w:val="continue"/>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130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173,485</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173,894</w:t>
            </w:r>
          </w:p>
        </w:tc>
        <w:tc>
          <w:tcPr>
            <w:tcW w:w="0" w:type="dxa"/>
            <w:vAlign w:val="bottom"/>
          </w:tcPr>
          <w:p>
            <w:pPr>
              <w:spacing w:after="0"/>
              <w:rPr>
                <w:sz w:val="1"/>
                <w:szCs w:val="1"/>
                <w:color w:val="auto"/>
              </w:rPr>
            </w:pPr>
          </w:p>
        </w:tc>
      </w:tr>
      <w:tr>
        <w:trPr>
          <w:trHeight w:val="217"/>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color w:val="auto"/>
              </w:rPr>
              <w:t>Other interest-earning assets</w:t>
            </w:r>
          </w:p>
        </w:tc>
        <w:tc>
          <w:tcPr>
            <w:tcW w:w="260" w:type="dxa"/>
            <w:vAlign w:val="bottom"/>
            <w:shd w:val="clear" w:color="auto" w:fill="EDEDEE"/>
          </w:tcPr>
          <w:p>
            <w:pPr>
              <w:spacing w:after="0"/>
              <w:rPr>
                <w:sz w:val="18"/>
                <w:szCs w:val="18"/>
                <w:color w:val="auto"/>
              </w:rPr>
            </w:pPr>
          </w:p>
        </w:tc>
        <w:tc>
          <w:tcPr>
            <w:tcW w:w="132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3,383</w:t>
            </w:r>
          </w:p>
        </w:tc>
        <w:tc>
          <w:tcPr>
            <w:tcW w:w="220" w:type="dxa"/>
            <w:vAlign w:val="bottom"/>
            <w:shd w:val="clear" w:color="auto" w:fill="EDEDEE"/>
          </w:tcPr>
          <w:p>
            <w:pPr>
              <w:spacing w:after="0"/>
              <w:rPr>
                <w:sz w:val="18"/>
                <w:szCs w:val="18"/>
                <w:color w:val="auto"/>
              </w:rPr>
            </w:pPr>
          </w:p>
        </w:tc>
        <w:tc>
          <w:tcPr>
            <w:tcW w:w="13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4,880</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Accrued interest receivable</w:t>
            </w:r>
          </w:p>
        </w:tc>
        <w:tc>
          <w:tcPr>
            <w:tcW w:w="2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1,553,979</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1,546,590</w:t>
            </w:r>
          </w:p>
        </w:tc>
        <w:tc>
          <w:tcPr>
            <w:tcW w:w="0" w:type="dxa"/>
            <w:vAlign w:val="bottom"/>
          </w:tcPr>
          <w:p>
            <w:pPr>
              <w:spacing w:after="0"/>
              <w:rPr>
                <w:sz w:val="1"/>
                <w:szCs w:val="1"/>
                <w:color w:val="auto"/>
              </w:rPr>
            </w:pPr>
          </w:p>
        </w:tc>
      </w:tr>
      <w:tr>
        <w:trPr>
          <w:trHeight w:val="217"/>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color w:val="auto"/>
              </w:rPr>
              <w:t>Premises and equipment, net</w:t>
            </w:r>
          </w:p>
        </w:tc>
        <w:tc>
          <w:tcPr>
            <w:tcW w:w="260" w:type="dxa"/>
            <w:vAlign w:val="bottom"/>
            <w:shd w:val="clear" w:color="auto" w:fill="EDEDEE"/>
          </w:tcPr>
          <w:p>
            <w:pPr>
              <w:spacing w:after="0"/>
              <w:rPr>
                <w:sz w:val="18"/>
                <w:szCs w:val="18"/>
                <w:color w:val="auto"/>
              </w:rPr>
            </w:pPr>
          </w:p>
        </w:tc>
        <w:tc>
          <w:tcPr>
            <w:tcW w:w="132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117,426</w:t>
            </w:r>
          </w:p>
        </w:tc>
        <w:tc>
          <w:tcPr>
            <w:tcW w:w="220" w:type="dxa"/>
            <w:vAlign w:val="bottom"/>
            <w:shd w:val="clear" w:color="auto" w:fill="EDEDEE"/>
          </w:tcPr>
          <w:p>
            <w:pPr>
              <w:spacing w:after="0"/>
              <w:rPr>
                <w:sz w:val="18"/>
                <w:szCs w:val="18"/>
                <w:color w:val="auto"/>
              </w:rPr>
            </w:pPr>
          </w:p>
        </w:tc>
        <w:tc>
          <w:tcPr>
            <w:tcW w:w="13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119,354</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Goodwill and acquired intangible assets, net</w:t>
            </w:r>
          </w:p>
        </w:tc>
        <w:tc>
          <w:tcPr>
            <w:tcW w:w="2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62,510</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63,532</w:t>
            </w:r>
          </w:p>
        </w:tc>
        <w:tc>
          <w:tcPr>
            <w:tcW w:w="0" w:type="dxa"/>
            <w:vAlign w:val="bottom"/>
          </w:tcPr>
          <w:p>
            <w:pPr>
              <w:spacing w:after="0"/>
              <w:rPr>
                <w:sz w:val="1"/>
                <w:szCs w:val="1"/>
                <w:color w:val="auto"/>
              </w:rPr>
            </w:pPr>
          </w:p>
        </w:tc>
      </w:tr>
      <w:tr>
        <w:trPr>
          <w:trHeight w:val="217"/>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color w:val="auto"/>
              </w:rPr>
              <w:t>Income taxes receivable, net</w:t>
            </w:r>
          </w:p>
        </w:tc>
        <w:tc>
          <w:tcPr>
            <w:tcW w:w="260" w:type="dxa"/>
            <w:vAlign w:val="bottom"/>
            <w:shd w:val="clear" w:color="auto" w:fill="EDEDEE"/>
          </w:tcPr>
          <w:p>
            <w:pPr>
              <w:spacing w:after="0"/>
              <w:rPr>
                <w:sz w:val="18"/>
                <w:szCs w:val="18"/>
                <w:color w:val="auto"/>
              </w:rPr>
            </w:pPr>
          </w:p>
        </w:tc>
        <w:tc>
          <w:tcPr>
            <w:tcW w:w="132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338,292</w:t>
            </w:r>
          </w:p>
        </w:tc>
        <w:tc>
          <w:tcPr>
            <w:tcW w:w="220" w:type="dxa"/>
            <w:vAlign w:val="bottom"/>
            <w:shd w:val="clear" w:color="auto" w:fill="EDEDEE"/>
          </w:tcPr>
          <w:p>
            <w:pPr>
              <w:spacing w:after="0"/>
              <w:rPr>
                <w:sz w:val="18"/>
                <w:szCs w:val="18"/>
                <w:color w:val="auto"/>
              </w:rPr>
            </w:pPr>
          </w:p>
        </w:tc>
        <w:tc>
          <w:tcPr>
            <w:tcW w:w="13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425,625</w:t>
            </w:r>
          </w:p>
        </w:tc>
        <w:tc>
          <w:tcPr>
            <w:tcW w:w="0" w:type="dxa"/>
            <w:vAlign w:val="bottom"/>
          </w:tcPr>
          <w:p>
            <w:pPr>
              <w:spacing w:after="0"/>
              <w:rPr>
                <w:sz w:val="1"/>
                <w:szCs w:val="1"/>
                <w:color w:val="auto"/>
              </w:rPr>
            </w:pPr>
          </w:p>
        </w:tc>
      </w:tr>
      <w:tr>
        <w:trPr>
          <w:trHeight w:val="215"/>
        </w:trPr>
        <w:tc>
          <w:tcPr>
            <w:tcW w:w="672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55,160</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36,846</w:t>
            </w:r>
          </w:p>
        </w:tc>
        <w:tc>
          <w:tcPr>
            <w:tcW w:w="0" w:type="dxa"/>
            <w:vAlign w:val="bottom"/>
          </w:tcPr>
          <w:p>
            <w:pPr>
              <w:spacing w:after="0"/>
              <w:rPr>
                <w:sz w:val="1"/>
                <w:szCs w:val="1"/>
                <w:color w:val="auto"/>
              </w:rPr>
            </w:pPr>
          </w:p>
        </w:tc>
      </w:tr>
      <w:tr>
        <w:trPr>
          <w:trHeight w:val="235"/>
        </w:trPr>
        <w:tc>
          <w:tcPr>
            <w:tcW w:w="67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 assets</w:t>
            </w:r>
          </w:p>
        </w:tc>
        <w:tc>
          <w:tcPr>
            <w:tcW w:w="26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28,899,184</w:t>
            </w:r>
          </w:p>
        </w:tc>
        <w:tc>
          <w:tcPr>
            <w:tcW w:w="2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30,072,110</w:t>
            </w:r>
          </w:p>
        </w:tc>
        <w:tc>
          <w:tcPr>
            <w:tcW w:w="0" w:type="dxa"/>
            <w:vAlign w:val="bottom"/>
          </w:tcPr>
          <w:p>
            <w:pPr>
              <w:spacing w:after="0"/>
              <w:rPr>
                <w:sz w:val="1"/>
                <w:szCs w:val="1"/>
                <w:color w:val="auto"/>
              </w:rPr>
            </w:pPr>
          </w:p>
        </w:tc>
      </w:tr>
      <w:tr>
        <w:trPr>
          <w:trHeight w:val="20"/>
        </w:trPr>
        <w:tc>
          <w:tcPr>
            <w:tcW w:w="6720" w:type="dxa"/>
            <w:vAlign w:val="bottom"/>
            <w:tcBorders>
              <w:top w:val="single" w:sz="8" w:color="EDEDEE"/>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32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13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Liabilities</w:t>
            </w:r>
          </w:p>
        </w:tc>
        <w:tc>
          <w:tcPr>
            <w:tcW w:w="260" w:type="dxa"/>
            <w:vAlign w:val="bottom"/>
            <w:shd w:val="clear" w:color="auto" w:fill="EDEDEE"/>
          </w:tcPr>
          <w:p>
            <w:pPr>
              <w:spacing w:after="0"/>
              <w:rPr>
                <w:sz w:val="18"/>
                <w:szCs w:val="18"/>
                <w:color w:val="auto"/>
              </w:rPr>
            </w:pPr>
          </w:p>
        </w:tc>
        <w:tc>
          <w:tcPr>
            <w:tcW w:w="132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130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Deposits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20,073,168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21,068,568</w:t>
            </w:r>
          </w:p>
        </w:tc>
        <w:tc>
          <w:tcPr>
            <w:tcW w:w="0" w:type="dxa"/>
            <w:vAlign w:val="bottom"/>
          </w:tcPr>
          <w:p>
            <w:pPr>
              <w:spacing w:after="0"/>
              <w:rPr>
                <w:sz w:val="1"/>
                <w:szCs w:val="1"/>
                <w:color w:val="auto"/>
              </w:rPr>
            </w:pPr>
          </w:p>
        </w:tc>
      </w:tr>
      <w:tr>
        <w:trPr>
          <w:trHeight w:val="217"/>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color w:val="auto"/>
              </w:rPr>
              <w:t>Long-term borrowings</w:t>
            </w:r>
          </w:p>
        </w:tc>
        <w:tc>
          <w:tcPr>
            <w:tcW w:w="260" w:type="dxa"/>
            <w:vAlign w:val="bottom"/>
            <w:shd w:val="clear" w:color="auto" w:fill="EDEDEE"/>
          </w:tcPr>
          <w:p>
            <w:pPr>
              <w:spacing w:after="0"/>
              <w:rPr>
                <w:sz w:val="18"/>
                <w:szCs w:val="18"/>
                <w:color w:val="auto"/>
              </w:rPr>
            </w:pPr>
          </w:p>
        </w:tc>
        <w:tc>
          <w:tcPr>
            <w:tcW w:w="132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6,147,473</w:t>
            </w:r>
          </w:p>
        </w:tc>
        <w:tc>
          <w:tcPr>
            <w:tcW w:w="220" w:type="dxa"/>
            <w:vAlign w:val="bottom"/>
            <w:shd w:val="clear" w:color="auto" w:fill="EDEDEE"/>
          </w:tcPr>
          <w:p>
            <w:pPr>
              <w:spacing w:after="0"/>
              <w:rPr>
                <w:sz w:val="18"/>
                <w:szCs w:val="18"/>
                <w:color w:val="auto"/>
              </w:rPr>
            </w:pPr>
          </w:p>
        </w:tc>
        <w:tc>
          <w:tcPr>
            <w:tcW w:w="13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6,440,345</w:t>
            </w:r>
          </w:p>
        </w:tc>
        <w:tc>
          <w:tcPr>
            <w:tcW w:w="0" w:type="dxa"/>
            <w:vAlign w:val="bottom"/>
          </w:tcPr>
          <w:p>
            <w:pPr>
              <w:spacing w:after="0"/>
              <w:rPr>
                <w:sz w:val="1"/>
                <w:szCs w:val="1"/>
                <w:color w:val="auto"/>
              </w:rPr>
            </w:pPr>
          </w:p>
        </w:tc>
      </w:tr>
      <w:tr>
        <w:trPr>
          <w:trHeight w:val="215"/>
        </w:trPr>
        <w:tc>
          <w:tcPr>
            <w:tcW w:w="672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277,687</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403,277</w:t>
            </w:r>
          </w:p>
        </w:tc>
        <w:tc>
          <w:tcPr>
            <w:tcW w:w="0" w:type="dxa"/>
            <w:vAlign w:val="bottom"/>
          </w:tcPr>
          <w:p>
            <w:pPr>
              <w:spacing w:after="0"/>
              <w:rPr>
                <w:sz w:val="1"/>
                <w:szCs w:val="1"/>
                <w:color w:val="auto"/>
              </w:rPr>
            </w:pPr>
          </w:p>
        </w:tc>
      </w:tr>
      <w:tr>
        <w:trPr>
          <w:trHeight w:val="210"/>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Total liabilities</w:t>
            </w:r>
          </w:p>
        </w:tc>
        <w:tc>
          <w:tcPr>
            <w:tcW w:w="260" w:type="dxa"/>
            <w:vAlign w:val="bottom"/>
            <w:tcBorders>
              <w:bottom w:val="single" w:sz="8" w:color="auto"/>
            </w:tcBorders>
            <w:shd w:val="clear" w:color="auto" w:fill="EDEDEE"/>
          </w:tcPr>
          <w:p>
            <w:pPr>
              <w:spacing w:after="0"/>
              <w:rPr>
                <w:sz w:val="18"/>
                <w:szCs w:val="18"/>
                <w:color w:val="auto"/>
              </w:rPr>
            </w:pPr>
          </w:p>
        </w:tc>
        <w:tc>
          <w:tcPr>
            <w:tcW w:w="132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26,498,328</w:t>
            </w:r>
          </w:p>
        </w:tc>
        <w:tc>
          <w:tcPr>
            <w:tcW w:w="220" w:type="dxa"/>
            <w:vAlign w:val="bottom"/>
            <w:tcBorders>
              <w:bottom w:val="single" w:sz="8" w:color="auto"/>
            </w:tcBorders>
            <w:shd w:val="clear" w:color="auto" w:fill="EDEDEE"/>
          </w:tcPr>
          <w:p>
            <w:pPr>
              <w:spacing w:after="0"/>
              <w:rPr>
                <w:sz w:val="18"/>
                <w:szCs w:val="18"/>
                <w:color w:val="auto"/>
              </w:rPr>
            </w:pPr>
          </w:p>
        </w:tc>
        <w:tc>
          <w:tcPr>
            <w:tcW w:w="13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27,912,190</w:t>
            </w:r>
          </w:p>
        </w:tc>
        <w:tc>
          <w:tcPr>
            <w:tcW w:w="0" w:type="dxa"/>
            <w:vAlign w:val="bottom"/>
          </w:tcPr>
          <w:p>
            <w:pPr>
              <w:spacing w:after="0"/>
              <w:rPr>
                <w:sz w:val="1"/>
                <w:szCs w:val="1"/>
                <w:color w:val="auto"/>
              </w:rPr>
            </w:pPr>
          </w:p>
        </w:tc>
      </w:tr>
      <w:tr>
        <w:trPr>
          <w:trHeight w:val="196"/>
        </w:trPr>
        <w:tc>
          <w:tcPr>
            <w:tcW w:w="6720" w:type="dxa"/>
            <w:vAlign w:val="bottom"/>
          </w:tcPr>
          <w:p>
            <w:pPr>
              <w:ind w:left="20"/>
              <w:spacing w:after="0"/>
              <w:rPr>
                <w:sz w:val="20"/>
                <w:szCs w:val="20"/>
                <w:color w:val="auto"/>
              </w:rPr>
            </w:pPr>
            <w:r>
              <w:rPr>
                <w:rFonts w:ascii="Arial" w:cs="Arial" w:eastAsia="Arial" w:hAnsi="Arial"/>
                <w:sz w:val="16"/>
                <w:szCs w:val="16"/>
                <w:b w:val="1"/>
                <w:bCs w:val="1"/>
                <w:color w:val="144F82"/>
              </w:rPr>
              <w:t>Commitments and contingencies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Equity</w:t>
            </w:r>
          </w:p>
        </w:tc>
        <w:tc>
          <w:tcPr>
            <w:tcW w:w="260" w:type="dxa"/>
            <w:vAlign w:val="bottom"/>
            <w:shd w:val="clear" w:color="auto" w:fill="EDEDEE"/>
          </w:tcPr>
          <w:p>
            <w:pPr>
              <w:spacing w:after="0"/>
              <w:rPr>
                <w:sz w:val="18"/>
                <w:szCs w:val="18"/>
                <w:color w:val="auto"/>
              </w:rPr>
            </w:pPr>
          </w:p>
        </w:tc>
        <w:tc>
          <w:tcPr>
            <w:tcW w:w="132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130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Preferred stock, par value $0.20 per share, 20 million shares authorized: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20" w:type="dxa"/>
            <w:vAlign w:val="bottom"/>
            <w:shd w:val="clear" w:color="auto" w:fill="EDEDEE"/>
          </w:tcPr>
          <w:p>
            <w:pPr>
              <w:ind w:left="140"/>
              <w:spacing w:after="0" w:line="163" w:lineRule="exact"/>
              <w:rPr>
                <w:sz w:val="20"/>
                <w:szCs w:val="20"/>
                <w:color w:val="auto"/>
              </w:rPr>
            </w:pPr>
            <w:r>
              <w:rPr>
                <w:rFonts w:ascii="Arial" w:cs="Arial" w:eastAsia="Arial" w:hAnsi="Arial"/>
                <w:sz w:val="16"/>
                <w:szCs w:val="16"/>
                <w:color w:val="auto"/>
              </w:rPr>
              <w:t>Series B: 2.5 million and 2.5 million shares issued, respectively, at stated value of $100</w:t>
            </w:r>
          </w:p>
        </w:tc>
        <w:tc>
          <w:tcPr>
            <w:tcW w:w="260" w:type="dxa"/>
            <w:vAlign w:val="bottom"/>
            <w:shd w:val="clear" w:color="auto" w:fill="EDEDEE"/>
          </w:tcPr>
          <w:p>
            <w:pPr>
              <w:spacing w:after="0"/>
              <w:rPr>
                <w:sz w:val="14"/>
                <w:szCs w:val="14"/>
                <w:color w:val="auto"/>
              </w:rPr>
            </w:pPr>
          </w:p>
        </w:tc>
        <w:tc>
          <w:tcPr>
            <w:tcW w:w="1320" w:type="dxa"/>
            <w:vAlign w:val="bottom"/>
            <w:vMerge w:val="restart"/>
            <w:shd w:val="clear" w:color="auto" w:fill="EDEDEE"/>
          </w:tcPr>
          <w:p>
            <w:pPr>
              <w:jc w:val="right"/>
              <w:ind w:right="39"/>
              <w:spacing w:after="0"/>
              <w:rPr>
                <w:sz w:val="20"/>
                <w:szCs w:val="20"/>
                <w:color w:val="auto"/>
              </w:rPr>
            </w:pPr>
            <w:r>
              <w:rPr>
                <w:rFonts w:ascii="Arial" w:cs="Arial" w:eastAsia="Arial" w:hAnsi="Arial"/>
                <w:sz w:val="16"/>
                <w:szCs w:val="16"/>
                <w:color w:val="auto"/>
              </w:rPr>
              <w:t>251,070</w:t>
            </w:r>
          </w:p>
        </w:tc>
        <w:tc>
          <w:tcPr>
            <w:tcW w:w="220" w:type="dxa"/>
            <w:vAlign w:val="bottom"/>
            <w:shd w:val="clear" w:color="auto" w:fill="EDEDEE"/>
          </w:tcPr>
          <w:p>
            <w:pPr>
              <w:spacing w:after="0"/>
              <w:rPr>
                <w:sz w:val="14"/>
                <w:szCs w:val="14"/>
                <w:color w:val="auto"/>
              </w:rPr>
            </w:pPr>
          </w:p>
        </w:tc>
        <w:tc>
          <w:tcPr>
            <w:tcW w:w="13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251,070</w:t>
            </w:r>
          </w:p>
        </w:tc>
        <w:tc>
          <w:tcPr>
            <w:tcW w:w="0" w:type="dxa"/>
            <w:vAlign w:val="bottom"/>
          </w:tcPr>
          <w:p>
            <w:pPr>
              <w:spacing w:after="0"/>
              <w:rPr>
                <w:sz w:val="1"/>
                <w:szCs w:val="1"/>
                <w:color w:val="auto"/>
              </w:rPr>
            </w:pPr>
          </w:p>
        </w:tc>
      </w:tr>
      <w:tr>
        <w:trPr>
          <w:trHeight w:val="216"/>
        </w:trPr>
        <w:tc>
          <w:tcPr>
            <w:tcW w:w="6720" w:type="dxa"/>
            <w:vAlign w:val="bottom"/>
            <w:shd w:val="clear" w:color="auto" w:fill="EDEDEE"/>
          </w:tcPr>
          <w:p>
            <w:pPr>
              <w:ind w:left="140"/>
              <w:spacing w:after="0"/>
              <w:rPr>
                <w:sz w:val="20"/>
                <w:szCs w:val="20"/>
                <w:color w:val="auto"/>
              </w:rPr>
            </w:pPr>
            <w:r>
              <w:rPr>
                <w:rFonts w:ascii="Arial" w:cs="Arial" w:eastAsia="Arial" w:hAnsi="Arial"/>
                <w:sz w:val="16"/>
                <w:szCs w:val="16"/>
                <w:color w:val="auto"/>
              </w:rPr>
              <w:t>per share</w:t>
            </w:r>
          </w:p>
        </w:tc>
        <w:tc>
          <w:tcPr>
            <w:tcW w:w="260" w:type="dxa"/>
            <w:vAlign w:val="bottom"/>
            <w:shd w:val="clear" w:color="auto" w:fill="EDEDEE"/>
          </w:tcPr>
          <w:p>
            <w:pPr>
              <w:spacing w:after="0"/>
              <w:rPr>
                <w:sz w:val="18"/>
                <w:szCs w:val="18"/>
                <w:color w:val="auto"/>
              </w:rPr>
            </w:pPr>
          </w:p>
        </w:tc>
        <w:tc>
          <w:tcPr>
            <w:tcW w:w="1320" w:type="dxa"/>
            <w:vAlign w:val="bottom"/>
            <w:vMerge w:val="continue"/>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130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20"/>
              <w:spacing w:after="0" w:line="162" w:lineRule="exact"/>
              <w:rPr>
                <w:sz w:val="20"/>
                <w:szCs w:val="20"/>
                <w:color w:val="auto"/>
              </w:rPr>
            </w:pPr>
            <w:r>
              <w:rPr>
                <w:rFonts w:ascii="Arial" w:cs="Arial" w:eastAsia="Arial" w:hAnsi="Arial"/>
                <w:sz w:val="16"/>
                <w:szCs w:val="16"/>
                <w:color w:val="auto"/>
              </w:rPr>
              <w:t>Common stock, par value $0.20 per share, 1.125 billion shares authorized: 442.8 million</w:t>
            </w:r>
          </w:p>
        </w:tc>
        <w:tc>
          <w:tcPr>
            <w:tcW w:w="260" w:type="dxa"/>
            <w:vAlign w:val="bottom"/>
          </w:tcPr>
          <w:p>
            <w:pPr>
              <w:spacing w:after="0"/>
              <w:rPr>
                <w:sz w:val="14"/>
                <w:szCs w:val="14"/>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88,566</w:t>
            </w: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88,121</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and 440.6 million shares issued, respectively</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EDEDEE"/>
          </w:tcPr>
          <w:p>
            <w:pPr>
              <w:spacing w:after="0"/>
              <w:rPr>
                <w:sz w:val="18"/>
                <w:szCs w:val="18"/>
                <w:color w:val="auto"/>
              </w:rPr>
            </w:pPr>
          </w:p>
        </w:tc>
        <w:tc>
          <w:tcPr>
            <w:tcW w:w="132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1,209,017</w:t>
            </w:r>
          </w:p>
        </w:tc>
        <w:tc>
          <w:tcPr>
            <w:tcW w:w="220" w:type="dxa"/>
            <w:vAlign w:val="bottom"/>
            <w:shd w:val="clear" w:color="auto" w:fill="EDEDEE"/>
          </w:tcPr>
          <w:p>
            <w:pPr>
              <w:spacing w:after="0"/>
              <w:rPr>
                <w:sz w:val="18"/>
                <w:szCs w:val="18"/>
                <w:color w:val="auto"/>
              </w:rPr>
            </w:pPr>
          </w:p>
        </w:tc>
        <w:tc>
          <w:tcPr>
            <w:tcW w:w="13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1,193,753</w:t>
            </w:r>
          </w:p>
        </w:tc>
        <w:tc>
          <w:tcPr>
            <w:tcW w:w="0" w:type="dxa"/>
            <w:vAlign w:val="bottom"/>
          </w:tcPr>
          <w:p>
            <w:pPr>
              <w:spacing w:after="0"/>
              <w:rPr>
                <w:sz w:val="1"/>
                <w:szCs w:val="1"/>
                <w:color w:val="auto"/>
              </w:rPr>
            </w:pPr>
          </w:p>
        </w:tc>
      </w:tr>
      <w:tr>
        <w:trPr>
          <w:trHeight w:val="162"/>
        </w:trPr>
        <w:tc>
          <w:tcPr>
            <w:tcW w:w="6720" w:type="dxa"/>
            <w:vAlign w:val="bottom"/>
          </w:tcPr>
          <w:p>
            <w:pPr>
              <w:ind w:left="20"/>
              <w:spacing w:after="0" w:line="162" w:lineRule="exact"/>
              <w:rPr>
                <w:sz w:val="20"/>
                <w:szCs w:val="20"/>
                <w:color w:val="auto"/>
              </w:rPr>
            </w:pPr>
            <w:r>
              <w:rPr>
                <w:rFonts w:ascii="Arial" w:cs="Arial" w:eastAsia="Arial" w:hAnsi="Arial"/>
                <w:sz w:val="16"/>
                <w:szCs w:val="16"/>
                <w:color w:val="auto"/>
              </w:rPr>
              <w:t>Accumulated other comprehensive loss (net of tax benefit of ($18,080) and ($21,209),</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(55,631)</w:t>
            </w: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(65,861)</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shd w:val="clear" w:color="auto" w:fill="EDEDEE"/>
          </w:tcPr>
          <w:p>
            <w:pPr>
              <w:spacing w:after="0"/>
              <w:rPr>
                <w:sz w:val="18"/>
                <w:szCs w:val="18"/>
                <w:color w:val="auto"/>
              </w:rPr>
            </w:pPr>
          </w:p>
        </w:tc>
        <w:tc>
          <w:tcPr>
            <w:tcW w:w="132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4,386,169</w:t>
            </w:r>
          </w:p>
        </w:tc>
        <w:tc>
          <w:tcPr>
            <w:tcW w:w="220" w:type="dxa"/>
            <w:vAlign w:val="bottom"/>
            <w:tcBorders>
              <w:bottom w:val="single" w:sz="8" w:color="auto"/>
            </w:tcBorders>
            <w:shd w:val="clear" w:color="auto" w:fill="EDEDEE"/>
          </w:tcPr>
          <w:p>
            <w:pPr>
              <w:spacing w:after="0"/>
              <w:rPr>
                <w:sz w:val="18"/>
                <w:szCs w:val="18"/>
                <w:color w:val="auto"/>
              </w:rPr>
            </w:pPr>
          </w:p>
        </w:tc>
        <w:tc>
          <w:tcPr>
            <w:tcW w:w="13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4,114,446</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Arial" w:cs="Arial" w:eastAsia="Arial" w:hAnsi="Arial"/>
                <w:sz w:val="16"/>
                <w:szCs w:val="16"/>
                <w:color w:val="auto"/>
              </w:rPr>
              <w:t>Total SLM Corporation stockholders’ equity before treasury stock</w:t>
            </w:r>
          </w:p>
        </w:tc>
        <w:tc>
          <w:tcPr>
            <w:tcW w:w="2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5,879,191</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5,581,529</w:t>
            </w:r>
          </w:p>
        </w:tc>
        <w:tc>
          <w:tcPr>
            <w:tcW w:w="0" w:type="dxa"/>
            <w:vAlign w:val="bottom"/>
          </w:tcPr>
          <w:p>
            <w:pPr>
              <w:spacing w:after="0"/>
              <w:rPr>
                <w:sz w:val="1"/>
                <w:szCs w:val="1"/>
                <w:color w:val="auto"/>
              </w:rPr>
            </w:pPr>
          </w:p>
        </w:tc>
      </w:tr>
      <w:tr>
        <w:trPr>
          <w:trHeight w:val="163"/>
        </w:trPr>
        <w:tc>
          <w:tcPr>
            <w:tcW w:w="672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Less: Common stock held in treasury at cost: 232.1 million and 230.2 million shares,</w:t>
            </w:r>
          </w:p>
        </w:tc>
        <w:tc>
          <w:tcPr>
            <w:tcW w:w="260" w:type="dxa"/>
            <w:vAlign w:val="bottom"/>
            <w:shd w:val="clear" w:color="auto" w:fill="EDEDEE"/>
          </w:tcPr>
          <w:p>
            <w:pPr>
              <w:spacing w:after="0"/>
              <w:rPr>
                <w:sz w:val="14"/>
                <w:szCs w:val="14"/>
                <w:color w:val="auto"/>
              </w:rPr>
            </w:pPr>
          </w:p>
        </w:tc>
        <w:tc>
          <w:tcPr>
            <w:tcW w:w="132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(3,478,335)</w:t>
            </w:r>
          </w:p>
        </w:tc>
        <w:tc>
          <w:tcPr>
            <w:tcW w:w="220" w:type="dxa"/>
            <w:vAlign w:val="bottom"/>
            <w:shd w:val="clear" w:color="auto" w:fill="EDEDEE"/>
          </w:tcPr>
          <w:p>
            <w:pPr>
              <w:spacing w:after="0"/>
              <w:rPr>
                <w:sz w:val="14"/>
                <w:szCs w:val="14"/>
                <w:color w:val="auto"/>
              </w:rPr>
            </w:pPr>
          </w:p>
        </w:tc>
        <w:tc>
          <w:tcPr>
            <w:tcW w:w="13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(3,421,609)</w:t>
            </w:r>
          </w:p>
        </w:tc>
        <w:tc>
          <w:tcPr>
            <w:tcW w:w="0" w:type="dxa"/>
            <w:vAlign w:val="bottom"/>
          </w:tcPr>
          <w:p>
            <w:pPr>
              <w:spacing w:after="0"/>
              <w:rPr>
                <w:sz w:val="1"/>
                <w:szCs w:val="1"/>
                <w:color w:val="auto"/>
              </w:rPr>
            </w:pPr>
          </w:p>
        </w:tc>
      </w:tr>
      <w:tr>
        <w:trPr>
          <w:trHeight w:val="216"/>
        </w:trPr>
        <w:tc>
          <w:tcPr>
            <w:tcW w:w="6720" w:type="dxa"/>
            <w:vAlign w:val="bottom"/>
            <w:shd w:val="clear" w:color="auto" w:fill="EDEDEE"/>
          </w:tcPr>
          <w:p>
            <w:pPr>
              <w:ind w:left="2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auto"/>
            </w:tcBorders>
            <w:shd w:val="clear" w:color="auto" w:fill="EDEDEE"/>
          </w:tcPr>
          <w:p>
            <w:pPr>
              <w:spacing w:after="0"/>
              <w:rPr>
                <w:sz w:val="18"/>
                <w:szCs w:val="18"/>
                <w:color w:val="auto"/>
              </w:rPr>
            </w:pPr>
          </w:p>
        </w:tc>
        <w:tc>
          <w:tcPr>
            <w:tcW w:w="1320" w:type="dxa"/>
            <w:vAlign w:val="bottom"/>
            <w:tcBorders>
              <w:bottom w:val="single" w:sz="8" w:color="auto"/>
            </w:tcBorders>
            <w:vMerge w:val="continue"/>
            <w:shd w:val="clear" w:color="auto" w:fill="EDEDEE"/>
          </w:tcPr>
          <w:p>
            <w:pPr>
              <w:spacing w:after="0"/>
              <w:rPr>
                <w:sz w:val="18"/>
                <w:szCs w:val="18"/>
                <w:color w:val="auto"/>
              </w:rPr>
            </w:pPr>
          </w:p>
        </w:tc>
        <w:tc>
          <w:tcPr>
            <w:tcW w:w="220" w:type="dxa"/>
            <w:vAlign w:val="bottom"/>
            <w:tcBorders>
              <w:bottom w:val="single" w:sz="8" w:color="auto"/>
            </w:tcBorders>
            <w:shd w:val="clear" w:color="auto" w:fill="EDEDEE"/>
          </w:tcPr>
          <w:p>
            <w:pPr>
              <w:spacing w:after="0"/>
              <w:rPr>
                <w:sz w:val="18"/>
                <w:szCs w:val="18"/>
                <w:color w:val="auto"/>
              </w:rPr>
            </w:pPr>
          </w:p>
        </w:tc>
        <w:tc>
          <w:tcPr>
            <w:tcW w:w="1300" w:type="dxa"/>
            <w:vAlign w:val="bottom"/>
            <w:tcBorders>
              <w:bottom w:val="single" w:sz="8" w:color="auto"/>
            </w:tcBorders>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Borders>
              <w:bottom w:val="single" w:sz="8" w:color="EDEDEE"/>
            </w:tcBorders>
          </w:tcPr>
          <w:p>
            <w:pPr>
              <w:ind w:left="20"/>
              <w:spacing w:after="0"/>
              <w:rPr>
                <w:sz w:val="20"/>
                <w:szCs w:val="20"/>
                <w:color w:val="auto"/>
              </w:rPr>
            </w:pPr>
            <w:r>
              <w:rPr>
                <w:rFonts w:ascii="Arial" w:cs="Arial" w:eastAsia="Arial" w:hAnsi="Arial"/>
                <w:sz w:val="16"/>
                <w:szCs w:val="16"/>
                <w:b w:val="1"/>
                <w:bCs w:val="1"/>
                <w:color w:val="144F82"/>
              </w:rPr>
              <w:t>Total equity</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2,400,856</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2,159,920</w:t>
            </w:r>
          </w:p>
        </w:tc>
        <w:tc>
          <w:tcPr>
            <w:tcW w:w="0" w:type="dxa"/>
            <w:vAlign w:val="bottom"/>
          </w:tcPr>
          <w:p>
            <w:pPr>
              <w:spacing w:after="0"/>
              <w:rPr>
                <w:sz w:val="1"/>
                <w:szCs w:val="1"/>
                <w:color w:val="auto"/>
              </w:rPr>
            </w:pPr>
          </w:p>
        </w:tc>
      </w:tr>
      <w:tr>
        <w:trPr>
          <w:trHeight w:val="235"/>
        </w:trPr>
        <w:tc>
          <w:tcPr>
            <w:tcW w:w="67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 liabilities and equity</w:t>
            </w:r>
          </w:p>
        </w:tc>
        <w:tc>
          <w:tcPr>
            <w:tcW w:w="26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28,899,184</w:t>
            </w:r>
          </w:p>
        </w:tc>
        <w:tc>
          <w:tcPr>
            <w:tcW w:w="2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30,072,110</w:t>
            </w:r>
          </w:p>
        </w:tc>
        <w:tc>
          <w:tcPr>
            <w:tcW w:w="0" w:type="dxa"/>
            <w:vAlign w:val="bottom"/>
          </w:tcPr>
          <w:p>
            <w:pPr>
              <w:spacing w:after="0"/>
              <w:rPr>
                <w:sz w:val="1"/>
                <w:szCs w:val="1"/>
                <w:color w:val="auto"/>
              </w:rPr>
            </w:pPr>
          </w:p>
        </w:tc>
      </w:tr>
      <w:tr>
        <w:trPr>
          <w:trHeight w:val="20"/>
        </w:trPr>
        <w:tc>
          <w:tcPr>
            <w:tcW w:w="6720" w:type="dxa"/>
            <w:vAlign w:val="bottom"/>
            <w:tcBorders>
              <w:top w:val="single" w:sz="8" w:color="EDEDEE"/>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32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13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134F82"/>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060" w:top="1340" w:right="1019" w:bottom="1440" w:gutter="0" w:footer="0" w:header="0"/>
        </w:sectPr>
      </w:pPr>
    </w:p>
    <w:bookmarkStart w:id="3" w:name="page4"/>
    <w:bookmarkEnd w:id="3"/>
    <w:p>
      <w:pPr>
        <w:ind w:left="320"/>
        <w:spacing w:after="0"/>
        <w:rPr>
          <w:sz w:val="20"/>
          <w:szCs w:val="20"/>
          <w:color w:val="auto"/>
        </w:rPr>
      </w:pPr>
      <w:r>
        <w:rPr>
          <w:rFonts w:ascii="Arial" w:cs="Arial" w:eastAsia="Arial" w:hAnsi="Arial"/>
          <w:sz w:val="16"/>
          <w:szCs w:val="16"/>
          <w:b w:val="1"/>
          <w:bCs w:val="1"/>
          <w:color w:val="144F82"/>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20955</wp:posOffset>
            </wp:positionV>
            <wp:extent cx="535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47" w:lineRule="exact"/>
        <w:rPr>
          <w:sz w:val="20"/>
          <w:szCs w:val="20"/>
          <w:color w:val="auto"/>
        </w:rPr>
      </w:pPr>
    </w:p>
    <w:p>
      <w:pPr>
        <w:ind w:left="6640"/>
        <w:spacing w:after="0"/>
        <w:rPr>
          <w:sz w:val="20"/>
          <w:szCs w:val="20"/>
          <w:color w:val="auto"/>
        </w:rPr>
      </w:pPr>
      <w:r>
        <w:rPr>
          <w:rFonts w:ascii="Arial" w:cs="Arial" w:eastAsia="Arial" w:hAnsi="Arial"/>
          <w:sz w:val="16"/>
          <w:szCs w:val="16"/>
          <w:b w:val="1"/>
          <w:bCs w:val="1"/>
          <w:color w:val="144F82"/>
        </w:rPr>
        <w:t>Three Months Ended</w:t>
      </w:r>
    </w:p>
    <w:p>
      <w:pPr>
        <w:ind w:left="7120"/>
        <w:spacing w:after="0"/>
        <w:rPr>
          <w:sz w:val="20"/>
          <w:szCs w:val="20"/>
          <w:color w:val="auto"/>
        </w:rPr>
      </w:pPr>
      <w:r>
        <w:rPr>
          <w:rFonts w:ascii="Arial" w:cs="Arial" w:eastAsia="Arial" w:hAnsi="Arial"/>
          <w:sz w:val="16"/>
          <w:szCs w:val="16"/>
          <w:b w:val="1"/>
          <w:bCs w:val="1"/>
          <w:color w:val="144F82"/>
        </w:rPr>
        <w:t>March 31,</w:t>
      </w:r>
    </w:p>
    <w:p>
      <w:pPr>
        <w:spacing w:after="0" w:line="17" w:lineRule="exact"/>
        <w:rPr>
          <w:sz w:val="20"/>
          <w:szCs w:val="20"/>
          <w:color w:val="auto"/>
        </w:rPr>
      </w:pPr>
    </w:p>
    <w:tbl>
      <w:tblPr>
        <w:tblLayout w:type="fixed"/>
        <w:tblInd w:w="300" w:type="dxa"/>
        <w:tblCellMar>
          <w:top w:w="0" w:type="dxa"/>
          <w:left w:w="0" w:type="dxa"/>
          <w:bottom w:w="0" w:type="dxa"/>
          <w:right w:w="0" w:type="dxa"/>
        </w:tblCellMar>
      </w:tblPr>
      <w:tr>
        <w:trPr>
          <w:trHeight w:val="20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 except per share amounts)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144F82"/>
              </w:rPr>
              <w:t>2025</w:t>
            </w: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144F82"/>
              </w:rPr>
              <w:t>2024</w:t>
            </w: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b w:val="1"/>
                <w:bCs w:val="1"/>
                <w:color w:val="144F82"/>
              </w:rPr>
              <w:t>Interest income: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880" w:type="dxa"/>
            <w:vAlign w:val="bottom"/>
            <w:shd w:val="clear" w:color="auto" w:fill="EDEDEE"/>
          </w:tcPr>
          <w:p>
            <w:pPr>
              <w:ind w:left="140"/>
              <w:spacing w:after="0"/>
              <w:rPr>
                <w:sz w:val="20"/>
                <w:szCs w:val="20"/>
                <w:color w:val="auto"/>
              </w:rPr>
            </w:pPr>
            <w:r>
              <w:rPr>
                <w:rFonts w:ascii="Arial" w:cs="Arial" w:eastAsia="Arial" w:hAnsi="Arial"/>
                <w:sz w:val="16"/>
                <w:szCs w:val="16"/>
                <w:color w:val="auto"/>
              </w:rPr>
              <w:t>Loans</w:t>
            </w:r>
          </w:p>
        </w:tc>
        <w:tc>
          <w:tcPr>
            <w:tcW w:w="28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598,767</w:t>
            </w:r>
          </w:p>
        </w:tc>
        <w:tc>
          <w:tcPr>
            <w:tcW w:w="320" w:type="dxa"/>
            <w:vAlign w:val="bottom"/>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596,607</w:t>
            </w:r>
          </w:p>
        </w:tc>
      </w:tr>
      <w:tr>
        <w:trPr>
          <w:trHeight w:val="215"/>
        </w:trPr>
        <w:tc>
          <w:tcPr>
            <w:tcW w:w="5880" w:type="dxa"/>
            <w:vAlign w:val="bottom"/>
          </w:tcPr>
          <w:p>
            <w:pPr>
              <w:ind w:left="140"/>
              <w:spacing w:after="0"/>
              <w:rPr>
                <w:sz w:val="20"/>
                <w:szCs w:val="20"/>
                <w:color w:val="auto"/>
              </w:rPr>
            </w:pPr>
            <w:r>
              <w:rPr>
                <w:rFonts w:ascii="Arial" w:cs="Arial" w:eastAsia="Arial" w:hAnsi="Arial"/>
                <w:sz w:val="16"/>
                <w:szCs w:val="16"/>
                <w:color w:val="auto"/>
              </w:rPr>
              <w:t>Investments</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14,746</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14,507</w:t>
            </w:r>
          </w:p>
        </w:tc>
      </w:tr>
      <w:tr>
        <w:trPr>
          <w:trHeight w:val="217"/>
        </w:trPr>
        <w:tc>
          <w:tcPr>
            <w:tcW w:w="5880" w:type="dxa"/>
            <w:vAlign w:val="bottom"/>
            <w:shd w:val="clear" w:color="auto" w:fill="EDEDEE"/>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42,577</w:t>
            </w:r>
          </w:p>
        </w:tc>
        <w:tc>
          <w:tcPr>
            <w:tcW w:w="320" w:type="dxa"/>
            <w:vAlign w:val="bottom"/>
            <w:tcBorders>
              <w:bottom w:val="single" w:sz="8" w:color="auto"/>
            </w:tcBorders>
            <w:shd w:val="clear" w:color="auto" w:fill="EDEDEE"/>
          </w:tcPr>
          <w:p>
            <w:pPr>
              <w:spacing w:after="0"/>
              <w:rPr>
                <w:sz w:val="18"/>
                <w:szCs w:val="18"/>
                <w:color w:val="auto"/>
              </w:rPr>
            </w:pPr>
          </w:p>
        </w:tc>
        <w:tc>
          <w:tcPr>
            <w:tcW w:w="9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52,444</w:t>
            </w: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color w:val="auto"/>
              </w:rPr>
              <w:t>Total interest income</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656,090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663,558</w:t>
            </w:r>
          </w:p>
        </w:tc>
      </w:tr>
      <w:tr>
        <w:trPr>
          <w:trHeight w:val="217"/>
        </w:trPr>
        <w:tc>
          <w:tcPr>
            <w:tcW w:w="588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Interest expense:</w:t>
            </w:r>
          </w:p>
        </w:tc>
        <w:tc>
          <w:tcPr>
            <w:tcW w:w="28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320" w:type="dxa"/>
            <w:vAlign w:val="bottom"/>
            <w:shd w:val="clear" w:color="auto" w:fill="EDEDEE"/>
          </w:tcPr>
          <w:p>
            <w:pPr>
              <w:spacing w:after="0"/>
              <w:rPr>
                <w:sz w:val="18"/>
                <w:szCs w:val="18"/>
                <w:color w:val="auto"/>
              </w:rPr>
            </w:pPr>
          </w:p>
        </w:tc>
        <w:tc>
          <w:tcPr>
            <w:tcW w:w="960" w:type="dxa"/>
            <w:vAlign w:val="bottom"/>
            <w:shd w:val="clear" w:color="auto" w:fill="EDEDEE"/>
          </w:tcPr>
          <w:p>
            <w:pPr>
              <w:spacing w:after="0"/>
              <w:rPr>
                <w:sz w:val="18"/>
                <w:szCs w:val="18"/>
                <w:color w:val="auto"/>
              </w:rPr>
            </w:pPr>
          </w:p>
        </w:tc>
      </w:tr>
      <w:tr>
        <w:trPr>
          <w:trHeight w:val="215"/>
        </w:trPr>
        <w:tc>
          <w:tcPr>
            <w:tcW w:w="5880" w:type="dxa"/>
            <w:vAlign w:val="bottom"/>
          </w:tcPr>
          <w:p>
            <w:pPr>
              <w:ind w:left="140"/>
              <w:spacing w:after="0"/>
              <w:rPr>
                <w:sz w:val="20"/>
                <w:szCs w:val="20"/>
                <w:color w:val="auto"/>
              </w:rPr>
            </w:pPr>
            <w:r>
              <w:rPr>
                <w:rFonts w:ascii="Arial" w:cs="Arial" w:eastAsia="Arial" w:hAnsi="Arial"/>
                <w:sz w:val="16"/>
                <w:szCs w:val="16"/>
                <w:color w:val="auto"/>
              </w:rPr>
              <w:t>Deposits</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204,139</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220,445</w:t>
            </w:r>
          </w:p>
        </w:tc>
      </w:tr>
      <w:tr>
        <w:trPr>
          <w:trHeight w:val="217"/>
        </w:trPr>
        <w:tc>
          <w:tcPr>
            <w:tcW w:w="5880" w:type="dxa"/>
            <w:vAlign w:val="bottom"/>
            <w:shd w:val="clear" w:color="auto" w:fill="EDEDEE"/>
          </w:tcPr>
          <w:p>
            <w:pPr>
              <w:ind w:left="140"/>
              <w:spacing w:after="0"/>
              <w:rPr>
                <w:sz w:val="20"/>
                <w:szCs w:val="20"/>
                <w:color w:val="auto"/>
              </w:rPr>
            </w:pPr>
            <w:r>
              <w:rPr>
                <w:rFonts w:ascii="Arial" w:cs="Arial" w:eastAsia="Arial" w:hAnsi="Arial"/>
                <w:sz w:val="16"/>
                <w:szCs w:val="16"/>
                <w:color w:val="auto"/>
              </w:rPr>
              <w:t>Interest expense on short-term borrowings</w:t>
            </w:r>
          </w:p>
        </w:tc>
        <w:tc>
          <w:tcPr>
            <w:tcW w:w="28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3,401</w:t>
            </w:r>
          </w:p>
        </w:tc>
        <w:tc>
          <w:tcPr>
            <w:tcW w:w="320" w:type="dxa"/>
            <w:vAlign w:val="bottom"/>
            <w:shd w:val="clear" w:color="auto" w:fill="EDEDEE"/>
          </w:tcPr>
          <w:p>
            <w:pPr>
              <w:spacing w:after="0"/>
              <w:rPr>
                <w:sz w:val="18"/>
                <w:szCs w:val="18"/>
                <w:color w:val="auto"/>
              </w:rPr>
            </w:pPr>
          </w:p>
        </w:tc>
        <w:tc>
          <w:tcPr>
            <w:tcW w:w="9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3,562</w:t>
            </w:r>
          </w:p>
        </w:tc>
      </w:tr>
      <w:tr>
        <w:trPr>
          <w:trHeight w:val="215"/>
        </w:trPr>
        <w:tc>
          <w:tcPr>
            <w:tcW w:w="5880" w:type="dxa"/>
            <w:vAlign w:val="bottom"/>
            <w:tcBorders>
              <w:bottom w:val="single" w:sz="8" w:color="EDEDEE"/>
            </w:tcBorders>
          </w:tcPr>
          <w:p>
            <w:pPr>
              <w:ind w:left="140"/>
              <w:spacing w:after="0"/>
              <w:rPr>
                <w:sz w:val="20"/>
                <w:szCs w:val="20"/>
                <w:color w:val="auto"/>
              </w:rPr>
            </w:pPr>
            <w:r>
              <w:rPr>
                <w:rFonts w:ascii="Arial" w:cs="Arial" w:eastAsia="Arial" w:hAnsi="Arial"/>
                <w:sz w:val="16"/>
                <w:szCs w:val="16"/>
                <w:color w:val="auto"/>
              </w:rPr>
              <w:t>Interest expense on long-term borrowings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73,580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52,535</w:t>
            </w:r>
          </w:p>
        </w:tc>
      </w:tr>
      <w:tr>
        <w:trPr>
          <w:trHeight w:val="210"/>
        </w:trPr>
        <w:tc>
          <w:tcPr>
            <w:tcW w:w="5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281,120</w:t>
            </w:r>
          </w:p>
        </w:tc>
        <w:tc>
          <w:tcPr>
            <w:tcW w:w="320" w:type="dxa"/>
            <w:vAlign w:val="bottom"/>
            <w:tcBorders>
              <w:bottom w:val="single" w:sz="8" w:color="auto"/>
            </w:tcBorders>
            <w:shd w:val="clear" w:color="auto" w:fill="EDEDEE"/>
          </w:tcPr>
          <w:p>
            <w:pPr>
              <w:spacing w:after="0"/>
              <w:rPr>
                <w:sz w:val="18"/>
                <w:szCs w:val="18"/>
                <w:color w:val="auto"/>
              </w:rPr>
            </w:pPr>
          </w:p>
        </w:tc>
        <w:tc>
          <w:tcPr>
            <w:tcW w:w="9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276,542</w:t>
            </w: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374,970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387,016</w:t>
            </w:r>
          </w:p>
        </w:tc>
      </w:tr>
      <w:tr>
        <w:trPr>
          <w:trHeight w:val="217"/>
        </w:trPr>
        <w:tc>
          <w:tcPr>
            <w:tcW w:w="5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Less: provisions for credit losses</w:t>
            </w:r>
          </w:p>
        </w:tc>
        <w:tc>
          <w:tcPr>
            <w:tcW w:w="28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23,286</w:t>
            </w:r>
          </w:p>
        </w:tc>
        <w:tc>
          <w:tcPr>
            <w:tcW w:w="320" w:type="dxa"/>
            <w:vAlign w:val="bottom"/>
            <w:tcBorders>
              <w:bottom w:val="single" w:sz="8" w:color="auto"/>
            </w:tcBorders>
            <w:shd w:val="clear" w:color="auto" w:fill="EDEDEE"/>
          </w:tcPr>
          <w:p>
            <w:pPr>
              <w:spacing w:after="0"/>
              <w:rPr>
                <w:sz w:val="18"/>
                <w:szCs w:val="18"/>
                <w:color w:val="auto"/>
              </w:rPr>
            </w:pPr>
          </w:p>
        </w:tc>
        <w:tc>
          <w:tcPr>
            <w:tcW w:w="9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12,041</w:t>
            </w:r>
          </w:p>
        </w:tc>
      </w:tr>
      <w:tr>
        <w:trPr>
          <w:trHeight w:val="209"/>
        </w:trPr>
        <w:tc>
          <w:tcPr>
            <w:tcW w:w="588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Net interest income after provisions for credit losses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351,684</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374,975</w:t>
            </w:r>
          </w:p>
        </w:tc>
      </w:tr>
      <w:tr>
        <w:trPr>
          <w:trHeight w:val="197"/>
        </w:trPr>
        <w:tc>
          <w:tcPr>
            <w:tcW w:w="588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Non-interest income:</w:t>
            </w:r>
          </w:p>
        </w:tc>
        <w:tc>
          <w:tcPr>
            <w:tcW w:w="280" w:type="dxa"/>
            <w:vAlign w:val="bottom"/>
            <w:shd w:val="clear" w:color="auto" w:fill="EDEDEE"/>
          </w:tcPr>
          <w:p>
            <w:pPr>
              <w:spacing w:after="0"/>
              <w:rPr>
                <w:sz w:val="17"/>
                <w:szCs w:val="17"/>
                <w:color w:val="auto"/>
              </w:rPr>
            </w:pPr>
          </w:p>
        </w:tc>
        <w:tc>
          <w:tcPr>
            <w:tcW w:w="1000" w:type="dxa"/>
            <w:vAlign w:val="bottom"/>
            <w:shd w:val="clear" w:color="auto" w:fill="EDEDEE"/>
          </w:tcPr>
          <w:p>
            <w:pPr>
              <w:spacing w:after="0"/>
              <w:rPr>
                <w:sz w:val="17"/>
                <w:szCs w:val="17"/>
                <w:color w:val="auto"/>
              </w:rPr>
            </w:pPr>
          </w:p>
        </w:tc>
        <w:tc>
          <w:tcPr>
            <w:tcW w:w="320" w:type="dxa"/>
            <w:vAlign w:val="bottom"/>
            <w:shd w:val="clear" w:color="auto" w:fill="EDEDEE"/>
          </w:tcPr>
          <w:p>
            <w:pPr>
              <w:spacing w:after="0"/>
              <w:rPr>
                <w:sz w:val="17"/>
                <w:szCs w:val="17"/>
                <w:color w:val="auto"/>
              </w:rPr>
            </w:pPr>
          </w:p>
        </w:tc>
        <w:tc>
          <w:tcPr>
            <w:tcW w:w="960" w:type="dxa"/>
            <w:vAlign w:val="bottom"/>
            <w:shd w:val="clear" w:color="auto" w:fill="EDEDEE"/>
          </w:tcPr>
          <w:p>
            <w:pPr>
              <w:spacing w:after="0"/>
              <w:rPr>
                <w:sz w:val="17"/>
                <w:szCs w:val="17"/>
                <w:color w:val="auto"/>
              </w:rPr>
            </w:pPr>
          </w:p>
        </w:tc>
      </w:tr>
      <w:tr>
        <w:trPr>
          <w:trHeight w:val="215"/>
        </w:trPr>
        <w:tc>
          <w:tcPr>
            <w:tcW w:w="5880" w:type="dxa"/>
            <w:vAlign w:val="bottom"/>
          </w:tcPr>
          <w:p>
            <w:pPr>
              <w:ind w:left="140"/>
              <w:spacing w:after="0"/>
              <w:rPr>
                <w:sz w:val="20"/>
                <w:szCs w:val="20"/>
                <w:color w:val="auto"/>
              </w:rPr>
            </w:pPr>
            <w:r>
              <w:rPr>
                <w:rFonts w:ascii="Arial" w:cs="Arial" w:eastAsia="Arial" w:hAnsi="Arial"/>
                <w:sz w:val="16"/>
                <w:szCs w:val="16"/>
                <w:color w:val="auto"/>
              </w:rPr>
              <w:t>Gains on sales of loans, net</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187,735</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143,039</w:t>
            </w:r>
          </w:p>
        </w:tc>
      </w:tr>
      <w:tr>
        <w:trPr>
          <w:trHeight w:val="217"/>
        </w:trPr>
        <w:tc>
          <w:tcPr>
            <w:tcW w:w="5880" w:type="dxa"/>
            <w:vAlign w:val="bottom"/>
            <w:shd w:val="clear" w:color="auto" w:fill="EDEDEE"/>
          </w:tcPr>
          <w:p>
            <w:pPr>
              <w:ind w:left="140"/>
              <w:spacing w:after="0"/>
              <w:rPr>
                <w:sz w:val="20"/>
                <w:szCs w:val="20"/>
                <w:color w:val="auto"/>
              </w:rPr>
            </w:pPr>
            <w:r>
              <w:rPr>
                <w:rFonts w:ascii="Arial" w:cs="Arial" w:eastAsia="Arial" w:hAnsi="Arial"/>
                <w:sz w:val="16"/>
                <w:szCs w:val="16"/>
                <w:color w:val="auto"/>
              </w:rPr>
              <w:t>Gains (losses) on securities, net</w:t>
            </w:r>
          </w:p>
        </w:tc>
        <w:tc>
          <w:tcPr>
            <w:tcW w:w="28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(10,378)</w:t>
            </w:r>
          </w:p>
        </w:tc>
        <w:tc>
          <w:tcPr>
            <w:tcW w:w="320" w:type="dxa"/>
            <w:vAlign w:val="bottom"/>
            <w:shd w:val="clear" w:color="auto" w:fill="EDEDEE"/>
          </w:tcPr>
          <w:p>
            <w:pPr>
              <w:spacing w:after="0"/>
              <w:rPr>
                <w:sz w:val="18"/>
                <w:szCs w:val="18"/>
                <w:color w:val="auto"/>
              </w:rPr>
            </w:pPr>
          </w:p>
        </w:tc>
        <w:tc>
          <w:tcPr>
            <w:tcW w:w="9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2,118</w:t>
            </w:r>
          </w:p>
        </w:tc>
      </w:tr>
      <w:tr>
        <w:trPr>
          <w:trHeight w:val="215"/>
        </w:trPr>
        <w:tc>
          <w:tcPr>
            <w:tcW w:w="5880" w:type="dxa"/>
            <w:vAlign w:val="bottom"/>
            <w:tcBorders>
              <w:bottom w:val="single" w:sz="8" w:color="EDEDEE"/>
            </w:tcBorders>
          </w:tcPr>
          <w:p>
            <w:pPr>
              <w:ind w:left="140"/>
              <w:spacing w:after="0"/>
              <w:rPr>
                <w:sz w:val="20"/>
                <w:szCs w:val="20"/>
                <w:color w:val="auto"/>
              </w:rPr>
            </w:pPr>
            <w:r>
              <w:rPr>
                <w:rFonts w:ascii="Arial" w:cs="Arial" w:eastAsia="Arial" w:hAnsi="Arial"/>
                <w:sz w:val="16"/>
                <w:szCs w:val="16"/>
                <w:color w:val="auto"/>
              </w:rPr>
              <w:t>Other income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28,687</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29,001</w:t>
            </w:r>
          </w:p>
        </w:tc>
      </w:tr>
      <w:tr>
        <w:trPr>
          <w:trHeight w:val="210"/>
        </w:trPr>
        <w:tc>
          <w:tcPr>
            <w:tcW w:w="5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Total non-interest income</w:t>
            </w:r>
          </w:p>
        </w:tc>
        <w:tc>
          <w:tcPr>
            <w:tcW w:w="28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206,044</w:t>
            </w:r>
          </w:p>
        </w:tc>
        <w:tc>
          <w:tcPr>
            <w:tcW w:w="320" w:type="dxa"/>
            <w:vAlign w:val="bottom"/>
            <w:tcBorders>
              <w:bottom w:val="single" w:sz="8" w:color="auto"/>
            </w:tcBorders>
            <w:shd w:val="clear" w:color="auto" w:fill="EDEDEE"/>
          </w:tcPr>
          <w:p>
            <w:pPr>
              <w:spacing w:after="0"/>
              <w:rPr>
                <w:sz w:val="18"/>
                <w:szCs w:val="18"/>
                <w:color w:val="auto"/>
              </w:rPr>
            </w:pPr>
          </w:p>
        </w:tc>
        <w:tc>
          <w:tcPr>
            <w:tcW w:w="9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174,158</w:t>
            </w:r>
          </w:p>
        </w:tc>
      </w:tr>
      <w:tr>
        <w:trPr>
          <w:trHeight w:val="196"/>
        </w:trPr>
        <w:tc>
          <w:tcPr>
            <w:tcW w:w="5880" w:type="dxa"/>
            <w:vAlign w:val="bottom"/>
          </w:tcPr>
          <w:p>
            <w:pPr>
              <w:ind w:left="20"/>
              <w:spacing w:after="0"/>
              <w:rPr>
                <w:sz w:val="20"/>
                <w:szCs w:val="20"/>
                <w:color w:val="auto"/>
              </w:rPr>
            </w:pPr>
            <w:r>
              <w:rPr>
                <w:rFonts w:ascii="Arial" w:cs="Arial" w:eastAsia="Arial" w:hAnsi="Arial"/>
                <w:sz w:val="16"/>
                <w:szCs w:val="16"/>
                <w:b w:val="1"/>
                <w:bCs w:val="1"/>
                <w:color w:val="144F82"/>
              </w:rPr>
              <w:t>Non-interest expenses: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5880" w:type="dxa"/>
            <w:vAlign w:val="bottom"/>
            <w:shd w:val="clear" w:color="auto" w:fill="EDEDEE"/>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320" w:type="dxa"/>
            <w:vAlign w:val="bottom"/>
            <w:shd w:val="clear" w:color="auto" w:fill="EDEDEE"/>
          </w:tcPr>
          <w:p>
            <w:pPr>
              <w:spacing w:after="0"/>
              <w:rPr>
                <w:sz w:val="18"/>
                <w:szCs w:val="18"/>
                <w:color w:val="auto"/>
              </w:rPr>
            </w:pPr>
          </w:p>
        </w:tc>
        <w:tc>
          <w:tcPr>
            <w:tcW w:w="960" w:type="dxa"/>
            <w:vAlign w:val="bottom"/>
            <w:shd w:val="clear" w:color="auto" w:fill="EDEDEE"/>
          </w:tcPr>
          <w:p>
            <w:pPr>
              <w:spacing w:after="0"/>
              <w:rPr>
                <w:sz w:val="18"/>
                <w:szCs w:val="18"/>
                <w:color w:val="auto"/>
              </w:rPr>
            </w:pPr>
          </w:p>
        </w:tc>
      </w:tr>
      <w:tr>
        <w:trPr>
          <w:trHeight w:val="215"/>
        </w:trPr>
        <w:tc>
          <w:tcPr>
            <w:tcW w:w="5880" w:type="dxa"/>
            <w:vAlign w:val="bottom"/>
          </w:tcPr>
          <w:p>
            <w:pPr>
              <w:ind w:left="140"/>
              <w:spacing w:after="0"/>
              <w:rPr>
                <w:sz w:val="20"/>
                <w:szCs w:val="20"/>
                <w:color w:val="auto"/>
              </w:rPr>
            </w:pPr>
            <w:r>
              <w:rPr>
                <w:rFonts w:ascii="Arial" w:cs="Arial" w:eastAsia="Arial" w:hAnsi="Arial"/>
                <w:sz w:val="16"/>
                <w:szCs w:val="16"/>
                <w:color w:val="auto"/>
              </w:rPr>
              <w:t>Compensation and benefits</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90,830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96,476</w:t>
            </w:r>
          </w:p>
        </w:tc>
      </w:tr>
      <w:tr>
        <w:trPr>
          <w:trHeight w:val="217"/>
        </w:trPr>
        <w:tc>
          <w:tcPr>
            <w:tcW w:w="5880" w:type="dxa"/>
            <w:vAlign w:val="bottom"/>
            <w:shd w:val="clear" w:color="auto" w:fill="EDEDEE"/>
          </w:tcPr>
          <w:p>
            <w:pPr>
              <w:ind w:left="140"/>
              <w:spacing w:after="0"/>
              <w:rPr>
                <w:sz w:val="20"/>
                <w:szCs w:val="20"/>
                <w:color w:val="auto"/>
              </w:rPr>
            </w:pPr>
            <w:r>
              <w:rPr>
                <w:rFonts w:ascii="Arial" w:cs="Arial" w:eastAsia="Arial" w:hAnsi="Arial"/>
                <w:sz w:val="16"/>
                <w:szCs w:val="16"/>
                <w:color w:val="auto"/>
              </w:rPr>
              <w:t>FDIC assessment fees</w:t>
            </w:r>
          </w:p>
        </w:tc>
        <w:tc>
          <w:tcPr>
            <w:tcW w:w="28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12,403</w:t>
            </w:r>
          </w:p>
        </w:tc>
        <w:tc>
          <w:tcPr>
            <w:tcW w:w="320" w:type="dxa"/>
            <w:vAlign w:val="bottom"/>
            <w:shd w:val="clear" w:color="auto" w:fill="EDEDEE"/>
          </w:tcPr>
          <w:p>
            <w:pPr>
              <w:spacing w:after="0"/>
              <w:rPr>
                <w:sz w:val="18"/>
                <w:szCs w:val="18"/>
                <w:color w:val="auto"/>
              </w:rPr>
            </w:pPr>
          </w:p>
        </w:tc>
        <w:tc>
          <w:tcPr>
            <w:tcW w:w="9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13,312</w:t>
            </w:r>
          </w:p>
        </w:tc>
      </w:tr>
      <w:tr>
        <w:trPr>
          <w:trHeight w:val="215"/>
        </w:trPr>
        <w:tc>
          <w:tcPr>
            <w:tcW w:w="5880" w:type="dxa"/>
            <w:vAlign w:val="bottom"/>
            <w:tcBorders>
              <w:bottom w:val="single" w:sz="8" w:color="EDEDEE"/>
            </w:tcBorders>
          </w:tcPr>
          <w:p>
            <w:pPr>
              <w:ind w:left="140"/>
              <w:spacing w:after="0"/>
              <w:rPr>
                <w:sz w:val="20"/>
                <w:szCs w:val="20"/>
                <w:color w:val="auto"/>
              </w:rPr>
            </w:pPr>
            <w:r>
              <w:rPr>
                <w:rFonts w:ascii="Arial" w:cs="Arial" w:eastAsia="Arial" w:hAnsi="Arial"/>
                <w:sz w:val="16"/>
                <w:szCs w:val="16"/>
                <w:color w:val="auto"/>
              </w:rPr>
              <w:t>Other operating expenses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50,355</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50,645</w:t>
            </w:r>
          </w:p>
        </w:tc>
      </w:tr>
      <w:tr>
        <w:trPr>
          <w:trHeight w:val="210"/>
        </w:trPr>
        <w:tc>
          <w:tcPr>
            <w:tcW w:w="5880" w:type="dxa"/>
            <w:vAlign w:val="bottom"/>
            <w:shd w:val="clear" w:color="auto" w:fill="EDEDEE"/>
          </w:tcPr>
          <w:p>
            <w:pPr>
              <w:ind w:left="40"/>
              <w:spacing w:after="0"/>
              <w:rPr>
                <w:sz w:val="20"/>
                <w:szCs w:val="20"/>
                <w:color w:val="auto"/>
              </w:rPr>
            </w:pPr>
            <w:r>
              <w:rPr>
                <w:rFonts w:ascii="Arial" w:cs="Arial" w:eastAsia="Arial" w:hAnsi="Arial"/>
                <w:sz w:val="16"/>
                <w:szCs w:val="16"/>
                <w:color w:val="auto"/>
              </w:rPr>
              <w:t>Total operating expenses</w:t>
            </w:r>
          </w:p>
        </w:tc>
        <w:tc>
          <w:tcPr>
            <w:tcW w:w="28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153,588</w:t>
            </w:r>
          </w:p>
        </w:tc>
        <w:tc>
          <w:tcPr>
            <w:tcW w:w="320" w:type="dxa"/>
            <w:vAlign w:val="bottom"/>
            <w:shd w:val="clear" w:color="auto" w:fill="EDEDEE"/>
          </w:tcPr>
          <w:p>
            <w:pPr>
              <w:spacing w:after="0"/>
              <w:rPr>
                <w:sz w:val="18"/>
                <w:szCs w:val="18"/>
                <w:color w:val="auto"/>
              </w:rPr>
            </w:pPr>
          </w:p>
        </w:tc>
        <w:tc>
          <w:tcPr>
            <w:tcW w:w="9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160,433</w:t>
            </w:r>
          </w:p>
        </w:tc>
      </w:tr>
      <w:tr>
        <w:trPr>
          <w:trHeight w:val="215"/>
        </w:trPr>
        <w:tc>
          <w:tcPr>
            <w:tcW w:w="5880" w:type="dxa"/>
            <w:vAlign w:val="bottom"/>
            <w:tcBorders>
              <w:bottom w:val="single" w:sz="8" w:color="EDEDEE"/>
            </w:tcBorders>
          </w:tcPr>
          <w:p>
            <w:pPr>
              <w:ind w:left="40"/>
              <w:spacing w:after="0"/>
              <w:rPr>
                <w:sz w:val="20"/>
                <w:szCs w:val="20"/>
                <w:color w:val="auto"/>
              </w:rPr>
            </w:pPr>
            <w:r>
              <w:rPr>
                <w:rFonts w:ascii="Arial" w:cs="Arial" w:eastAsia="Arial" w:hAnsi="Arial"/>
                <w:sz w:val="16"/>
                <w:szCs w:val="16"/>
                <w:color w:val="auto"/>
              </w:rPr>
              <w:t>Acquired intangible assets amortization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1,021</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w:t>
            </w:r>
          </w:p>
        </w:tc>
      </w:tr>
      <w:tr>
        <w:trPr>
          <w:trHeight w:val="210"/>
        </w:trPr>
        <w:tc>
          <w:tcPr>
            <w:tcW w:w="5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Total non-interest expenses</w:t>
            </w:r>
          </w:p>
        </w:tc>
        <w:tc>
          <w:tcPr>
            <w:tcW w:w="28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154,609</w:t>
            </w:r>
          </w:p>
        </w:tc>
        <w:tc>
          <w:tcPr>
            <w:tcW w:w="320" w:type="dxa"/>
            <w:vAlign w:val="bottom"/>
            <w:tcBorders>
              <w:bottom w:val="single" w:sz="8" w:color="auto"/>
            </w:tcBorders>
            <w:shd w:val="clear" w:color="auto" w:fill="EDEDEE"/>
          </w:tcPr>
          <w:p>
            <w:pPr>
              <w:spacing w:after="0"/>
              <w:rPr>
                <w:sz w:val="18"/>
                <w:szCs w:val="18"/>
                <w:color w:val="auto"/>
              </w:rPr>
            </w:pPr>
          </w:p>
        </w:tc>
        <w:tc>
          <w:tcPr>
            <w:tcW w:w="9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161,648</w:t>
            </w: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403,119</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387,485</w:t>
            </w:r>
          </w:p>
        </w:tc>
      </w:tr>
      <w:tr>
        <w:trPr>
          <w:trHeight w:val="217"/>
        </w:trPr>
        <w:tc>
          <w:tcPr>
            <w:tcW w:w="5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98,579</w:t>
            </w:r>
          </w:p>
        </w:tc>
        <w:tc>
          <w:tcPr>
            <w:tcW w:w="320" w:type="dxa"/>
            <w:vAlign w:val="bottom"/>
            <w:tcBorders>
              <w:bottom w:val="single" w:sz="8" w:color="auto"/>
            </w:tcBorders>
            <w:shd w:val="clear" w:color="auto" w:fill="EDEDEE"/>
          </w:tcPr>
          <w:p>
            <w:pPr>
              <w:spacing w:after="0"/>
              <w:rPr>
                <w:sz w:val="18"/>
                <w:szCs w:val="18"/>
                <w:color w:val="auto"/>
              </w:rPr>
            </w:pPr>
          </w:p>
        </w:tc>
        <w:tc>
          <w:tcPr>
            <w:tcW w:w="9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97,554</w:t>
            </w: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b w:val="1"/>
                <w:bCs w:val="1"/>
                <w:color w:val="144F82"/>
              </w:rPr>
              <w:t>Net income</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304,540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289,931</w:t>
            </w:r>
          </w:p>
        </w:tc>
      </w:tr>
      <w:tr>
        <w:trPr>
          <w:trHeight w:val="215"/>
        </w:trPr>
        <w:tc>
          <w:tcPr>
            <w:tcW w:w="5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Preferred stock dividends</w:t>
            </w:r>
          </w:p>
        </w:tc>
        <w:tc>
          <w:tcPr>
            <w:tcW w:w="28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3,956</w:t>
            </w:r>
          </w:p>
        </w:tc>
        <w:tc>
          <w:tcPr>
            <w:tcW w:w="320" w:type="dxa"/>
            <w:vAlign w:val="bottom"/>
            <w:tcBorders>
              <w:bottom w:val="single" w:sz="8" w:color="auto"/>
            </w:tcBorders>
            <w:shd w:val="clear" w:color="auto" w:fill="EDEDEE"/>
          </w:tcPr>
          <w:p>
            <w:pPr>
              <w:spacing w:after="0"/>
              <w:rPr>
                <w:sz w:val="18"/>
                <w:szCs w:val="18"/>
                <w:color w:val="auto"/>
              </w:rPr>
            </w:pPr>
          </w:p>
        </w:tc>
        <w:tc>
          <w:tcPr>
            <w:tcW w:w="9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4,653</w:t>
            </w: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b w:val="1"/>
                <w:bCs w:val="1"/>
                <w:color w:val="144F82"/>
              </w:rPr>
              <w:t>Net income attributable to SLM Corporation common stock</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300,584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285,278</w:t>
            </w:r>
          </w:p>
        </w:tc>
      </w:tr>
      <w:tr>
        <w:trPr>
          <w:trHeight w:val="20"/>
        </w:trPr>
        <w:tc>
          <w:tcPr>
            <w:tcW w:w="5880" w:type="dxa"/>
            <w:vAlign w:val="bottom"/>
            <w:tcBorders>
              <w:bottom w:val="single" w:sz="8" w:color="EDED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58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Basic earnings per common share</w:t>
            </w:r>
          </w:p>
        </w:tc>
        <w:tc>
          <w:tcPr>
            <w:tcW w:w="28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1.43</w:t>
            </w:r>
          </w:p>
        </w:tc>
        <w:tc>
          <w:tcPr>
            <w:tcW w:w="320" w:type="dxa"/>
            <w:vAlign w:val="bottom"/>
            <w:tcBorders>
              <w:bottom w:val="single" w:sz="8" w:color="auto"/>
            </w:tcBorders>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1.29</w:t>
            </w:r>
          </w:p>
        </w:tc>
      </w:tr>
      <w:tr>
        <w:trPr>
          <w:trHeight w:val="20"/>
        </w:trPr>
        <w:tc>
          <w:tcPr>
            <w:tcW w:w="588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960" w:type="dxa"/>
            <w:vAlign w:val="bottom"/>
            <w:tcBorders>
              <w:top w:val="single" w:sz="8" w:color="EDEDEE"/>
              <w:bottom w:val="single" w:sz="8" w:color="auto"/>
            </w:tcBorders>
          </w:tcPr>
          <w:p>
            <w:pPr>
              <w:spacing w:after="0" w:line="20" w:lineRule="exact"/>
              <w:rPr>
                <w:sz w:val="1"/>
                <w:szCs w:val="1"/>
                <w:color w:val="auto"/>
              </w:rPr>
            </w:pPr>
          </w:p>
        </w:tc>
      </w:tr>
      <w:tr>
        <w:trPr>
          <w:trHeight w:val="190"/>
        </w:trPr>
        <w:tc>
          <w:tcPr>
            <w:tcW w:w="5880" w:type="dxa"/>
            <w:vAlign w:val="bottom"/>
          </w:tcPr>
          <w:p>
            <w:pPr>
              <w:ind w:left="20"/>
              <w:spacing w:after="0"/>
              <w:rPr>
                <w:sz w:val="20"/>
                <w:szCs w:val="20"/>
                <w:color w:val="auto"/>
              </w:rPr>
            </w:pPr>
            <w:r>
              <w:rPr>
                <w:rFonts w:ascii="Arial" w:cs="Arial" w:eastAsia="Arial" w:hAnsi="Arial"/>
                <w:sz w:val="16"/>
                <w:szCs w:val="16"/>
                <w:color w:val="auto"/>
              </w:rPr>
              <w:t>Average common shares outstanding</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210,682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220,416</w:t>
            </w:r>
          </w:p>
        </w:tc>
      </w:tr>
      <w:tr>
        <w:trPr>
          <w:trHeight w:val="20"/>
        </w:trPr>
        <w:tc>
          <w:tcPr>
            <w:tcW w:w="5880" w:type="dxa"/>
            <w:vAlign w:val="bottom"/>
            <w:tcBorders>
              <w:bottom w:val="single" w:sz="8" w:color="EDED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58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Diluted earnings per common share</w:t>
            </w:r>
          </w:p>
        </w:tc>
        <w:tc>
          <w:tcPr>
            <w:tcW w:w="28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1.40</w:t>
            </w:r>
          </w:p>
        </w:tc>
        <w:tc>
          <w:tcPr>
            <w:tcW w:w="320" w:type="dxa"/>
            <w:vAlign w:val="bottom"/>
            <w:tcBorders>
              <w:bottom w:val="single" w:sz="8" w:color="auto"/>
            </w:tcBorders>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1.27</w:t>
            </w:r>
          </w:p>
        </w:tc>
      </w:tr>
      <w:tr>
        <w:trPr>
          <w:trHeight w:val="20"/>
        </w:trPr>
        <w:tc>
          <w:tcPr>
            <w:tcW w:w="588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960" w:type="dxa"/>
            <w:vAlign w:val="bottom"/>
            <w:tcBorders>
              <w:top w:val="single" w:sz="8" w:color="EDEDEE"/>
              <w:bottom w:val="single" w:sz="8" w:color="auto"/>
            </w:tcBorders>
          </w:tcPr>
          <w:p>
            <w:pPr>
              <w:spacing w:after="0" w:line="20" w:lineRule="exact"/>
              <w:rPr>
                <w:sz w:val="1"/>
                <w:szCs w:val="1"/>
                <w:color w:val="auto"/>
              </w:rPr>
            </w:pPr>
          </w:p>
        </w:tc>
      </w:tr>
      <w:tr>
        <w:trPr>
          <w:trHeight w:val="190"/>
        </w:trPr>
        <w:tc>
          <w:tcPr>
            <w:tcW w:w="5880" w:type="dxa"/>
            <w:vAlign w:val="bottom"/>
          </w:tcPr>
          <w:p>
            <w:pPr>
              <w:ind w:left="20"/>
              <w:spacing w:after="0"/>
              <w:rPr>
                <w:sz w:val="20"/>
                <w:szCs w:val="20"/>
                <w:color w:val="auto"/>
              </w:rPr>
            </w:pPr>
            <w:r>
              <w:rPr>
                <w:rFonts w:ascii="Arial" w:cs="Arial" w:eastAsia="Arial" w:hAnsi="Arial"/>
                <w:sz w:val="16"/>
                <w:szCs w:val="16"/>
                <w:color w:val="auto"/>
              </w:rPr>
              <w:t>Average common and common equivalent shares outstanding</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214,986</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223,845</w:t>
            </w:r>
          </w:p>
        </w:tc>
      </w:tr>
      <w:tr>
        <w:trPr>
          <w:trHeight w:val="20"/>
        </w:trPr>
        <w:tc>
          <w:tcPr>
            <w:tcW w:w="5880" w:type="dxa"/>
            <w:vAlign w:val="bottom"/>
            <w:tcBorders>
              <w:bottom w:val="single" w:sz="8" w:color="EDED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58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Declared dividends per common share</w:t>
            </w:r>
          </w:p>
        </w:tc>
        <w:tc>
          <w:tcPr>
            <w:tcW w:w="28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0.13</w:t>
            </w:r>
          </w:p>
        </w:tc>
        <w:tc>
          <w:tcPr>
            <w:tcW w:w="320" w:type="dxa"/>
            <w:vAlign w:val="bottom"/>
            <w:tcBorders>
              <w:bottom w:val="single" w:sz="8" w:color="auto"/>
            </w:tcBorders>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0.11</w:t>
            </w:r>
          </w:p>
        </w:tc>
      </w:tr>
      <w:tr>
        <w:trPr>
          <w:trHeight w:val="20"/>
        </w:trPr>
        <w:tc>
          <w:tcPr>
            <w:tcW w:w="588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960" w:type="dxa"/>
            <w:vAlign w:val="bottom"/>
            <w:tcBorders>
              <w:top w:val="single" w:sz="8" w:color="EDEDEE"/>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78"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6"/>
          <w:szCs w:val="16"/>
          <w:b w:val="1"/>
          <w:bCs w:val="1"/>
          <w:color w:val="144F82"/>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20955</wp:posOffset>
            </wp:positionV>
            <wp:extent cx="5511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47"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144F82"/>
        </w:rPr>
        <w:t>Three Months Ended</w:t>
      </w:r>
    </w:p>
    <w:tbl>
      <w:tblPr>
        <w:tblLayout w:type="fixed"/>
        <w:tblInd w:w="180" w:type="dxa"/>
        <w:tblCellMar>
          <w:top w:w="0" w:type="dxa"/>
          <w:left w:w="0" w:type="dxa"/>
          <w:bottom w:w="0" w:type="dxa"/>
          <w:right w:w="0" w:type="dxa"/>
        </w:tblCellMar>
      </w:tblPr>
      <w:tr>
        <w:trPr>
          <w:trHeight w:val="201"/>
        </w:trPr>
        <w:tc>
          <w:tcPr>
            <w:tcW w:w="6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144F82"/>
              </w:rPr>
              <w:t>March 31,</w:t>
            </w:r>
          </w:p>
        </w:tc>
        <w:tc>
          <w:tcPr>
            <w:tcW w:w="860" w:type="dxa"/>
            <w:vAlign w:val="bottom"/>
            <w:tcBorders>
              <w:bottom w:val="single" w:sz="8" w:color="auto"/>
            </w:tcBorders>
          </w:tcPr>
          <w:p>
            <w:pPr>
              <w:spacing w:after="0"/>
              <w:rPr>
                <w:sz w:val="17"/>
                <w:szCs w:val="17"/>
                <w:color w:val="auto"/>
              </w:rPr>
            </w:pPr>
          </w:p>
        </w:tc>
      </w:tr>
      <w:tr>
        <w:trPr>
          <w:trHeight w:val="209"/>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144F82"/>
              </w:rPr>
              <w:t>2025</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144F82"/>
              </w:rPr>
              <w:t>2024</w:t>
            </w: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b w:val="1"/>
                <w:bCs w:val="1"/>
                <w:color w:val="144F82"/>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304,540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289,931</w:t>
            </w:r>
          </w:p>
        </w:tc>
      </w:tr>
      <w:tr>
        <w:trPr>
          <w:trHeight w:val="216"/>
        </w:trPr>
        <w:tc>
          <w:tcPr>
            <w:tcW w:w="6080" w:type="dxa"/>
            <w:vAlign w:val="bottom"/>
            <w:shd w:val="clear" w:color="auto" w:fill="EDEDEE"/>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460" w:type="dxa"/>
            <w:vAlign w:val="bottom"/>
            <w:shd w:val="clear" w:color="auto" w:fill="EDEDEE"/>
          </w:tcPr>
          <w:p>
            <w:pPr>
              <w:spacing w:after="0"/>
              <w:rPr>
                <w:sz w:val="18"/>
                <w:szCs w:val="18"/>
                <w:color w:val="auto"/>
              </w:rPr>
            </w:pPr>
          </w:p>
        </w:tc>
        <w:tc>
          <w:tcPr>
            <w:tcW w:w="860" w:type="dxa"/>
            <w:vAlign w:val="bottom"/>
            <w:shd w:val="clear" w:color="auto" w:fill="EDEDEE"/>
          </w:tcPr>
          <w:p>
            <w:pPr>
              <w:spacing w:after="0"/>
              <w:rPr>
                <w:sz w:val="18"/>
                <w:szCs w:val="18"/>
                <w:color w:val="auto"/>
              </w:rPr>
            </w:pPr>
          </w:p>
        </w:tc>
      </w:tr>
      <w:tr>
        <w:trPr>
          <w:trHeight w:val="215"/>
        </w:trPr>
        <w:tc>
          <w:tcPr>
            <w:tcW w:w="6080" w:type="dxa"/>
            <w:vAlign w:val="bottom"/>
          </w:tcPr>
          <w:p>
            <w:pPr>
              <w:ind w:left="220"/>
              <w:spacing w:after="0"/>
              <w:rPr>
                <w:sz w:val="20"/>
                <w:szCs w:val="20"/>
                <w:color w:val="auto"/>
              </w:rPr>
            </w:pPr>
            <w:r>
              <w:rPr>
                <w:rFonts w:ascii="Arial" w:cs="Arial" w:eastAsia="Arial" w:hAnsi="Arial"/>
                <w:sz w:val="16"/>
                <w:szCs w:val="16"/>
                <w:color w:val="auto"/>
              </w:rPr>
              <w:t>Unrealized gains on investments</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19,160</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7"/>
        </w:trPr>
        <w:tc>
          <w:tcPr>
            <w:tcW w:w="6080" w:type="dxa"/>
            <w:vAlign w:val="bottom"/>
            <w:shd w:val="clear" w:color="auto" w:fill="EDEDEE"/>
          </w:tcPr>
          <w:p>
            <w:pPr>
              <w:ind w:left="220"/>
              <w:spacing w:after="0"/>
              <w:rPr>
                <w:sz w:val="20"/>
                <w:szCs w:val="20"/>
                <w:color w:val="auto"/>
              </w:rPr>
            </w:pPr>
            <w:r>
              <w:rPr>
                <w:rFonts w:ascii="Arial" w:cs="Arial" w:eastAsia="Arial" w:hAnsi="Arial"/>
                <w:sz w:val="16"/>
                <w:szCs w:val="16"/>
                <w:color w:val="auto"/>
              </w:rPr>
              <w:t>Unrealized losses on cash flow hedges</w:t>
            </w:r>
          </w:p>
        </w:tc>
        <w:tc>
          <w:tcPr>
            <w:tcW w:w="28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(5,801)</w:t>
            </w:r>
          </w:p>
        </w:tc>
        <w:tc>
          <w:tcPr>
            <w:tcW w:w="460" w:type="dxa"/>
            <w:vAlign w:val="bottom"/>
            <w:tcBorders>
              <w:bottom w:val="single" w:sz="8" w:color="auto"/>
            </w:tcBorders>
            <w:shd w:val="clear" w:color="auto" w:fill="EDEDEE"/>
          </w:tcPr>
          <w:p>
            <w:pPr>
              <w:spacing w:after="0"/>
              <w:rPr>
                <w:sz w:val="18"/>
                <w:szCs w:val="18"/>
                <w:color w:val="auto"/>
              </w:rPr>
            </w:pPr>
          </w:p>
        </w:tc>
        <w:tc>
          <w:tcPr>
            <w:tcW w:w="8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(3,049)</w:t>
            </w:r>
          </w:p>
        </w:tc>
      </w:tr>
      <w:tr>
        <w:trPr>
          <w:trHeight w:val="209"/>
        </w:trPr>
        <w:tc>
          <w:tcPr>
            <w:tcW w:w="6080" w:type="dxa"/>
            <w:vAlign w:val="bottom"/>
          </w:tcPr>
          <w:p>
            <w:pPr>
              <w:ind w:left="220"/>
              <w:spacing w:after="0"/>
              <w:rPr>
                <w:sz w:val="20"/>
                <w:szCs w:val="20"/>
                <w:color w:val="auto"/>
              </w:rPr>
            </w:pPr>
            <w:r>
              <w:rPr>
                <w:rFonts w:ascii="Arial" w:cs="Arial" w:eastAsia="Arial" w:hAnsi="Arial"/>
                <w:sz w:val="16"/>
                <w:szCs w:val="16"/>
                <w:color w:val="auto"/>
              </w:rPr>
              <w:t>Total unrealized gains (losses)</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13,359</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(2,763)</w:t>
            </w:r>
          </w:p>
        </w:tc>
      </w:tr>
      <w:tr>
        <w:trPr>
          <w:trHeight w:val="217"/>
        </w:trPr>
        <w:tc>
          <w:tcPr>
            <w:tcW w:w="6080" w:type="dxa"/>
            <w:vAlign w:val="bottom"/>
            <w:shd w:val="clear" w:color="auto" w:fill="EDEDEE"/>
          </w:tcPr>
          <w:p>
            <w:pPr>
              <w:ind w:left="2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(3,129)</w:t>
            </w:r>
          </w:p>
        </w:tc>
        <w:tc>
          <w:tcPr>
            <w:tcW w:w="460" w:type="dxa"/>
            <w:vAlign w:val="bottom"/>
            <w:tcBorders>
              <w:bottom w:val="single" w:sz="8" w:color="auto"/>
            </w:tcBorders>
            <w:shd w:val="clear" w:color="auto" w:fill="EDEDEE"/>
          </w:tcPr>
          <w:p>
            <w:pPr>
              <w:spacing w:after="0"/>
              <w:rPr>
                <w:sz w:val="18"/>
                <w:szCs w:val="18"/>
                <w:color w:val="auto"/>
              </w:rPr>
            </w:pPr>
          </w:p>
        </w:tc>
        <w:tc>
          <w:tcPr>
            <w:tcW w:w="8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576</w:t>
            </w:r>
          </w:p>
        </w:tc>
      </w:tr>
      <w:tr>
        <w:trPr>
          <w:trHeight w:val="209"/>
        </w:trPr>
        <w:tc>
          <w:tcPr>
            <w:tcW w:w="608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Other comprehensive income (loss), net of tax (expense) benefit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10,230</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w:t>
            </w:r>
          </w:p>
        </w:tc>
      </w:tr>
      <w:tr>
        <w:trPr>
          <w:trHeight w:val="235"/>
        </w:trPr>
        <w:tc>
          <w:tcPr>
            <w:tcW w:w="60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 comprehensive income</w:t>
            </w:r>
          </w:p>
        </w:tc>
        <w:tc>
          <w:tcPr>
            <w:tcW w:w="28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314,770</w:t>
            </w:r>
          </w:p>
        </w:tc>
        <w:tc>
          <w:tcPr>
            <w:tcW w:w="460" w:type="dxa"/>
            <w:vAlign w:val="bottom"/>
            <w:tcBorders>
              <w:bottom w:val="single" w:sz="8" w:color="auto"/>
            </w:tcBorders>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287,744</w:t>
            </w:r>
          </w:p>
        </w:tc>
      </w:tr>
      <w:tr>
        <w:trPr>
          <w:trHeight w:val="20"/>
        </w:trPr>
        <w:tc>
          <w:tcPr>
            <w:tcW w:w="608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460" w:type="dxa"/>
            <w:vAlign w:val="bottom"/>
            <w:tcBorders>
              <w:top w:val="single" w:sz="8" w:color="EDEDEE"/>
              <w:bottom w:val="single" w:sz="8" w:color="auto"/>
            </w:tcBorders>
          </w:tcPr>
          <w:p>
            <w:pPr>
              <w:spacing w:after="0" w:line="20" w:lineRule="exact"/>
              <w:rPr>
                <w:sz w:val="1"/>
                <w:szCs w:val="1"/>
                <w:color w:val="auto"/>
              </w:rPr>
            </w:pPr>
          </w:p>
        </w:tc>
        <w:tc>
          <w:tcPr>
            <w:tcW w:w="860" w:type="dxa"/>
            <w:vAlign w:val="bottom"/>
            <w:tcBorders>
              <w:top w:val="single" w:sz="8" w:color="EDEDEE"/>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019"/>
          </w:cols>
          <w:pgMar w:left="1440" w:top="1178"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78" w:right="1440" w:bottom="1440" w:gutter="0" w:footer="0" w:header="0"/>
          <w:type w:val="continuous"/>
        </w:sectPr>
      </w:pPr>
    </w:p>
    <w:bookmarkStart w:id="5" w:name="page6"/>
    <w:bookmarkEnd w:id="5"/>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44F82"/>
        </w:rPr>
        <w:t>CONSOLIDATED STATEMENTS OF CHANGES IN EQUITY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44F82"/>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680" w:type="dxa"/>
            <w:vAlign w:val="bottom"/>
            <w:tcBorders>
              <w:top w:val="single" w:sz="8" w:color="auto"/>
              <w:bottom w:val="single" w:sz="8" w:color="auto"/>
            </w:tcBorders>
            <w:gridSpan w:val="3"/>
          </w:tcPr>
          <w:p>
            <w:pPr>
              <w:jc w:val="right"/>
              <w:ind w:right="593"/>
              <w:spacing w:after="0"/>
              <w:rPr>
                <w:sz w:val="20"/>
                <w:szCs w:val="20"/>
                <w:color w:val="auto"/>
              </w:rPr>
            </w:pPr>
            <w:r>
              <w:rPr>
                <w:rFonts w:ascii="Arial" w:cs="Arial" w:eastAsia="Arial" w:hAnsi="Arial"/>
                <w:sz w:val="13"/>
                <w:szCs w:val="13"/>
                <w:b w:val="1"/>
                <w:bCs w:val="1"/>
                <w:color w:val="144F82"/>
              </w:rPr>
              <w:t>Common Stock Shares</w:t>
            </w:r>
          </w:p>
        </w:tc>
        <w:tc>
          <w:tcPr>
            <w:tcW w:w="7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700" w:type="dxa"/>
            <w:vAlign w:val="bottom"/>
            <w:vMerge w:val="restart"/>
          </w:tcPr>
          <w:p>
            <w:pPr>
              <w:ind w:left="20"/>
              <w:spacing w:after="0"/>
              <w:rPr>
                <w:sz w:val="20"/>
                <w:szCs w:val="20"/>
                <w:color w:val="auto"/>
              </w:rPr>
            </w:pPr>
            <w:r>
              <w:rPr>
                <w:rFonts w:ascii="Arial" w:cs="Arial" w:eastAsia="Arial" w:hAnsi="Arial"/>
                <w:sz w:val="13"/>
                <w:szCs w:val="13"/>
                <w:b w:val="1"/>
                <w:bCs w:val="1"/>
                <w:color w:val="144F82"/>
              </w:rPr>
              <w:t>(In thousands, except</w:t>
            </w:r>
          </w:p>
        </w:tc>
        <w:tc>
          <w:tcPr>
            <w:tcW w:w="80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144F82"/>
                <w:w w:val="96"/>
              </w:rPr>
              <w:t>Preferred</w:t>
            </w: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144F82"/>
              </w:rPr>
              <w:t>Additional</w:t>
            </w:r>
          </w:p>
        </w:tc>
        <w:tc>
          <w:tcPr>
            <w:tcW w:w="160" w:type="dxa"/>
            <w:vAlign w:val="bottom"/>
          </w:tcPr>
          <w:p>
            <w:pPr>
              <w:spacing w:after="0"/>
              <w:rPr>
                <w:sz w:val="8"/>
                <w:szCs w:val="8"/>
                <w:color w:val="auto"/>
              </w:rPr>
            </w:pPr>
          </w:p>
        </w:tc>
        <w:tc>
          <w:tcPr>
            <w:tcW w:w="920" w:type="dxa"/>
            <w:vAlign w:val="bottom"/>
          </w:tcPr>
          <w:p>
            <w:pPr>
              <w:jc w:val="center"/>
              <w:ind w:right="74"/>
              <w:spacing w:after="0" w:line="102" w:lineRule="exact"/>
              <w:rPr>
                <w:sz w:val="20"/>
                <w:szCs w:val="20"/>
                <w:color w:val="auto"/>
              </w:rPr>
            </w:pPr>
            <w:r>
              <w:rPr>
                <w:rFonts w:ascii="Arial" w:cs="Arial" w:eastAsia="Arial" w:hAnsi="Arial"/>
                <w:sz w:val="10"/>
                <w:szCs w:val="10"/>
                <w:b w:val="1"/>
                <w:bCs w:val="1"/>
                <w:color w:val="144F82"/>
              </w:rPr>
              <w:t>Accumulated</w:t>
            </w: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144F82"/>
              </w:rPr>
              <w:t>Preferred</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144F82"/>
              </w:rPr>
              <w:t>Common</w:t>
            </w: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74"/>
              <w:spacing w:after="0" w:line="122" w:lineRule="exact"/>
              <w:rPr>
                <w:sz w:val="20"/>
                <w:szCs w:val="20"/>
                <w:color w:val="auto"/>
              </w:rPr>
            </w:pPr>
            <w:r>
              <w:rPr>
                <w:rFonts w:ascii="Arial" w:cs="Arial" w:eastAsia="Arial" w:hAnsi="Arial"/>
                <w:sz w:val="13"/>
                <w:szCs w:val="13"/>
                <w:b w:val="1"/>
                <w:bCs w:val="1"/>
                <w:color w:val="144F82"/>
                <w:w w:val="97"/>
              </w:rPr>
              <w:t>Other</w:t>
            </w:r>
          </w:p>
        </w:tc>
        <w:tc>
          <w:tcPr>
            <w:tcW w:w="8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144F82"/>
              </w:rPr>
              <w:t>Retained</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144F82"/>
              </w:rPr>
              <w:t>Treasury</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3"/>
                <w:szCs w:val="13"/>
                <w:b w:val="1"/>
                <w:bCs w:val="1"/>
                <w:color w:val="144F82"/>
              </w:rPr>
              <w:t>share and per share</w:t>
            </w:r>
          </w:p>
        </w:tc>
        <w:tc>
          <w:tcPr>
            <w:tcW w:w="80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144F82"/>
                <w:w w:val="95"/>
              </w:rPr>
              <w:t>Stock</w:t>
            </w:r>
          </w:p>
        </w:tc>
        <w:tc>
          <w:tcPr>
            <w:tcW w:w="84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144F82"/>
              </w:rPr>
              <w:t>Issued</w:t>
            </w:r>
          </w:p>
        </w:tc>
        <w:tc>
          <w:tcPr>
            <w:tcW w:w="9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144F82"/>
              </w:rPr>
              <w:t>Treasury</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144F82"/>
              </w:rPr>
              <w:t>Outstanding</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60" w:type="dxa"/>
            <w:vAlign w:val="bottom"/>
          </w:tcPr>
          <w:p>
            <w:pPr>
              <w:jc w:val="right"/>
              <w:ind w:right="133"/>
              <w:spacing w:after="0" w:line="135" w:lineRule="exact"/>
              <w:rPr>
                <w:sz w:val="20"/>
                <w:szCs w:val="20"/>
                <w:color w:val="auto"/>
              </w:rPr>
            </w:pPr>
            <w:r>
              <w:rPr>
                <w:rFonts w:ascii="Arial" w:cs="Arial" w:eastAsia="Arial" w:hAnsi="Arial"/>
                <w:sz w:val="13"/>
                <w:szCs w:val="13"/>
                <w:b w:val="1"/>
                <w:bCs w:val="1"/>
                <w:color w:val="144F82"/>
              </w:rPr>
              <w:t>Paid-In</w:t>
            </w: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144F82"/>
                <w:w w:val="96"/>
              </w:rPr>
              <w:t>Comprehensive</w:t>
            </w: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144F82"/>
              </w:rPr>
              <w:t>Total Equity</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amounts)</w:t>
            </w: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144F82"/>
                <w:w w:val="96"/>
              </w:rPr>
              <w:t>Shares</w:t>
            </w:r>
          </w:p>
        </w:tc>
        <w:tc>
          <w:tcPr>
            <w:tcW w:w="84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144F82"/>
              </w:rPr>
              <w:t>Stock</w:t>
            </w: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144F82"/>
              </w:rPr>
              <w:t>Stock</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144F82"/>
              </w:rPr>
              <w:t>Capital</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144F82"/>
                <w:w w:val="98"/>
              </w:rPr>
              <w:t>Loss</w:t>
            </w: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144F82"/>
              </w:rPr>
              <w:t>Earnings</w:t>
            </w: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144F82"/>
              </w:rPr>
              <w:t>Stock</w:t>
            </w: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EDEDEE"/>
          </w:tcPr>
          <w:p>
            <w:pPr>
              <w:ind w:left="20"/>
              <w:spacing w:after="0" w:line="131" w:lineRule="exact"/>
              <w:rPr>
                <w:sz w:val="20"/>
                <w:szCs w:val="20"/>
                <w:color w:val="auto"/>
              </w:rPr>
            </w:pPr>
            <w:r>
              <w:rPr>
                <w:rFonts w:ascii="Arial" w:cs="Arial" w:eastAsia="Arial" w:hAnsi="Arial"/>
                <w:sz w:val="13"/>
                <w:szCs w:val="13"/>
                <w:b w:val="1"/>
                <w:bCs w:val="1"/>
                <w:color w:val="144F82"/>
              </w:rPr>
              <w:t>Balance at December</w:t>
            </w:r>
          </w:p>
        </w:tc>
        <w:tc>
          <w:tcPr>
            <w:tcW w:w="800" w:type="dxa"/>
            <w:vAlign w:val="bottom"/>
            <w:vMerge w:val="restart"/>
            <w:shd w:val="clear" w:color="auto" w:fill="EDEDEE"/>
          </w:tcPr>
          <w:p>
            <w:pPr>
              <w:jc w:val="right"/>
              <w:ind w:right="93"/>
              <w:spacing w:after="0"/>
              <w:rPr>
                <w:sz w:val="20"/>
                <w:szCs w:val="20"/>
                <w:color w:val="auto"/>
              </w:rPr>
            </w:pPr>
            <w:r>
              <w:rPr>
                <w:rFonts w:ascii="Arial" w:cs="Arial" w:eastAsia="Arial" w:hAnsi="Arial"/>
                <w:sz w:val="13"/>
                <w:szCs w:val="13"/>
                <w:color w:val="auto"/>
              </w:rPr>
              <w:t>2,510,696</w:t>
            </w:r>
          </w:p>
        </w:tc>
        <w:tc>
          <w:tcPr>
            <w:tcW w:w="84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438,230,416</w:t>
            </w:r>
          </w:p>
        </w:tc>
        <w:tc>
          <w:tcPr>
            <w:tcW w:w="98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(217,886,532)</w:t>
            </w:r>
          </w:p>
        </w:tc>
        <w:tc>
          <w:tcPr>
            <w:tcW w:w="8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220,343,884</w:t>
            </w:r>
          </w:p>
        </w:tc>
        <w:tc>
          <w:tcPr>
            <w:tcW w:w="7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$ 251,070</w:t>
            </w:r>
          </w:p>
        </w:tc>
        <w:tc>
          <w:tcPr>
            <w:tcW w:w="72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$ 87,647</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$ 1,148,689</w:t>
            </w:r>
          </w:p>
        </w:tc>
        <w:tc>
          <w:tcPr>
            <w:tcW w:w="1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(75,104)</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$ 3,624,859</w:t>
            </w:r>
          </w:p>
        </w:tc>
        <w:tc>
          <w:tcPr>
            <w:tcW w:w="9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 (3,156,364)</w:t>
            </w:r>
          </w:p>
        </w:tc>
        <w:tc>
          <w:tcPr>
            <w:tcW w:w="8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$ 1,880,797</w:t>
            </w:r>
          </w:p>
        </w:tc>
        <w:tc>
          <w:tcPr>
            <w:tcW w:w="0" w:type="dxa"/>
            <w:vAlign w:val="bottom"/>
          </w:tcPr>
          <w:p>
            <w:pPr>
              <w:spacing w:after="0"/>
              <w:rPr>
                <w:sz w:val="1"/>
                <w:szCs w:val="1"/>
                <w:color w:val="auto"/>
              </w:rPr>
            </w:pPr>
          </w:p>
        </w:tc>
      </w:tr>
      <w:tr>
        <w:trPr>
          <w:trHeight w:val="189"/>
        </w:trPr>
        <w:tc>
          <w:tcPr>
            <w:tcW w:w="170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144F82"/>
              </w:rPr>
              <w:t>31, 2023</w:t>
            </w:r>
          </w:p>
        </w:tc>
        <w:tc>
          <w:tcPr>
            <w:tcW w:w="800" w:type="dxa"/>
            <w:vAlign w:val="bottom"/>
            <w:vMerge w:val="continue"/>
            <w:shd w:val="clear" w:color="auto" w:fill="EDEDEE"/>
          </w:tcPr>
          <w:p>
            <w:pPr>
              <w:spacing w:after="0"/>
              <w:rPr>
                <w:sz w:val="16"/>
                <w:szCs w:val="16"/>
                <w:color w:val="auto"/>
              </w:rPr>
            </w:pPr>
          </w:p>
        </w:tc>
        <w:tc>
          <w:tcPr>
            <w:tcW w:w="840" w:type="dxa"/>
            <w:vAlign w:val="bottom"/>
            <w:vMerge w:val="continue"/>
            <w:shd w:val="clear" w:color="auto" w:fill="EDEDEE"/>
          </w:tcPr>
          <w:p>
            <w:pPr>
              <w:spacing w:after="0"/>
              <w:rPr>
                <w:sz w:val="16"/>
                <w:szCs w:val="16"/>
                <w:color w:val="auto"/>
              </w:rPr>
            </w:pPr>
          </w:p>
        </w:tc>
        <w:tc>
          <w:tcPr>
            <w:tcW w:w="98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760" w:type="dxa"/>
            <w:vAlign w:val="bottom"/>
            <w:vMerge w:val="continue"/>
            <w:shd w:val="clear" w:color="auto" w:fill="EDEDEE"/>
          </w:tcPr>
          <w:p>
            <w:pPr>
              <w:spacing w:after="0"/>
              <w:rPr>
                <w:sz w:val="16"/>
                <w:szCs w:val="16"/>
                <w:color w:val="auto"/>
              </w:rPr>
            </w:pPr>
          </w:p>
        </w:tc>
        <w:tc>
          <w:tcPr>
            <w:tcW w:w="7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160" w:type="dxa"/>
            <w:vAlign w:val="bottom"/>
            <w:vMerge w:val="continue"/>
            <w:shd w:val="clear" w:color="auto" w:fill="EDEDEE"/>
          </w:tcPr>
          <w:p>
            <w:pPr>
              <w:spacing w:after="0"/>
              <w:rPr>
                <w:sz w:val="16"/>
                <w:szCs w:val="16"/>
                <w:color w:val="auto"/>
              </w:rPr>
            </w:pPr>
          </w:p>
        </w:tc>
        <w:tc>
          <w:tcPr>
            <w:tcW w:w="9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20" w:type="dxa"/>
            <w:vAlign w:val="bottom"/>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3"/>
                <w:szCs w:val="13"/>
                <w:b w:val="1"/>
                <w:bCs w:val="1"/>
                <w:color w:val="auto"/>
              </w:rPr>
              <w:t>Net income</w:t>
            </w:r>
          </w:p>
        </w:tc>
        <w:tc>
          <w:tcPr>
            <w:tcW w:w="8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289,931</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289,931</w:t>
            </w:r>
          </w:p>
        </w:tc>
        <w:tc>
          <w:tcPr>
            <w:tcW w:w="0" w:type="dxa"/>
            <w:vAlign w:val="bottom"/>
          </w:tcPr>
          <w:p>
            <w:pPr>
              <w:spacing w:after="0"/>
              <w:rPr>
                <w:sz w:val="1"/>
                <w:szCs w:val="1"/>
                <w:color w:val="auto"/>
              </w:rPr>
            </w:pPr>
          </w:p>
        </w:tc>
      </w:tr>
      <w:tr>
        <w:trPr>
          <w:trHeight w:val="136"/>
        </w:trPr>
        <w:tc>
          <w:tcPr>
            <w:tcW w:w="1700" w:type="dxa"/>
            <w:vAlign w:val="bottom"/>
            <w:shd w:val="clear" w:color="auto" w:fill="EDEDEE"/>
          </w:tcPr>
          <w:p>
            <w:pPr>
              <w:ind w:left="140"/>
              <w:spacing w:after="0" w:line="136" w:lineRule="exact"/>
              <w:rPr>
                <w:sz w:val="20"/>
                <w:szCs w:val="20"/>
                <w:color w:val="auto"/>
              </w:rPr>
            </w:pPr>
            <w:r>
              <w:rPr>
                <w:rFonts w:ascii="Arial" w:cs="Arial" w:eastAsia="Arial" w:hAnsi="Arial"/>
                <w:sz w:val="13"/>
                <w:szCs w:val="13"/>
                <w:b w:val="1"/>
                <w:bCs w:val="1"/>
                <w:color w:val="auto"/>
              </w:rPr>
              <w:t>Other comprehensive</w:t>
            </w:r>
          </w:p>
        </w:tc>
        <w:tc>
          <w:tcPr>
            <w:tcW w:w="800" w:type="dxa"/>
            <w:vAlign w:val="bottom"/>
            <w:vMerge w:val="restart"/>
            <w:shd w:val="clear" w:color="auto" w:fill="EDEDEE"/>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EDEDEE"/>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E"/>
          </w:tcPr>
          <w:p>
            <w:pPr>
              <w:spacing w:after="0"/>
              <w:rPr>
                <w:sz w:val="11"/>
                <w:szCs w:val="11"/>
                <w:color w:val="auto"/>
              </w:rPr>
            </w:pPr>
          </w:p>
        </w:tc>
        <w:tc>
          <w:tcPr>
            <w:tcW w:w="9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(2,187)</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(2,187)</w:t>
            </w:r>
          </w:p>
        </w:tc>
        <w:tc>
          <w:tcPr>
            <w:tcW w:w="0" w:type="dxa"/>
            <w:vAlign w:val="bottom"/>
          </w:tcPr>
          <w:p>
            <w:pPr>
              <w:spacing w:after="0"/>
              <w:rPr>
                <w:sz w:val="1"/>
                <w:szCs w:val="1"/>
                <w:color w:val="auto"/>
              </w:rPr>
            </w:pPr>
          </w:p>
        </w:tc>
      </w:tr>
      <w:tr>
        <w:trPr>
          <w:trHeight w:val="194"/>
        </w:trPr>
        <w:tc>
          <w:tcPr>
            <w:tcW w:w="1700" w:type="dxa"/>
            <w:vAlign w:val="bottom"/>
            <w:shd w:val="clear" w:color="auto" w:fill="EDEDEE"/>
          </w:tcPr>
          <w:p>
            <w:pPr>
              <w:ind w:left="140"/>
              <w:spacing w:after="0"/>
              <w:rPr>
                <w:sz w:val="20"/>
                <w:szCs w:val="20"/>
                <w:color w:val="auto"/>
              </w:rPr>
            </w:pPr>
            <w:r>
              <w:rPr>
                <w:rFonts w:ascii="Arial" w:cs="Arial" w:eastAsia="Arial" w:hAnsi="Arial"/>
                <w:sz w:val="13"/>
                <w:szCs w:val="13"/>
                <w:b w:val="1"/>
                <w:bCs w:val="1"/>
                <w:color w:val="auto"/>
              </w:rPr>
              <w:t>loss, net of tax</w:t>
            </w:r>
          </w:p>
        </w:tc>
        <w:tc>
          <w:tcPr>
            <w:tcW w:w="800" w:type="dxa"/>
            <w:vAlign w:val="bottom"/>
            <w:vMerge w:val="continue"/>
            <w:shd w:val="clear" w:color="auto" w:fill="EDEDEE"/>
          </w:tcPr>
          <w:p>
            <w:pPr>
              <w:spacing w:after="0"/>
              <w:rPr>
                <w:sz w:val="16"/>
                <w:szCs w:val="16"/>
                <w:color w:val="auto"/>
              </w:rPr>
            </w:pPr>
          </w:p>
        </w:tc>
        <w:tc>
          <w:tcPr>
            <w:tcW w:w="840" w:type="dxa"/>
            <w:vAlign w:val="bottom"/>
            <w:vMerge w:val="continue"/>
            <w:shd w:val="clear" w:color="auto" w:fill="EDEDEE"/>
          </w:tcPr>
          <w:p>
            <w:pPr>
              <w:spacing w:after="0"/>
              <w:rPr>
                <w:sz w:val="16"/>
                <w:szCs w:val="16"/>
                <w:color w:val="auto"/>
              </w:rPr>
            </w:pPr>
          </w:p>
        </w:tc>
        <w:tc>
          <w:tcPr>
            <w:tcW w:w="98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760" w:type="dxa"/>
            <w:vAlign w:val="bottom"/>
            <w:vMerge w:val="continue"/>
            <w:shd w:val="clear" w:color="auto" w:fill="EDEDEE"/>
          </w:tcPr>
          <w:p>
            <w:pPr>
              <w:spacing w:after="0"/>
              <w:rPr>
                <w:sz w:val="16"/>
                <w:szCs w:val="16"/>
                <w:color w:val="auto"/>
              </w:rPr>
            </w:pPr>
          </w:p>
        </w:tc>
        <w:tc>
          <w:tcPr>
            <w:tcW w:w="7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160" w:type="dxa"/>
            <w:vAlign w:val="bottom"/>
            <w:shd w:val="clear" w:color="auto" w:fill="EDEDEE"/>
          </w:tcPr>
          <w:p>
            <w:pPr>
              <w:spacing w:after="0"/>
              <w:rPr>
                <w:sz w:val="16"/>
                <w:szCs w:val="16"/>
                <w:color w:val="auto"/>
              </w:rPr>
            </w:pPr>
          </w:p>
        </w:tc>
        <w:tc>
          <w:tcPr>
            <w:tcW w:w="9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20" w:type="dxa"/>
            <w:vAlign w:val="bottom"/>
            <w:tcBorders>
              <w:bottom w:val="single" w:sz="8" w:color="auto"/>
            </w:tcBorders>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70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Total comprehensive</w:t>
            </w:r>
          </w:p>
        </w:tc>
        <w:tc>
          <w:tcPr>
            <w:tcW w:w="800" w:type="dxa"/>
            <w:vAlign w:val="bottom"/>
            <w:vMerge w:val="restart"/>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287,744</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income</w:t>
            </w:r>
          </w:p>
        </w:tc>
        <w:tc>
          <w:tcPr>
            <w:tcW w:w="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EDEDEE"/>
          </w:tcPr>
          <w:p>
            <w:pPr>
              <w:ind w:left="20"/>
              <w:spacing w:after="0" w:line="136" w:lineRule="exact"/>
              <w:rPr>
                <w:sz w:val="20"/>
                <w:szCs w:val="20"/>
                <w:color w:val="auto"/>
              </w:rPr>
            </w:pPr>
            <w:r>
              <w:rPr>
                <w:rFonts w:ascii="Arial" w:cs="Arial" w:eastAsia="Arial" w:hAnsi="Arial"/>
                <w:sz w:val="13"/>
                <w:szCs w:val="13"/>
                <w:b w:val="1"/>
                <w:bCs w:val="1"/>
                <w:color w:val="auto"/>
              </w:rPr>
              <w:t>Cash dividends</w:t>
            </w:r>
          </w:p>
        </w:tc>
        <w:tc>
          <w:tcPr>
            <w:tcW w:w="800" w:type="dxa"/>
            <w:vAlign w:val="bottom"/>
            <w:shd w:val="clear" w:color="auto" w:fill="EDEDEE"/>
          </w:tcPr>
          <w:p>
            <w:pPr>
              <w:spacing w:after="0"/>
              <w:rPr>
                <w:sz w:val="11"/>
                <w:szCs w:val="11"/>
                <w:color w:val="auto"/>
              </w:rPr>
            </w:pPr>
          </w:p>
        </w:tc>
        <w:tc>
          <w:tcPr>
            <w:tcW w:w="840" w:type="dxa"/>
            <w:vAlign w:val="bottom"/>
            <w:shd w:val="clear" w:color="auto" w:fill="EDEDEE"/>
          </w:tcPr>
          <w:p>
            <w:pPr>
              <w:spacing w:after="0"/>
              <w:rPr>
                <w:sz w:val="11"/>
                <w:szCs w:val="11"/>
                <w:color w:val="auto"/>
              </w:rPr>
            </w:pPr>
          </w:p>
        </w:tc>
        <w:tc>
          <w:tcPr>
            <w:tcW w:w="98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760" w:type="dxa"/>
            <w:vAlign w:val="bottom"/>
            <w:shd w:val="clear" w:color="auto" w:fill="EDEDEE"/>
          </w:tcPr>
          <w:p>
            <w:pPr>
              <w:spacing w:after="0"/>
              <w:rPr>
                <w:sz w:val="11"/>
                <w:szCs w:val="11"/>
                <w:color w:val="auto"/>
              </w:rPr>
            </w:pPr>
          </w:p>
        </w:tc>
        <w:tc>
          <w:tcPr>
            <w:tcW w:w="7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160" w:type="dxa"/>
            <w:vAlign w:val="bottom"/>
            <w:shd w:val="clear" w:color="auto" w:fill="EDEDEE"/>
          </w:tcPr>
          <w:p>
            <w:pPr>
              <w:spacing w:after="0"/>
              <w:rPr>
                <w:sz w:val="11"/>
                <w:szCs w:val="11"/>
                <w:color w:val="auto"/>
              </w:rPr>
            </w:pPr>
          </w:p>
        </w:tc>
        <w:tc>
          <w:tcPr>
            <w:tcW w:w="9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auto"/>
              </w:rPr>
              <w:t>declared:</w:t>
            </w:r>
          </w:p>
        </w:tc>
        <w:tc>
          <w:tcPr>
            <w:tcW w:w="800" w:type="dxa"/>
            <w:vAlign w:val="bottom"/>
            <w:shd w:val="clear" w:color="auto" w:fill="EDEDEE"/>
          </w:tcPr>
          <w:p>
            <w:pPr>
              <w:spacing w:after="0"/>
              <w:rPr>
                <w:sz w:val="16"/>
                <w:szCs w:val="16"/>
                <w:color w:val="auto"/>
              </w:rPr>
            </w:pPr>
          </w:p>
        </w:tc>
        <w:tc>
          <w:tcPr>
            <w:tcW w:w="840" w:type="dxa"/>
            <w:vAlign w:val="bottom"/>
            <w:shd w:val="clear" w:color="auto" w:fill="EDEDEE"/>
          </w:tcPr>
          <w:p>
            <w:pPr>
              <w:spacing w:after="0"/>
              <w:rPr>
                <w:sz w:val="16"/>
                <w:szCs w:val="16"/>
                <w:color w:val="auto"/>
              </w:rPr>
            </w:pPr>
          </w:p>
        </w:tc>
        <w:tc>
          <w:tcPr>
            <w:tcW w:w="980" w:type="dxa"/>
            <w:vAlign w:val="bottom"/>
            <w:shd w:val="clear" w:color="auto" w:fill="EDEDEE"/>
          </w:tcPr>
          <w:p>
            <w:pPr>
              <w:spacing w:after="0"/>
              <w:rPr>
                <w:sz w:val="16"/>
                <w:szCs w:val="16"/>
                <w:color w:val="auto"/>
              </w:rPr>
            </w:pPr>
          </w:p>
        </w:tc>
        <w:tc>
          <w:tcPr>
            <w:tcW w:w="860" w:type="dxa"/>
            <w:vAlign w:val="bottom"/>
            <w:shd w:val="clear" w:color="auto" w:fill="EDEDEE"/>
          </w:tcPr>
          <w:p>
            <w:pPr>
              <w:spacing w:after="0"/>
              <w:rPr>
                <w:sz w:val="16"/>
                <w:szCs w:val="16"/>
                <w:color w:val="auto"/>
              </w:rPr>
            </w:pPr>
          </w:p>
        </w:tc>
        <w:tc>
          <w:tcPr>
            <w:tcW w:w="760" w:type="dxa"/>
            <w:vAlign w:val="bottom"/>
            <w:shd w:val="clear" w:color="auto" w:fill="EDEDEE"/>
          </w:tcPr>
          <w:p>
            <w:pPr>
              <w:spacing w:after="0"/>
              <w:rPr>
                <w:sz w:val="16"/>
                <w:szCs w:val="16"/>
                <w:color w:val="auto"/>
              </w:rPr>
            </w:pPr>
          </w:p>
        </w:tc>
        <w:tc>
          <w:tcPr>
            <w:tcW w:w="720" w:type="dxa"/>
            <w:vAlign w:val="bottom"/>
            <w:shd w:val="clear" w:color="auto" w:fill="EDEDEE"/>
          </w:tcPr>
          <w:p>
            <w:pPr>
              <w:spacing w:after="0"/>
              <w:rPr>
                <w:sz w:val="16"/>
                <w:szCs w:val="16"/>
                <w:color w:val="auto"/>
              </w:rPr>
            </w:pPr>
          </w:p>
        </w:tc>
        <w:tc>
          <w:tcPr>
            <w:tcW w:w="860" w:type="dxa"/>
            <w:vAlign w:val="bottom"/>
            <w:shd w:val="clear" w:color="auto" w:fill="EDEDEE"/>
          </w:tcPr>
          <w:p>
            <w:pPr>
              <w:spacing w:after="0"/>
              <w:rPr>
                <w:sz w:val="16"/>
                <w:szCs w:val="16"/>
                <w:color w:val="auto"/>
              </w:rPr>
            </w:pPr>
          </w:p>
        </w:tc>
        <w:tc>
          <w:tcPr>
            <w:tcW w:w="160" w:type="dxa"/>
            <w:vAlign w:val="bottom"/>
            <w:shd w:val="clear" w:color="auto" w:fill="EDEDEE"/>
          </w:tcPr>
          <w:p>
            <w:pPr>
              <w:spacing w:after="0"/>
              <w:rPr>
                <w:sz w:val="16"/>
                <w:szCs w:val="16"/>
                <w:color w:val="auto"/>
              </w:rPr>
            </w:pPr>
          </w:p>
        </w:tc>
        <w:tc>
          <w:tcPr>
            <w:tcW w:w="920" w:type="dxa"/>
            <w:vAlign w:val="bottom"/>
            <w:shd w:val="clear" w:color="auto" w:fill="EDEDEE"/>
          </w:tcPr>
          <w:p>
            <w:pPr>
              <w:spacing w:after="0"/>
              <w:rPr>
                <w:sz w:val="16"/>
                <w:szCs w:val="16"/>
                <w:color w:val="auto"/>
              </w:rPr>
            </w:pPr>
          </w:p>
        </w:tc>
        <w:tc>
          <w:tcPr>
            <w:tcW w:w="860" w:type="dxa"/>
            <w:vAlign w:val="bottom"/>
            <w:shd w:val="clear" w:color="auto" w:fill="EDEDEE"/>
          </w:tcPr>
          <w:p>
            <w:pPr>
              <w:spacing w:after="0"/>
              <w:rPr>
                <w:sz w:val="16"/>
                <w:szCs w:val="16"/>
                <w:color w:val="auto"/>
              </w:rPr>
            </w:pPr>
          </w:p>
        </w:tc>
        <w:tc>
          <w:tcPr>
            <w:tcW w:w="960" w:type="dxa"/>
            <w:vAlign w:val="bottom"/>
            <w:shd w:val="clear" w:color="auto" w:fill="EDEDEE"/>
          </w:tcPr>
          <w:p>
            <w:pPr>
              <w:spacing w:after="0"/>
              <w:rPr>
                <w:sz w:val="16"/>
                <w:szCs w:val="16"/>
                <w:color w:val="auto"/>
              </w:rPr>
            </w:pPr>
          </w:p>
        </w:tc>
        <w:tc>
          <w:tcPr>
            <w:tcW w:w="820" w:type="dxa"/>
            <w:vAlign w:val="bottom"/>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Common stock ($0.11</w:t>
            </w:r>
          </w:p>
        </w:tc>
        <w:tc>
          <w:tcPr>
            <w:tcW w:w="800" w:type="dxa"/>
            <w:vAlign w:val="bottom"/>
            <w:vMerge w:val="restart"/>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(24,278)</w:t>
            </w:r>
          </w:p>
        </w:tc>
        <w:tc>
          <w:tcPr>
            <w:tcW w:w="96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(24,278)</w:t>
            </w: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3"/>
                <w:szCs w:val="13"/>
                <w:b w:val="1"/>
                <w:bCs w:val="1"/>
                <w:color w:val="auto"/>
              </w:rPr>
              <w:t>per share)</w:t>
            </w:r>
          </w:p>
        </w:tc>
        <w:tc>
          <w:tcPr>
            <w:tcW w:w="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EDEDEE"/>
          </w:tcPr>
          <w:p>
            <w:pPr>
              <w:ind w:left="140"/>
              <w:spacing w:after="0" w:line="136" w:lineRule="exact"/>
              <w:rPr>
                <w:sz w:val="20"/>
                <w:szCs w:val="20"/>
                <w:color w:val="auto"/>
              </w:rPr>
            </w:pPr>
            <w:r>
              <w:rPr>
                <w:rFonts w:ascii="Arial" w:cs="Arial" w:eastAsia="Arial" w:hAnsi="Arial"/>
                <w:sz w:val="13"/>
                <w:szCs w:val="13"/>
                <w:b w:val="1"/>
                <w:bCs w:val="1"/>
                <w:color w:val="auto"/>
              </w:rPr>
              <w:t>Preferred Stock,</w:t>
            </w:r>
          </w:p>
        </w:tc>
        <w:tc>
          <w:tcPr>
            <w:tcW w:w="800" w:type="dxa"/>
            <w:vAlign w:val="bottom"/>
            <w:shd w:val="clear" w:color="auto" w:fill="EDEDEE"/>
          </w:tcPr>
          <w:p>
            <w:pPr>
              <w:spacing w:after="0"/>
              <w:rPr>
                <w:sz w:val="11"/>
                <w:szCs w:val="11"/>
                <w:color w:val="auto"/>
              </w:rPr>
            </w:pPr>
          </w:p>
        </w:tc>
        <w:tc>
          <w:tcPr>
            <w:tcW w:w="840" w:type="dxa"/>
            <w:vAlign w:val="bottom"/>
            <w:shd w:val="clear" w:color="auto" w:fill="EDEDEE"/>
          </w:tcPr>
          <w:p>
            <w:pPr>
              <w:spacing w:after="0"/>
              <w:rPr>
                <w:sz w:val="11"/>
                <w:szCs w:val="11"/>
                <w:color w:val="auto"/>
              </w:rPr>
            </w:pPr>
          </w:p>
        </w:tc>
        <w:tc>
          <w:tcPr>
            <w:tcW w:w="98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760" w:type="dxa"/>
            <w:vAlign w:val="bottom"/>
            <w:shd w:val="clear" w:color="auto" w:fill="EDEDEE"/>
          </w:tcPr>
          <w:p>
            <w:pPr>
              <w:spacing w:after="0"/>
              <w:rPr>
                <w:sz w:val="11"/>
                <w:szCs w:val="11"/>
                <w:color w:val="auto"/>
              </w:rPr>
            </w:pPr>
          </w:p>
        </w:tc>
        <w:tc>
          <w:tcPr>
            <w:tcW w:w="7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160" w:type="dxa"/>
            <w:vAlign w:val="bottom"/>
            <w:shd w:val="clear" w:color="auto" w:fill="EDEDEE"/>
          </w:tcPr>
          <w:p>
            <w:pPr>
              <w:spacing w:after="0"/>
              <w:rPr>
                <w:sz w:val="11"/>
                <w:szCs w:val="11"/>
                <w:color w:val="auto"/>
              </w:rPr>
            </w:pPr>
          </w:p>
        </w:tc>
        <w:tc>
          <w:tcPr>
            <w:tcW w:w="9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EDEDEE"/>
          </w:tcPr>
          <w:p>
            <w:pPr>
              <w:ind w:left="140"/>
              <w:spacing w:after="0" w:line="135" w:lineRule="exact"/>
              <w:rPr>
                <w:sz w:val="20"/>
                <w:szCs w:val="20"/>
                <w:color w:val="auto"/>
              </w:rPr>
            </w:pPr>
            <w:r>
              <w:rPr>
                <w:rFonts w:ascii="Arial" w:cs="Arial" w:eastAsia="Arial" w:hAnsi="Arial"/>
                <w:sz w:val="13"/>
                <w:szCs w:val="13"/>
                <w:b w:val="1"/>
                <w:bCs w:val="1"/>
                <w:color w:val="auto"/>
              </w:rPr>
              <w:t>Series B ($1.85 per</w:t>
            </w:r>
          </w:p>
        </w:tc>
        <w:tc>
          <w:tcPr>
            <w:tcW w:w="800" w:type="dxa"/>
            <w:vAlign w:val="bottom"/>
            <w:vMerge w:val="restart"/>
            <w:shd w:val="clear" w:color="auto" w:fill="EDEDEE"/>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EDEDEE"/>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E"/>
          </w:tcPr>
          <w:p>
            <w:pPr>
              <w:spacing w:after="0"/>
              <w:rPr>
                <w:sz w:val="11"/>
                <w:szCs w:val="11"/>
                <w:color w:val="auto"/>
              </w:rPr>
            </w:pPr>
          </w:p>
        </w:tc>
        <w:tc>
          <w:tcPr>
            <w:tcW w:w="920" w:type="dxa"/>
            <w:vAlign w:val="bottom"/>
            <w:vMerge w:val="restart"/>
            <w:shd w:val="clear" w:color="auto" w:fill="EDEDEE"/>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(4,653)</w:t>
            </w:r>
          </w:p>
        </w:tc>
        <w:tc>
          <w:tcPr>
            <w:tcW w:w="96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(4,653)</w:t>
            </w:r>
          </w:p>
        </w:tc>
        <w:tc>
          <w:tcPr>
            <w:tcW w:w="0" w:type="dxa"/>
            <w:vAlign w:val="bottom"/>
          </w:tcPr>
          <w:p>
            <w:pPr>
              <w:spacing w:after="0"/>
              <w:rPr>
                <w:sz w:val="1"/>
                <w:szCs w:val="1"/>
                <w:color w:val="auto"/>
              </w:rPr>
            </w:pPr>
          </w:p>
        </w:tc>
      </w:tr>
      <w:tr>
        <w:trPr>
          <w:trHeight w:val="189"/>
        </w:trPr>
        <w:tc>
          <w:tcPr>
            <w:tcW w:w="1700" w:type="dxa"/>
            <w:vAlign w:val="bottom"/>
            <w:shd w:val="clear" w:color="auto" w:fill="EDEDEE"/>
          </w:tcPr>
          <w:p>
            <w:pPr>
              <w:ind w:left="140"/>
              <w:spacing w:after="0"/>
              <w:rPr>
                <w:sz w:val="20"/>
                <w:szCs w:val="20"/>
                <w:color w:val="auto"/>
              </w:rPr>
            </w:pPr>
            <w:r>
              <w:rPr>
                <w:rFonts w:ascii="Arial" w:cs="Arial" w:eastAsia="Arial" w:hAnsi="Arial"/>
                <w:sz w:val="13"/>
                <w:szCs w:val="13"/>
                <w:b w:val="1"/>
                <w:bCs w:val="1"/>
                <w:color w:val="auto"/>
              </w:rPr>
              <w:t>share)</w:t>
            </w:r>
          </w:p>
        </w:tc>
        <w:tc>
          <w:tcPr>
            <w:tcW w:w="800" w:type="dxa"/>
            <w:vAlign w:val="bottom"/>
            <w:vMerge w:val="continue"/>
            <w:shd w:val="clear" w:color="auto" w:fill="EDEDEE"/>
          </w:tcPr>
          <w:p>
            <w:pPr>
              <w:spacing w:after="0"/>
              <w:rPr>
                <w:sz w:val="16"/>
                <w:szCs w:val="16"/>
                <w:color w:val="auto"/>
              </w:rPr>
            </w:pPr>
          </w:p>
        </w:tc>
        <w:tc>
          <w:tcPr>
            <w:tcW w:w="840" w:type="dxa"/>
            <w:vAlign w:val="bottom"/>
            <w:vMerge w:val="continue"/>
            <w:shd w:val="clear" w:color="auto" w:fill="EDEDEE"/>
          </w:tcPr>
          <w:p>
            <w:pPr>
              <w:spacing w:after="0"/>
              <w:rPr>
                <w:sz w:val="16"/>
                <w:szCs w:val="16"/>
                <w:color w:val="auto"/>
              </w:rPr>
            </w:pPr>
          </w:p>
        </w:tc>
        <w:tc>
          <w:tcPr>
            <w:tcW w:w="98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760" w:type="dxa"/>
            <w:vAlign w:val="bottom"/>
            <w:vMerge w:val="continue"/>
            <w:shd w:val="clear" w:color="auto" w:fill="EDEDEE"/>
          </w:tcPr>
          <w:p>
            <w:pPr>
              <w:spacing w:after="0"/>
              <w:rPr>
                <w:sz w:val="16"/>
                <w:szCs w:val="16"/>
                <w:color w:val="auto"/>
              </w:rPr>
            </w:pPr>
          </w:p>
        </w:tc>
        <w:tc>
          <w:tcPr>
            <w:tcW w:w="7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160" w:type="dxa"/>
            <w:vAlign w:val="bottom"/>
            <w:shd w:val="clear" w:color="auto" w:fill="EDEDEE"/>
          </w:tcPr>
          <w:p>
            <w:pPr>
              <w:spacing w:after="0"/>
              <w:rPr>
                <w:sz w:val="16"/>
                <w:szCs w:val="16"/>
                <w:color w:val="auto"/>
              </w:rPr>
            </w:pPr>
          </w:p>
        </w:tc>
        <w:tc>
          <w:tcPr>
            <w:tcW w:w="9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20" w:type="dxa"/>
            <w:vAlign w:val="bottom"/>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Issuance of common</w:t>
            </w:r>
          </w:p>
        </w:tc>
        <w:tc>
          <w:tcPr>
            <w:tcW w:w="800" w:type="dxa"/>
            <w:vAlign w:val="bottom"/>
            <w:vMerge w:val="restart"/>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1,925,920</w:t>
            </w:r>
          </w:p>
        </w:tc>
        <w:tc>
          <w:tcPr>
            <w:tcW w:w="9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1,925,920</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3"/>
              <w:spacing w:after="0"/>
              <w:rPr>
                <w:sz w:val="20"/>
                <w:szCs w:val="20"/>
                <w:color w:val="auto"/>
              </w:rPr>
            </w:pPr>
            <w:r>
              <w:rPr>
                <w:rFonts w:ascii="Arial" w:cs="Arial" w:eastAsia="Arial" w:hAnsi="Arial"/>
                <w:sz w:val="13"/>
                <w:szCs w:val="13"/>
                <w:color w:val="auto"/>
              </w:rPr>
              <w:t>385</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1,359</w:t>
            </w:r>
          </w:p>
        </w:tc>
        <w:tc>
          <w:tcPr>
            <w:tcW w:w="160" w:type="dxa"/>
            <w:vAlign w:val="bottom"/>
          </w:tcPr>
          <w:p>
            <w:pPr>
              <w:spacing w:after="0"/>
              <w:rPr>
                <w:sz w:val="11"/>
                <w:szCs w:val="11"/>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(1,165)</w:t>
            </w:r>
          </w:p>
        </w:tc>
        <w:tc>
          <w:tcPr>
            <w:tcW w:w="96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shares</w:t>
            </w:r>
          </w:p>
        </w:tc>
        <w:tc>
          <w:tcPr>
            <w:tcW w:w="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EDEDEE"/>
          </w:tcPr>
          <w:p>
            <w:pPr>
              <w:ind w:left="20"/>
              <w:spacing w:after="0" w:line="136" w:lineRule="exact"/>
              <w:rPr>
                <w:sz w:val="20"/>
                <w:szCs w:val="20"/>
                <w:color w:val="auto"/>
              </w:rPr>
            </w:pPr>
            <w:r>
              <w:rPr>
                <w:rFonts w:ascii="Arial" w:cs="Arial" w:eastAsia="Arial" w:hAnsi="Arial"/>
                <w:sz w:val="13"/>
                <w:szCs w:val="13"/>
                <w:b w:val="1"/>
                <w:bCs w:val="1"/>
                <w:color w:val="auto"/>
              </w:rPr>
              <w:t>Stock-based</w:t>
            </w:r>
          </w:p>
        </w:tc>
        <w:tc>
          <w:tcPr>
            <w:tcW w:w="800" w:type="dxa"/>
            <w:vAlign w:val="bottom"/>
            <w:vMerge w:val="restart"/>
            <w:shd w:val="clear" w:color="auto" w:fill="EDEDEE"/>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EDEDEE"/>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13,790</w:t>
            </w:r>
          </w:p>
        </w:tc>
        <w:tc>
          <w:tcPr>
            <w:tcW w:w="160" w:type="dxa"/>
            <w:vAlign w:val="bottom"/>
            <w:shd w:val="clear" w:color="auto" w:fill="EDEDEE"/>
          </w:tcPr>
          <w:p>
            <w:pPr>
              <w:spacing w:after="0"/>
              <w:rPr>
                <w:sz w:val="11"/>
                <w:szCs w:val="11"/>
                <w:color w:val="auto"/>
              </w:rPr>
            </w:pPr>
          </w:p>
        </w:tc>
        <w:tc>
          <w:tcPr>
            <w:tcW w:w="920" w:type="dxa"/>
            <w:vAlign w:val="bottom"/>
            <w:vMerge w:val="restart"/>
            <w:shd w:val="clear" w:color="auto" w:fill="EDEDEE"/>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13,790</w:t>
            </w:r>
          </w:p>
        </w:tc>
        <w:tc>
          <w:tcPr>
            <w:tcW w:w="0" w:type="dxa"/>
            <w:vAlign w:val="bottom"/>
          </w:tcPr>
          <w:p>
            <w:pPr>
              <w:spacing w:after="0"/>
              <w:rPr>
                <w:sz w:val="1"/>
                <w:szCs w:val="1"/>
                <w:color w:val="auto"/>
              </w:rPr>
            </w:pPr>
          </w:p>
        </w:tc>
      </w:tr>
      <w:tr>
        <w:trPr>
          <w:trHeight w:val="189"/>
        </w:trPr>
        <w:tc>
          <w:tcPr>
            <w:tcW w:w="170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auto"/>
              </w:rPr>
              <w:t>compensation expense</w:t>
            </w:r>
          </w:p>
        </w:tc>
        <w:tc>
          <w:tcPr>
            <w:tcW w:w="800" w:type="dxa"/>
            <w:vAlign w:val="bottom"/>
            <w:vMerge w:val="continue"/>
            <w:shd w:val="clear" w:color="auto" w:fill="EDEDEE"/>
          </w:tcPr>
          <w:p>
            <w:pPr>
              <w:spacing w:after="0"/>
              <w:rPr>
                <w:sz w:val="16"/>
                <w:szCs w:val="16"/>
                <w:color w:val="auto"/>
              </w:rPr>
            </w:pPr>
          </w:p>
        </w:tc>
        <w:tc>
          <w:tcPr>
            <w:tcW w:w="840" w:type="dxa"/>
            <w:vAlign w:val="bottom"/>
            <w:vMerge w:val="continue"/>
            <w:shd w:val="clear" w:color="auto" w:fill="EDEDEE"/>
          </w:tcPr>
          <w:p>
            <w:pPr>
              <w:spacing w:after="0"/>
              <w:rPr>
                <w:sz w:val="16"/>
                <w:szCs w:val="16"/>
                <w:color w:val="auto"/>
              </w:rPr>
            </w:pPr>
          </w:p>
        </w:tc>
        <w:tc>
          <w:tcPr>
            <w:tcW w:w="98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760" w:type="dxa"/>
            <w:vAlign w:val="bottom"/>
            <w:vMerge w:val="continue"/>
            <w:shd w:val="clear" w:color="auto" w:fill="EDEDEE"/>
          </w:tcPr>
          <w:p>
            <w:pPr>
              <w:spacing w:after="0"/>
              <w:rPr>
                <w:sz w:val="16"/>
                <w:szCs w:val="16"/>
                <w:color w:val="auto"/>
              </w:rPr>
            </w:pPr>
          </w:p>
        </w:tc>
        <w:tc>
          <w:tcPr>
            <w:tcW w:w="7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160" w:type="dxa"/>
            <w:vAlign w:val="bottom"/>
            <w:shd w:val="clear" w:color="auto" w:fill="EDEDEE"/>
          </w:tcPr>
          <w:p>
            <w:pPr>
              <w:spacing w:after="0"/>
              <w:rPr>
                <w:sz w:val="16"/>
                <w:szCs w:val="16"/>
                <w:color w:val="auto"/>
              </w:rPr>
            </w:pPr>
          </w:p>
        </w:tc>
        <w:tc>
          <w:tcPr>
            <w:tcW w:w="9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20" w:type="dxa"/>
            <w:vAlign w:val="bottom"/>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Common stock</w:t>
            </w:r>
          </w:p>
        </w:tc>
        <w:tc>
          <w:tcPr>
            <w:tcW w:w="800" w:type="dxa"/>
            <w:vAlign w:val="bottom"/>
            <w:vMerge w:val="restart"/>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13"/>
              <w:spacing w:after="0"/>
              <w:rPr>
                <w:sz w:val="20"/>
                <w:szCs w:val="20"/>
                <w:color w:val="auto"/>
              </w:rPr>
            </w:pPr>
            <w:r>
              <w:rPr>
                <w:rFonts w:ascii="Arial" w:cs="Arial" w:eastAsia="Arial" w:hAnsi="Arial"/>
                <w:sz w:val="13"/>
                <w:szCs w:val="13"/>
                <w:color w:val="auto"/>
              </w:rPr>
              <w:t>(1,310,723)</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(1,310,723)</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33"/>
              <w:spacing w:after="0"/>
              <w:rPr>
                <w:sz w:val="20"/>
                <w:szCs w:val="20"/>
                <w:color w:val="auto"/>
              </w:rPr>
            </w:pPr>
            <w:r>
              <w:rPr>
                <w:rFonts w:ascii="Arial" w:cs="Arial" w:eastAsia="Arial" w:hAnsi="Arial"/>
                <w:sz w:val="13"/>
                <w:szCs w:val="13"/>
                <w:color w:val="auto"/>
              </w:rPr>
              <w:t>(26,639)</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(26,639)</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repurchased</w:t>
            </w:r>
          </w:p>
        </w:tc>
        <w:tc>
          <w:tcPr>
            <w:tcW w:w="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EDEDEE"/>
          </w:tcPr>
          <w:p>
            <w:pPr>
              <w:ind w:left="20"/>
              <w:spacing w:after="0" w:line="137" w:lineRule="exact"/>
              <w:rPr>
                <w:sz w:val="20"/>
                <w:szCs w:val="20"/>
                <w:color w:val="auto"/>
              </w:rPr>
            </w:pPr>
            <w:r>
              <w:rPr>
                <w:rFonts w:ascii="Arial" w:cs="Arial" w:eastAsia="Arial" w:hAnsi="Arial"/>
                <w:sz w:val="13"/>
                <w:szCs w:val="13"/>
                <w:b w:val="1"/>
                <w:bCs w:val="1"/>
                <w:color w:val="auto"/>
              </w:rPr>
              <w:t>Shares repurchased</w:t>
            </w:r>
          </w:p>
        </w:tc>
        <w:tc>
          <w:tcPr>
            <w:tcW w:w="800" w:type="dxa"/>
            <w:vAlign w:val="bottom"/>
            <w:shd w:val="clear" w:color="auto" w:fill="EDEDEE"/>
          </w:tcPr>
          <w:p>
            <w:pPr>
              <w:spacing w:after="0"/>
              <w:rPr>
                <w:sz w:val="11"/>
                <w:szCs w:val="11"/>
                <w:color w:val="auto"/>
              </w:rPr>
            </w:pPr>
          </w:p>
        </w:tc>
        <w:tc>
          <w:tcPr>
            <w:tcW w:w="840" w:type="dxa"/>
            <w:vAlign w:val="bottom"/>
            <w:shd w:val="clear" w:color="auto" w:fill="EDEDEE"/>
          </w:tcPr>
          <w:p>
            <w:pPr>
              <w:spacing w:after="0"/>
              <w:rPr>
                <w:sz w:val="11"/>
                <w:szCs w:val="11"/>
                <w:color w:val="auto"/>
              </w:rPr>
            </w:pPr>
          </w:p>
        </w:tc>
        <w:tc>
          <w:tcPr>
            <w:tcW w:w="98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760" w:type="dxa"/>
            <w:vAlign w:val="bottom"/>
            <w:shd w:val="clear" w:color="auto" w:fill="EDEDEE"/>
          </w:tcPr>
          <w:p>
            <w:pPr>
              <w:spacing w:after="0"/>
              <w:rPr>
                <w:sz w:val="11"/>
                <w:szCs w:val="11"/>
                <w:color w:val="auto"/>
              </w:rPr>
            </w:pPr>
          </w:p>
        </w:tc>
        <w:tc>
          <w:tcPr>
            <w:tcW w:w="7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160" w:type="dxa"/>
            <w:vAlign w:val="bottom"/>
            <w:shd w:val="clear" w:color="auto" w:fill="EDEDEE"/>
          </w:tcPr>
          <w:p>
            <w:pPr>
              <w:spacing w:after="0"/>
              <w:rPr>
                <w:sz w:val="11"/>
                <w:szCs w:val="11"/>
                <w:color w:val="auto"/>
              </w:rPr>
            </w:pPr>
          </w:p>
        </w:tc>
        <w:tc>
          <w:tcPr>
            <w:tcW w:w="9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EDEDEE"/>
          </w:tcPr>
          <w:p>
            <w:pPr>
              <w:ind w:left="20"/>
              <w:spacing w:after="0" w:line="135" w:lineRule="exact"/>
              <w:rPr>
                <w:sz w:val="20"/>
                <w:szCs w:val="20"/>
                <w:color w:val="auto"/>
              </w:rPr>
            </w:pPr>
            <w:r>
              <w:rPr>
                <w:rFonts w:ascii="Arial" w:cs="Arial" w:eastAsia="Arial" w:hAnsi="Arial"/>
                <w:sz w:val="13"/>
                <w:szCs w:val="13"/>
                <w:b w:val="1"/>
                <w:bCs w:val="1"/>
                <w:color w:val="auto"/>
              </w:rPr>
              <w:t>related to employee</w:t>
            </w:r>
          </w:p>
        </w:tc>
        <w:tc>
          <w:tcPr>
            <w:tcW w:w="800" w:type="dxa"/>
            <w:vAlign w:val="bottom"/>
            <w:shd w:val="clear" w:color="auto" w:fill="EDEDEE"/>
          </w:tcPr>
          <w:p>
            <w:pPr>
              <w:spacing w:after="0"/>
              <w:rPr>
                <w:sz w:val="11"/>
                <w:szCs w:val="11"/>
                <w:color w:val="auto"/>
              </w:rPr>
            </w:pPr>
          </w:p>
        </w:tc>
        <w:tc>
          <w:tcPr>
            <w:tcW w:w="840" w:type="dxa"/>
            <w:vAlign w:val="bottom"/>
            <w:shd w:val="clear" w:color="auto" w:fill="EDEDEE"/>
          </w:tcPr>
          <w:p>
            <w:pPr>
              <w:spacing w:after="0"/>
              <w:rPr>
                <w:sz w:val="11"/>
                <w:szCs w:val="11"/>
                <w:color w:val="auto"/>
              </w:rPr>
            </w:pPr>
          </w:p>
        </w:tc>
        <w:tc>
          <w:tcPr>
            <w:tcW w:w="98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760" w:type="dxa"/>
            <w:vAlign w:val="bottom"/>
            <w:shd w:val="clear" w:color="auto" w:fill="EDEDEE"/>
          </w:tcPr>
          <w:p>
            <w:pPr>
              <w:spacing w:after="0"/>
              <w:rPr>
                <w:sz w:val="11"/>
                <w:szCs w:val="11"/>
                <w:color w:val="auto"/>
              </w:rPr>
            </w:pPr>
          </w:p>
        </w:tc>
        <w:tc>
          <w:tcPr>
            <w:tcW w:w="7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160" w:type="dxa"/>
            <w:vAlign w:val="bottom"/>
            <w:shd w:val="clear" w:color="auto" w:fill="EDEDEE"/>
          </w:tcPr>
          <w:p>
            <w:pPr>
              <w:spacing w:after="0"/>
              <w:rPr>
                <w:sz w:val="11"/>
                <w:szCs w:val="11"/>
                <w:color w:val="auto"/>
              </w:rPr>
            </w:pPr>
          </w:p>
        </w:tc>
        <w:tc>
          <w:tcPr>
            <w:tcW w:w="9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EDEDEE"/>
          </w:tcPr>
          <w:p>
            <w:pPr>
              <w:ind w:left="20"/>
              <w:spacing w:after="0" w:line="135" w:lineRule="exact"/>
              <w:rPr>
                <w:sz w:val="20"/>
                <w:szCs w:val="20"/>
                <w:color w:val="auto"/>
              </w:rPr>
            </w:pPr>
            <w:r>
              <w:rPr>
                <w:rFonts w:ascii="Arial" w:cs="Arial" w:eastAsia="Arial" w:hAnsi="Arial"/>
                <w:sz w:val="13"/>
                <w:szCs w:val="13"/>
                <w:b w:val="1"/>
                <w:bCs w:val="1"/>
                <w:color w:val="auto"/>
              </w:rPr>
              <w:t>stock-based</w:t>
            </w:r>
          </w:p>
        </w:tc>
        <w:tc>
          <w:tcPr>
            <w:tcW w:w="800" w:type="dxa"/>
            <w:vAlign w:val="bottom"/>
            <w:vMerge w:val="restart"/>
            <w:shd w:val="clear" w:color="auto" w:fill="EDEDEE"/>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(683,247)</w:t>
            </w:r>
          </w:p>
        </w:tc>
        <w:tc>
          <w:tcPr>
            <w:tcW w:w="8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(683,247)</w:t>
            </w:r>
          </w:p>
        </w:tc>
        <w:tc>
          <w:tcPr>
            <w:tcW w:w="7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E"/>
          </w:tcPr>
          <w:p>
            <w:pPr>
              <w:spacing w:after="0"/>
              <w:rPr>
                <w:sz w:val="11"/>
                <w:szCs w:val="11"/>
                <w:color w:val="auto"/>
              </w:rPr>
            </w:pPr>
          </w:p>
        </w:tc>
        <w:tc>
          <w:tcPr>
            <w:tcW w:w="920" w:type="dxa"/>
            <w:vAlign w:val="bottom"/>
            <w:vMerge w:val="restart"/>
            <w:shd w:val="clear" w:color="auto" w:fill="EDEDEE"/>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(13,601)</w:t>
            </w:r>
          </w:p>
        </w:tc>
        <w:tc>
          <w:tcPr>
            <w:tcW w:w="8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(13,601)</w:t>
            </w:r>
          </w:p>
        </w:tc>
        <w:tc>
          <w:tcPr>
            <w:tcW w:w="0" w:type="dxa"/>
            <w:vAlign w:val="bottom"/>
          </w:tcPr>
          <w:p>
            <w:pPr>
              <w:spacing w:after="0"/>
              <w:rPr>
                <w:sz w:val="1"/>
                <w:szCs w:val="1"/>
                <w:color w:val="auto"/>
              </w:rPr>
            </w:pPr>
          </w:p>
        </w:tc>
      </w:tr>
      <w:tr>
        <w:trPr>
          <w:trHeight w:val="189"/>
        </w:trPr>
        <w:tc>
          <w:tcPr>
            <w:tcW w:w="170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auto"/>
              </w:rPr>
              <w:t>compensation plans</w:t>
            </w:r>
          </w:p>
        </w:tc>
        <w:tc>
          <w:tcPr>
            <w:tcW w:w="800" w:type="dxa"/>
            <w:vAlign w:val="bottom"/>
            <w:tcBorders>
              <w:bottom w:val="single" w:sz="8" w:color="auto"/>
            </w:tcBorders>
            <w:vMerge w:val="continue"/>
            <w:shd w:val="clear" w:color="auto" w:fill="EDEDEE"/>
          </w:tcPr>
          <w:p>
            <w:pPr>
              <w:spacing w:after="0"/>
              <w:rPr>
                <w:sz w:val="16"/>
                <w:szCs w:val="16"/>
                <w:color w:val="auto"/>
              </w:rPr>
            </w:pPr>
          </w:p>
        </w:tc>
        <w:tc>
          <w:tcPr>
            <w:tcW w:w="840" w:type="dxa"/>
            <w:vAlign w:val="bottom"/>
            <w:tcBorders>
              <w:bottom w:val="single" w:sz="8" w:color="auto"/>
            </w:tcBorders>
            <w:vMerge w:val="continue"/>
            <w:shd w:val="clear" w:color="auto" w:fill="EDEDEE"/>
          </w:tcPr>
          <w:p>
            <w:pPr>
              <w:spacing w:after="0"/>
              <w:rPr>
                <w:sz w:val="16"/>
                <w:szCs w:val="16"/>
                <w:color w:val="auto"/>
              </w:rPr>
            </w:pPr>
          </w:p>
        </w:tc>
        <w:tc>
          <w:tcPr>
            <w:tcW w:w="980" w:type="dxa"/>
            <w:vAlign w:val="bottom"/>
            <w:tcBorders>
              <w:bottom w:val="single" w:sz="8" w:color="auto"/>
            </w:tcBorders>
            <w:vMerge w:val="continue"/>
            <w:shd w:val="clear" w:color="auto" w:fill="EDEDEE"/>
          </w:tcPr>
          <w:p>
            <w:pPr>
              <w:spacing w:after="0"/>
              <w:rPr>
                <w:sz w:val="16"/>
                <w:szCs w:val="16"/>
                <w:color w:val="auto"/>
              </w:rPr>
            </w:pPr>
          </w:p>
        </w:tc>
        <w:tc>
          <w:tcPr>
            <w:tcW w:w="860" w:type="dxa"/>
            <w:vAlign w:val="bottom"/>
            <w:tcBorders>
              <w:bottom w:val="single" w:sz="8" w:color="auto"/>
            </w:tcBorders>
            <w:vMerge w:val="continue"/>
            <w:shd w:val="clear" w:color="auto" w:fill="EDEDEE"/>
          </w:tcPr>
          <w:p>
            <w:pPr>
              <w:spacing w:after="0"/>
              <w:rPr>
                <w:sz w:val="16"/>
                <w:szCs w:val="16"/>
                <w:color w:val="auto"/>
              </w:rPr>
            </w:pPr>
          </w:p>
        </w:tc>
        <w:tc>
          <w:tcPr>
            <w:tcW w:w="760" w:type="dxa"/>
            <w:vAlign w:val="bottom"/>
            <w:tcBorders>
              <w:bottom w:val="single" w:sz="8" w:color="auto"/>
            </w:tcBorders>
            <w:vMerge w:val="continue"/>
            <w:shd w:val="clear" w:color="auto" w:fill="EDEDEE"/>
          </w:tcPr>
          <w:p>
            <w:pPr>
              <w:spacing w:after="0"/>
              <w:rPr>
                <w:sz w:val="16"/>
                <w:szCs w:val="16"/>
                <w:color w:val="auto"/>
              </w:rPr>
            </w:pPr>
          </w:p>
        </w:tc>
        <w:tc>
          <w:tcPr>
            <w:tcW w:w="720" w:type="dxa"/>
            <w:vAlign w:val="bottom"/>
            <w:tcBorders>
              <w:bottom w:val="single" w:sz="8" w:color="auto"/>
            </w:tcBorders>
            <w:vMerge w:val="continue"/>
            <w:shd w:val="clear" w:color="auto" w:fill="EDEDEE"/>
          </w:tcPr>
          <w:p>
            <w:pPr>
              <w:spacing w:after="0"/>
              <w:rPr>
                <w:sz w:val="16"/>
                <w:szCs w:val="16"/>
                <w:color w:val="auto"/>
              </w:rPr>
            </w:pPr>
          </w:p>
        </w:tc>
        <w:tc>
          <w:tcPr>
            <w:tcW w:w="860" w:type="dxa"/>
            <w:vAlign w:val="bottom"/>
            <w:tcBorders>
              <w:bottom w:val="single" w:sz="8" w:color="auto"/>
            </w:tcBorders>
            <w:vMerge w:val="continue"/>
            <w:shd w:val="clear" w:color="auto" w:fill="EDEDEE"/>
          </w:tcPr>
          <w:p>
            <w:pPr>
              <w:spacing w:after="0"/>
              <w:rPr>
                <w:sz w:val="16"/>
                <w:szCs w:val="16"/>
                <w:color w:val="auto"/>
              </w:rPr>
            </w:pPr>
          </w:p>
        </w:tc>
        <w:tc>
          <w:tcPr>
            <w:tcW w:w="160" w:type="dxa"/>
            <w:vAlign w:val="bottom"/>
            <w:tcBorders>
              <w:bottom w:val="single" w:sz="8" w:color="auto"/>
            </w:tcBorders>
            <w:shd w:val="clear" w:color="auto" w:fill="EDEDEE"/>
          </w:tcPr>
          <w:p>
            <w:pPr>
              <w:spacing w:after="0"/>
              <w:rPr>
                <w:sz w:val="16"/>
                <w:szCs w:val="16"/>
                <w:color w:val="auto"/>
              </w:rPr>
            </w:pPr>
          </w:p>
        </w:tc>
        <w:tc>
          <w:tcPr>
            <w:tcW w:w="920" w:type="dxa"/>
            <w:vAlign w:val="bottom"/>
            <w:tcBorders>
              <w:bottom w:val="single" w:sz="8" w:color="auto"/>
            </w:tcBorders>
            <w:vMerge w:val="continue"/>
            <w:shd w:val="clear" w:color="auto" w:fill="EDEDEE"/>
          </w:tcPr>
          <w:p>
            <w:pPr>
              <w:spacing w:after="0"/>
              <w:rPr>
                <w:sz w:val="16"/>
                <w:szCs w:val="16"/>
                <w:color w:val="auto"/>
              </w:rPr>
            </w:pPr>
          </w:p>
        </w:tc>
        <w:tc>
          <w:tcPr>
            <w:tcW w:w="860" w:type="dxa"/>
            <w:vAlign w:val="bottom"/>
            <w:tcBorders>
              <w:bottom w:val="single" w:sz="8" w:color="auto"/>
            </w:tcBorders>
            <w:vMerge w:val="continue"/>
            <w:shd w:val="clear" w:color="auto" w:fill="EDEDEE"/>
          </w:tcPr>
          <w:p>
            <w:pPr>
              <w:spacing w:after="0"/>
              <w:rPr>
                <w:sz w:val="16"/>
                <w:szCs w:val="16"/>
                <w:color w:val="auto"/>
              </w:rPr>
            </w:pPr>
          </w:p>
        </w:tc>
        <w:tc>
          <w:tcPr>
            <w:tcW w:w="960" w:type="dxa"/>
            <w:vAlign w:val="bottom"/>
            <w:tcBorders>
              <w:bottom w:val="single" w:sz="8" w:color="auto"/>
            </w:tcBorders>
            <w:vMerge w:val="continue"/>
            <w:shd w:val="clear" w:color="auto" w:fill="EDEDEE"/>
          </w:tcPr>
          <w:p>
            <w:pPr>
              <w:spacing w:after="0"/>
              <w:rPr>
                <w:sz w:val="16"/>
                <w:szCs w:val="16"/>
                <w:color w:val="auto"/>
              </w:rPr>
            </w:pPr>
          </w:p>
        </w:tc>
        <w:tc>
          <w:tcPr>
            <w:tcW w:w="820" w:type="dxa"/>
            <w:vAlign w:val="bottom"/>
            <w:tcBorders>
              <w:bottom w:val="single" w:sz="8" w:color="auto"/>
            </w:tcBorders>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700" w:type="dxa"/>
            <w:vAlign w:val="bottom"/>
          </w:tcPr>
          <w:p>
            <w:pPr>
              <w:ind w:left="20"/>
              <w:spacing w:after="0" w:line="115" w:lineRule="exact"/>
              <w:rPr>
                <w:sz w:val="20"/>
                <w:szCs w:val="20"/>
                <w:color w:val="auto"/>
              </w:rPr>
            </w:pPr>
            <w:r>
              <w:rPr>
                <w:rFonts w:ascii="Arial" w:cs="Arial" w:eastAsia="Arial" w:hAnsi="Arial"/>
                <w:sz w:val="13"/>
                <w:szCs w:val="13"/>
                <w:b w:val="1"/>
                <w:bCs w:val="1"/>
                <w:color w:val="144F82"/>
              </w:rPr>
              <w:t>Balance at March 31,</w:t>
            </w:r>
          </w:p>
        </w:tc>
        <w:tc>
          <w:tcPr>
            <w:tcW w:w="800" w:type="dxa"/>
            <w:vAlign w:val="bottom"/>
            <w:vMerge w:val="restart"/>
          </w:tcPr>
          <w:p>
            <w:pPr>
              <w:jc w:val="right"/>
              <w:ind w:right="93"/>
              <w:spacing w:after="0"/>
              <w:rPr>
                <w:sz w:val="20"/>
                <w:szCs w:val="20"/>
                <w:color w:val="auto"/>
              </w:rPr>
            </w:pPr>
            <w:r>
              <w:rPr>
                <w:rFonts w:ascii="Arial" w:cs="Arial" w:eastAsia="Arial" w:hAnsi="Arial"/>
                <w:sz w:val="13"/>
                <w:szCs w:val="13"/>
                <w:color w:val="auto"/>
              </w:rPr>
              <w:t>2,510,696</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440,156,336</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(219,880,502)</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220,275,834</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$ 251,070</w:t>
            </w:r>
          </w:p>
        </w:tc>
        <w:tc>
          <w:tcPr>
            <w:tcW w:w="720" w:type="dxa"/>
            <w:vAlign w:val="bottom"/>
            <w:vMerge w:val="restart"/>
          </w:tcPr>
          <w:p>
            <w:pPr>
              <w:jc w:val="right"/>
              <w:ind w:right="13"/>
              <w:spacing w:after="0"/>
              <w:rPr>
                <w:sz w:val="20"/>
                <w:szCs w:val="20"/>
                <w:color w:val="auto"/>
              </w:rPr>
            </w:pPr>
            <w:r>
              <w:rPr>
                <w:rFonts w:ascii="Arial" w:cs="Arial" w:eastAsia="Arial" w:hAnsi="Arial"/>
                <w:sz w:val="13"/>
                <w:szCs w:val="13"/>
                <w:color w:val="auto"/>
              </w:rPr>
              <w:t>$ 88,032</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$ 1,163,838</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(77,291)</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$ 3,884,694</w:t>
            </w:r>
          </w:p>
        </w:tc>
        <w:tc>
          <w:tcPr>
            <w:tcW w:w="960" w:type="dxa"/>
            <w:vAlign w:val="bottom"/>
            <w:vMerge w:val="restart"/>
          </w:tcPr>
          <w:p>
            <w:pPr>
              <w:jc w:val="right"/>
              <w:ind w:right="33"/>
              <w:spacing w:after="0"/>
              <w:rPr>
                <w:sz w:val="20"/>
                <w:szCs w:val="20"/>
                <w:color w:val="auto"/>
              </w:rPr>
            </w:pPr>
            <w:r>
              <w:rPr>
                <w:rFonts w:ascii="Arial" w:cs="Arial" w:eastAsia="Arial" w:hAnsi="Arial"/>
                <w:sz w:val="13"/>
                <w:szCs w:val="13"/>
                <w:color w:val="auto"/>
              </w:rPr>
              <w:t>$ (3,196,604)</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$ 2,113,739</w:t>
            </w:r>
          </w:p>
        </w:tc>
        <w:tc>
          <w:tcPr>
            <w:tcW w:w="0" w:type="dxa"/>
            <w:vAlign w:val="bottom"/>
          </w:tcPr>
          <w:p>
            <w:pPr>
              <w:spacing w:after="0"/>
              <w:rPr>
                <w:sz w:val="1"/>
                <w:szCs w:val="1"/>
                <w:color w:val="auto"/>
              </w:rPr>
            </w:pPr>
          </w:p>
        </w:tc>
      </w:tr>
      <w:tr>
        <w:trPr>
          <w:trHeight w:val="167"/>
        </w:trPr>
        <w:tc>
          <w:tcPr>
            <w:tcW w:w="1700" w:type="dxa"/>
            <w:vAlign w:val="bottom"/>
          </w:tcPr>
          <w:p>
            <w:pPr>
              <w:ind w:left="20"/>
              <w:spacing w:after="0"/>
              <w:rPr>
                <w:sz w:val="20"/>
                <w:szCs w:val="20"/>
                <w:color w:val="auto"/>
              </w:rPr>
            </w:pPr>
            <w:r>
              <w:rPr>
                <w:rFonts w:ascii="Arial" w:cs="Arial" w:eastAsia="Arial" w:hAnsi="Arial"/>
                <w:sz w:val="13"/>
                <w:szCs w:val="13"/>
                <w:b w:val="1"/>
                <w:bCs w:val="1"/>
                <w:color w:val="144F82"/>
              </w:rPr>
              <w:t>2024</w:t>
            </w:r>
          </w:p>
        </w:tc>
        <w:tc>
          <w:tcPr>
            <w:tcW w:w="8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34F82"/>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14"/>
          <w:szCs w:val="14"/>
          <w:b w:val="1"/>
          <w:bCs w:val="1"/>
          <w:color w:val="144F82"/>
        </w:rPr>
        <w:t>CONSOLIDATED STATEMENTS OF CHANGES IN EQUITY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700" w:type="dxa"/>
            <w:vAlign w:val="bottom"/>
            <w:tcBorders>
              <w:top w:val="single" w:sz="8" w:color="auto"/>
              <w:bottom w:val="single" w:sz="8" w:color="auto"/>
            </w:tcBorders>
            <w:gridSpan w:val="3"/>
          </w:tcPr>
          <w:p>
            <w:pPr>
              <w:jc w:val="right"/>
              <w:ind w:right="593"/>
              <w:spacing w:after="0"/>
              <w:rPr>
                <w:sz w:val="20"/>
                <w:szCs w:val="20"/>
                <w:color w:val="auto"/>
              </w:rPr>
            </w:pPr>
            <w:r>
              <w:rPr>
                <w:rFonts w:ascii="Arial" w:cs="Arial" w:eastAsia="Arial" w:hAnsi="Arial"/>
                <w:sz w:val="13"/>
                <w:szCs w:val="13"/>
                <w:b w:val="1"/>
                <w:bCs w:val="1"/>
                <w:color w:val="144F82"/>
              </w:rPr>
              <w:t>Common Stock Shares</w:t>
            </w:r>
          </w:p>
        </w:tc>
        <w:tc>
          <w:tcPr>
            <w:tcW w:w="7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74"/>
              <w:spacing w:after="0" w:line="102" w:lineRule="exact"/>
              <w:rPr>
                <w:sz w:val="20"/>
                <w:szCs w:val="20"/>
                <w:color w:val="auto"/>
              </w:rPr>
            </w:pPr>
            <w:r>
              <w:rPr>
                <w:rFonts w:ascii="Arial" w:cs="Arial" w:eastAsia="Arial" w:hAnsi="Arial"/>
                <w:sz w:val="10"/>
                <w:szCs w:val="10"/>
                <w:b w:val="1"/>
                <w:bCs w:val="1"/>
                <w:color w:val="144F82"/>
              </w:rPr>
              <w:t>Accumulated</w:t>
            </w: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700" w:type="dxa"/>
            <w:vAlign w:val="bottom"/>
            <w:vMerge w:val="restart"/>
          </w:tcPr>
          <w:p>
            <w:pPr>
              <w:ind w:left="20"/>
              <w:spacing w:after="0"/>
              <w:rPr>
                <w:sz w:val="20"/>
                <w:szCs w:val="20"/>
                <w:color w:val="auto"/>
              </w:rPr>
            </w:pPr>
            <w:r>
              <w:rPr>
                <w:rFonts w:ascii="Arial" w:cs="Arial" w:eastAsia="Arial" w:hAnsi="Arial"/>
                <w:sz w:val="13"/>
                <w:szCs w:val="13"/>
                <w:b w:val="1"/>
                <w:bCs w:val="1"/>
                <w:color w:val="144F82"/>
              </w:rPr>
              <w:t>(In thousands, except</w:t>
            </w:r>
          </w:p>
        </w:tc>
        <w:tc>
          <w:tcPr>
            <w:tcW w:w="80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144F82"/>
                <w:w w:val="96"/>
              </w:rPr>
              <w:t>Preferred</w:t>
            </w: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144F82"/>
              </w:rPr>
              <w:t>Additional</w:t>
            </w:r>
          </w:p>
        </w:tc>
        <w:tc>
          <w:tcPr>
            <w:tcW w:w="160" w:type="dxa"/>
            <w:vAlign w:val="bottom"/>
          </w:tcPr>
          <w:p>
            <w:pPr>
              <w:spacing w:after="0"/>
              <w:rPr>
                <w:sz w:val="11"/>
                <w:szCs w:val="11"/>
                <w:color w:val="auto"/>
              </w:rPr>
            </w:pPr>
          </w:p>
        </w:tc>
        <w:tc>
          <w:tcPr>
            <w:tcW w:w="920" w:type="dxa"/>
            <w:vAlign w:val="bottom"/>
          </w:tcPr>
          <w:p>
            <w:pPr>
              <w:jc w:val="center"/>
              <w:ind w:right="74"/>
              <w:spacing w:after="0" w:line="131" w:lineRule="exact"/>
              <w:rPr>
                <w:sz w:val="20"/>
                <w:szCs w:val="20"/>
                <w:color w:val="auto"/>
              </w:rPr>
            </w:pPr>
            <w:r>
              <w:rPr>
                <w:rFonts w:ascii="Arial" w:cs="Arial" w:eastAsia="Arial" w:hAnsi="Arial"/>
                <w:sz w:val="13"/>
                <w:szCs w:val="13"/>
                <w:b w:val="1"/>
                <w:bCs w:val="1"/>
                <w:color w:val="144F82"/>
                <w:w w:val="97"/>
              </w:rPr>
              <w:t>Other</w:t>
            </w: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144F82"/>
              </w:rPr>
              <w:t>Preferred</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144F82"/>
              </w:rPr>
              <w:t>Common</w:t>
            </w:r>
          </w:p>
        </w:tc>
        <w:tc>
          <w:tcPr>
            <w:tcW w:w="860" w:type="dxa"/>
            <w:vAlign w:val="bottom"/>
            <w:vMerge w:val="continue"/>
          </w:tcPr>
          <w:p>
            <w:pPr>
              <w:spacing w:after="0"/>
              <w:rPr>
                <w:sz w:val="10"/>
                <w:szCs w:val="10"/>
                <w:color w:val="auto"/>
              </w:rPr>
            </w:pPr>
          </w:p>
        </w:tc>
        <w:tc>
          <w:tcPr>
            <w:tcW w:w="108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144F82"/>
                <w:w w:val="96"/>
              </w:rPr>
              <w:t>Comprehensive</w:t>
            </w:r>
          </w:p>
        </w:tc>
        <w:tc>
          <w:tcPr>
            <w:tcW w:w="8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144F82"/>
              </w:rPr>
              <w:t>Retained</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144F82"/>
              </w:rPr>
              <w:t>Treasury</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tcPr>
          <w:p>
            <w:pPr>
              <w:ind w:left="20"/>
              <w:spacing w:after="0" w:line="122" w:lineRule="exact"/>
              <w:rPr>
                <w:sz w:val="20"/>
                <w:szCs w:val="20"/>
                <w:color w:val="auto"/>
              </w:rPr>
            </w:pPr>
            <w:r>
              <w:rPr>
                <w:rFonts w:ascii="Arial" w:cs="Arial" w:eastAsia="Arial" w:hAnsi="Arial"/>
                <w:sz w:val="13"/>
                <w:szCs w:val="13"/>
                <w:b w:val="1"/>
                <w:bCs w:val="1"/>
                <w:color w:val="144F82"/>
              </w:rPr>
              <w:t>share and per share</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144F82"/>
                <w:w w:val="95"/>
              </w:rPr>
              <w:t>Stock</w:t>
            </w:r>
          </w:p>
        </w:tc>
        <w:tc>
          <w:tcPr>
            <w:tcW w:w="86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144F82"/>
              </w:rPr>
              <w:t>Issued</w:t>
            </w:r>
          </w:p>
        </w:tc>
        <w:tc>
          <w:tcPr>
            <w:tcW w:w="96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144F82"/>
              </w:rPr>
              <w:t>Treasury</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144F82"/>
              </w:rPr>
              <w:t>Outstanding</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60" w:type="dxa"/>
            <w:vAlign w:val="bottom"/>
          </w:tcPr>
          <w:p>
            <w:pPr>
              <w:jc w:val="right"/>
              <w:ind w:right="133"/>
              <w:spacing w:after="0" w:line="122" w:lineRule="exact"/>
              <w:rPr>
                <w:sz w:val="20"/>
                <w:szCs w:val="20"/>
                <w:color w:val="auto"/>
              </w:rPr>
            </w:pPr>
            <w:r>
              <w:rPr>
                <w:rFonts w:ascii="Arial" w:cs="Arial" w:eastAsia="Arial" w:hAnsi="Arial"/>
                <w:sz w:val="13"/>
                <w:szCs w:val="13"/>
                <w:b w:val="1"/>
                <w:bCs w:val="1"/>
                <w:color w:val="144F82"/>
              </w:rPr>
              <w:t>Paid-In</w:t>
            </w:r>
          </w:p>
        </w:tc>
        <w:tc>
          <w:tcPr>
            <w:tcW w:w="160" w:type="dxa"/>
            <w:vAlign w:val="bottom"/>
          </w:tcPr>
          <w:p>
            <w:pPr>
              <w:spacing w:after="0"/>
              <w:rPr>
                <w:sz w:val="10"/>
                <w:szCs w:val="10"/>
                <w:color w:val="auto"/>
              </w:rPr>
            </w:pPr>
          </w:p>
        </w:tc>
        <w:tc>
          <w:tcPr>
            <w:tcW w:w="920" w:type="dxa"/>
            <w:vAlign w:val="bottom"/>
          </w:tcPr>
          <w:p>
            <w:pPr>
              <w:jc w:val="center"/>
              <w:ind w:right="54"/>
              <w:spacing w:after="0" w:line="122" w:lineRule="exact"/>
              <w:rPr>
                <w:sz w:val="20"/>
                <w:szCs w:val="20"/>
                <w:color w:val="auto"/>
              </w:rPr>
            </w:pPr>
            <w:r>
              <w:rPr>
                <w:rFonts w:ascii="Arial" w:cs="Arial" w:eastAsia="Arial" w:hAnsi="Arial"/>
                <w:sz w:val="13"/>
                <w:szCs w:val="13"/>
                <w:b w:val="1"/>
                <w:bCs w:val="1"/>
                <w:color w:val="144F82"/>
                <w:w w:val="96"/>
              </w:rPr>
              <w:t>Income</w:t>
            </w:r>
          </w:p>
        </w:tc>
        <w:tc>
          <w:tcPr>
            <w:tcW w:w="8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144F82"/>
              </w:rPr>
              <w:t>Total Equity</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amounts)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4F82"/>
                <w:w w:val="96"/>
              </w:rPr>
              <w:t>Shares</w:t>
            </w:r>
          </w:p>
        </w:tc>
        <w:tc>
          <w:tcPr>
            <w:tcW w:w="8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144F82"/>
              </w:rPr>
              <w:t>Stock</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144F82"/>
              </w:rPr>
              <w:t>Stock</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144F82"/>
              </w:rPr>
              <w:t>Capital</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144F82"/>
                <w:w w:val="97"/>
              </w:rPr>
              <w:t>(Loss)</w:t>
            </w: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144F82"/>
              </w:rPr>
              <w:t>Earnings</w:t>
            </w: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144F82"/>
              </w:rPr>
              <w:t>Stock</w:t>
            </w: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00" w:type="dxa"/>
            <w:vAlign w:val="bottom"/>
            <w:shd w:val="clear" w:color="auto" w:fill="EDEDEE"/>
          </w:tcPr>
          <w:p>
            <w:pPr>
              <w:ind w:left="20"/>
              <w:spacing w:after="0" w:line="133" w:lineRule="exact"/>
              <w:rPr>
                <w:sz w:val="20"/>
                <w:szCs w:val="20"/>
                <w:color w:val="auto"/>
              </w:rPr>
            </w:pPr>
            <w:r>
              <w:rPr>
                <w:rFonts w:ascii="Arial" w:cs="Arial" w:eastAsia="Arial" w:hAnsi="Arial"/>
                <w:sz w:val="13"/>
                <w:szCs w:val="13"/>
                <w:b w:val="1"/>
                <w:bCs w:val="1"/>
                <w:color w:val="144F82"/>
              </w:rPr>
              <w:t>Balance at December</w:t>
            </w:r>
          </w:p>
        </w:tc>
        <w:tc>
          <w:tcPr>
            <w:tcW w:w="80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2,510,696</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440,604,795</w:t>
            </w:r>
          </w:p>
        </w:tc>
        <w:tc>
          <w:tcPr>
            <w:tcW w:w="9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(230,222,501)</w:t>
            </w:r>
          </w:p>
        </w:tc>
        <w:tc>
          <w:tcPr>
            <w:tcW w:w="88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210,382,294</w:t>
            </w:r>
          </w:p>
        </w:tc>
        <w:tc>
          <w:tcPr>
            <w:tcW w:w="7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$ 251,070</w:t>
            </w:r>
          </w:p>
        </w:tc>
        <w:tc>
          <w:tcPr>
            <w:tcW w:w="70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$ 88,121</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$ 1,193,753</w:t>
            </w:r>
          </w:p>
        </w:tc>
        <w:tc>
          <w:tcPr>
            <w:tcW w:w="1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(65,861)</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$ 4,114,446</w:t>
            </w:r>
          </w:p>
        </w:tc>
        <w:tc>
          <w:tcPr>
            <w:tcW w:w="9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 (3,421,609)</w:t>
            </w:r>
          </w:p>
        </w:tc>
        <w:tc>
          <w:tcPr>
            <w:tcW w:w="8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$ 2,159,920</w:t>
            </w:r>
          </w:p>
        </w:tc>
        <w:tc>
          <w:tcPr>
            <w:tcW w:w="0" w:type="dxa"/>
            <w:vAlign w:val="bottom"/>
          </w:tcPr>
          <w:p>
            <w:pPr>
              <w:spacing w:after="0"/>
              <w:rPr>
                <w:sz w:val="1"/>
                <w:szCs w:val="1"/>
                <w:color w:val="auto"/>
              </w:rPr>
            </w:pPr>
          </w:p>
        </w:tc>
      </w:tr>
      <w:tr>
        <w:trPr>
          <w:trHeight w:val="189"/>
        </w:trPr>
        <w:tc>
          <w:tcPr>
            <w:tcW w:w="170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144F82"/>
              </w:rPr>
              <w:t>31, 2024</w:t>
            </w:r>
          </w:p>
        </w:tc>
        <w:tc>
          <w:tcPr>
            <w:tcW w:w="80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80" w:type="dxa"/>
            <w:vAlign w:val="bottom"/>
            <w:vMerge w:val="continue"/>
            <w:shd w:val="clear" w:color="auto" w:fill="EDEDEE"/>
          </w:tcPr>
          <w:p>
            <w:pPr>
              <w:spacing w:after="0"/>
              <w:rPr>
                <w:sz w:val="16"/>
                <w:szCs w:val="16"/>
                <w:color w:val="auto"/>
              </w:rPr>
            </w:pPr>
          </w:p>
        </w:tc>
        <w:tc>
          <w:tcPr>
            <w:tcW w:w="760" w:type="dxa"/>
            <w:vAlign w:val="bottom"/>
            <w:vMerge w:val="continue"/>
            <w:shd w:val="clear" w:color="auto" w:fill="EDEDEE"/>
          </w:tcPr>
          <w:p>
            <w:pPr>
              <w:spacing w:after="0"/>
              <w:rPr>
                <w:sz w:val="16"/>
                <w:szCs w:val="16"/>
                <w:color w:val="auto"/>
              </w:rPr>
            </w:pPr>
          </w:p>
        </w:tc>
        <w:tc>
          <w:tcPr>
            <w:tcW w:w="70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160" w:type="dxa"/>
            <w:vAlign w:val="bottom"/>
            <w:vMerge w:val="continue"/>
            <w:shd w:val="clear" w:color="auto" w:fill="EDEDEE"/>
          </w:tcPr>
          <w:p>
            <w:pPr>
              <w:spacing w:after="0"/>
              <w:rPr>
                <w:sz w:val="16"/>
                <w:szCs w:val="16"/>
                <w:color w:val="auto"/>
              </w:rPr>
            </w:pPr>
          </w:p>
        </w:tc>
        <w:tc>
          <w:tcPr>
            <w:tcW w:w="9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20" w:type="dxa"/>
            <w:vAlign w:val="bottom"/>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3"/>
                <w:szCs w:val="13"/>
                <w:b w:val="1"/>
                <w:bCs w:val="1"/>
                <w:color w:val="auto"/>
              </w:rPr>
              <w:t>Net income</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304,540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304,540</w:t>
            </w:r>
          </w:p>
        </w:tc>
        <w:tc>
          <w:tcPr>
            <w:tcW w:w="0" w:type="dxa"/>
            <w:vAlign w:val="bottom"/>
          </w:tcPr>
          <w:p>
            <w:pPr>
              <w:spacing w:after="0"/>
              <w:rPr>
                <w:sz w:val="1"/>
                <w:szCs w:val="1"/>
                <w:color w:val="auto"/>
              </w:rPr>
            </w:pPr>
          </w:p>
        </w:tc>
      </w:tr>
      <w:tr>
        <w:trPr>
          <w:trHeight w:val="136"/>
        </w:trPr>
        <w:tc>
          <w:tcPr>
            <w:tcW w:w="1700" w:type="dxa"/>
            <w:vAlign w:val="bottom"/>
            <w:shd w:val="clear" w:color="auto" w:fill="EDEDEE"/>
          </w:tcPr>
          <w:p>
            <w:pPr>
              <w:ind w:left="140"/>
              <w:spacing w:after="0" w:line="136" w:lineRule="exact"/>
              <w:rPr>
                <w:sz w:val="20"/>
                <w:szCs w:val="20"/>
                <w:color w:val="auto"/>
              </w:rPr>
            </w:pPr>
            <w:r>
              <w:rPr>
                <w:rFonts w:ascii="Arial" w:cs="Arial" w:eastAsia="Arial" w:hAnsi="Arial"/>
                <w:sz w:val="13"/>
                <w:szCs w:val="13"/>
                <w:b w:val="1"/>
                <w:bCs w:val="1"/>
                <w:color w:val="auto"/>
              </w:rPr>
              <w:t>Other comprehensive</w:t>
            </w:r>
          </w:p>
        </w:tc>
        <w:tc>
          <w:tcPr>
            <w:tcW w:w="80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E"/>
          </w:tcPr>
          <w:p>
            <w:pPr>
              <w:spacing w:after="0"/>
              <w:rPr>
                <w:sz w:val="11"/>
                <w:szCs w:val="11"/>
                <w:color w:val="auto"/>
              </w:rPr>
            </w:pPr>
          </w:p>
        </w:tc>
        <w:tc>
          <w:tcPr>
            <w:tcW w:w="920" w:type="dxa"/>
            <w:vAlign w:val="bottom"/>
            <w:vMerge w:val="restart"/>
            <w:shd w:val="clear" w:color="auto" w:fill="EDEDEE"/>
          </w:tcPr>
          <w:p>
            <w:pPr>
              <w:jc w:val="right"/>
              <w:ind w:right="34"/>
              <w:spacing w:after="0"/>
              <w:rPr>
                <w:sz w:val="20"/>
                <w:szCs w:val="20"/>
                <w:color w:val="auto"/>
              </w:rPr>
            </w:pPr>
            <w:r>
              <w:rPr>
                <w:rFonts w:ascii="Arial" w:cs="Arial" w:eastAsia="Arial" w:hAnsi="Arial"/>
                <w:sz w:val="13"/>
                <w:szCs w:val="13"/>
                <w:color w:val="auto"/>
              </w:rPr>
              <w:t>10,230</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10,230</w:t>
            </w:r>
          </w:p>
        </w:tc>
        <w:tc>
          <w:tcPr>
            <w:tcW w:w="0" w:type="dxa"/>
            <w:vAlign w:val="bottom"/>
          </w:tcPr>
          <w:p>
            <w:pPr>
              <w:spacing w:after="0"/>
              <w:rPr>
                <w:sz w:val="1"/>
                <w:szCs w:val="1"/>
                <w:color w:val="auto"/>
              </w:rPr>
            </w:pPr>
          </w:p>
        </w:tc>
      </w:tr>
      <w:tr>
        <w:trPr>
          <w:trHeight w:val="194"/>
        </w:trPr>
        <w:tc>
          <w:tcPr>
            <w:tcW w:w="1700" w:type="dxa"/>
            <w:vAlign w:val="bottom"/>
            <w:shd w:val="clear" w:color="auto" w:fill="EDEDEE"/>
          </w:tcPr>
          <w:p>
            <w:pPr>
              <w:ind w:left="140"/>
              <w:spacing w:after="0"/>
              <w:rPr>
                <w:sz w:val="20"/>
                <w:szCs w:val="20"/>
                <w:color w:val="auto"/>
              </w:rPr>
            </w:pPr>
            <w:r>
              <w:rPr>
                <w:rFonts w:ascii="Arial" w:cs="Arial" w:eastAsia="Arial" w:hAnsi="Arial"/>
                <w:sz w:val="13"/>
                <w:szCs w:val="13"/>
                <w:b w:val="1"/>
                <w:bCs w:val="1"/>
                <w:color w:val="auto"/>
              </w:rPr>
              <w:t>income, net of tax</w:t>
            </w:r>
          </w:p>
        </w:tc>
        <w:tc>
          <w:tcPr>
            <w:tcW w:w="80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80" w:type="dxa"/>
            <w:vAlign w:val="bottom"/>
            <w:vMerge w:val="continue"/>
            <w:shd w:val="clear" w:color="auto" w:fill="EDEDEE"/>
          </w:tcPr>
          <w:p>
            <w:pPr>
              <w:spacing w:after="0"/>
              <w:rPr>
                <w:sz w:val="16"/>
                <w:szCs w:val="16"/>
                <w:color w:val="auto"/>
              </w:rPr>
            </w:pPr>
          </w:p>
        </w:tc>
        <w:tc>
          <w:tcPr>
            <w:tcW w:w="760" w:type="dxa"/>
            <w:vAlign w:val="bottom"/>
            <w:vMerge w:val="continue"/>
            <w:shd w:val="clear" w:color="auto" w:fill="EDEDEE"/>
          </w:tcPr>
          <w:p>
            <w:pPr>
              <w:spacing w:after="0"/>
              <w:rPr>
                <w:sz w:val="16"/>
                <w:szCs w:val="16"/>
                <w:color w:val="auto"/>
              </w:rPr>
            </w:pPr>
          </w:p>
        </w:tc>
        <w:tc>
          <w:tcPr>
            <w:tcW w:w="70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160" w:type="dxa"/>
            <w:vAlign w:val="bottom"/>
            <w:shd w:val="clear" w:color="auto" w:fill="EDEDEE"/>
          </w:tcPr>
          <w:p>
            <w:pPr>
              <w:spacing w:after="0"/>
              <w:rPr>
                <w:sz w:val="16"/>
                <w:szCs w:val="16"/>
                <w:color w:val="auto"/>
              </w:rPr>
            </w:pPr>
          </w:p>
        </w:tc>
        <w:tc>
          <w:tcPr>
            <w:tcW w:w="9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20" w:type="dxa"/>
            <w:vAlign w:val="bottom"/>
            <w:tcBorders>
              <w:bottom w:val="single" w:sz="8" w:color="auto"/>
            </w:tcBorders>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70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Total comprehensive</w:t>
            </w:r>
          </w:p>
        </w:tc>
        <w:tc>
          <w:tcPr>
            <w:tcW w:w="80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314,770</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income</w:t>
            </w:r>
          </w:p>
        </w:tc>
        <w:tc>
          <w:tcPr>
            <w:tcW w:w="8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EDEDEE"/>
          </w:tcPr>
          <w:p>
            <w:pPr>
              <w:ind w:left="20"/>
              <w:spacing w:after="0" w:line="136" w:lineRule="exact"/>
              <w:rPr>
                <w:sz w:val="20"/>
                <w:szCs w:val="20"/>
                <w:color w:val="auto"/>
              </w:rPr>
            </w:pPr>
            <w:r>
              <w:rPr>
                <w:rFonts w:ascii="Arial" w:cs="Arial" w:eastAsia="Arial" w:hAnsi="Arial"/>
                <w:sz w:val="13"/>
                <w:szCs w:val="13"/>
                <w:b w:val="1"/>
                <w:bCs w:val="1"/>
                <w:color w:val="auto"/>
              </w:rPr>
              <w:t>Cash dividends</w:t>
            </w:r>
          </w:p>
        </w:tc>
        <w:tc>
          <w:tcPr>
            <w:tcW w:w="80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80" w:type="dxa"/>
            <w:vAlign w:val="bottom"/>
            <w:shd w:val="clear" w:color="auto" w:fill="EDEDEE"/>
          </w:tcPr>
          <w:p>
            <w:pPr>
              <w:spacing w:after="0"/>
              <w:rPr>
                <w:sz w:val="11"/>
                <w:szCs w:val="11"/>
                <w:color w:val="auto"/>
              </w:rPr>
            </w:pPr>
          </w:p>
        </w:tc>
        <w:tc>
          <w:tcPr>
            <w:tcW w:w="760" w:type="dxa"/>
            <w:vAlign w:val="bottom"/>
            <w:shd w:val="clear" w:color="auto" w:fill="EDEDEE"/>
          </w:tcPr>
          <w:p>
            <w:pPr>
              <w:spacing w:after="0"/>
              <w:rPr>
                <w:sz w:val="11"/>
                <w:szCs w:val="11"/>
                <w:color w:val="auto"/>
              </w:rPr>
            </w:pPr>
          </w:p>
        </w:tc>
        <w:tc>
          <w:tcPr>
            <w:tcW w:w="70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160" w:type="dxa"/>
            <w:vAlign w:val="bottom"/>
            <w:shd w:val="clear" w:color="auto" w:fill="EDEDEE"/>
          </w:tcPr>
          <w:p>
            <w:pPr>
              <w:spacing w:after="0"/>
              <w:rPr>
                <w:sz w:val="11"/>
                <w:szCs w:val="11"/>
                <w:color w:val="auto"/>
              </w:rPr>
            </w:pPr>
          </w:p>
        </w:tc>
        <w:tc>
          <w:tcPr>
            <w:tcW w:w="9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auto"/>
              </w:rPr>
              <w:t>declared:</w:t>
            </w:r>
          </w:p>
        </w:tc>
        <w:tc>
          <w:tcPr>
            <w:tcW w:w="800" w:type="dxa"/>
            <w:vAlign w:val="bottom"/>
            <w:shd w:val="clear" w:color="auto" w:fill="EDEDEE"/>
          </w:tcPr>
          <w:p>
            <w:pPr>
              <w:spacing w:after="0"/>
              <w:rPr>
                <w:sz w:val="16"/>
                <w:szCs w:val="16"/>
                <w:color w:val="auto"/>
              </w:rPr>
            </w:pPr>
          </w:p>
        </w:tc>
        <w:tc>
          <w:tcPr>
            <w:tcW w:w="860" w:type="dxa"/>
            <w:vAlign w:val="bottom"/>
            <w:shd w:val="clear" w:color="auto" w:fill="EDEDEE"/>
          </w:tcPr>
          <w:p>
            <w:pPr>
              <w:spacing w:after="0"/>
              <w:rPr>
                <w:sz w:val="16"/>
                <w:szCs w:val="16"/>
                <w:color w:val="auto"/>
              </w:rPr>
            </w:pPr>
          </w:p>
        </w:tc>
        <w:tc>
          <w:tcPr>
            <w:tcW w:w="960" w:type="dxa"/>
            <w:vAlign w:val="bottom"/>
            <w:shd w:val="clear" w:color="auto" w:fill="EDEDEE"/>
          </w:tcPr>
          <w:p>
            <w:pPr>
              <w:spacing w:after="0"/>
              <w:rPr>
                <w:sz w:val="16"/>
                <w:szCs w:val="16"/>
                <w:color w:val="auto"/>
              </w:rPr>
            </w:pPr>
          </w:p>
        </w:tc>
        <w:tc>
          <w:tcPr>
            <w:tcW w:w="880" w:type="dxa"/>
            <w:vAlign w:val="bottom"/>
            <w:shd w:val="clear" w:color="auto" w:fill="EDEDEE"/>
          </w:tcPr>
          <w:p>
            <w:pPr>
              <w:spacing w:after="0"/>
              <w:rPr>
                <w:sz w:val="16"/>
                <w:szCs w:val="16"/>
                <w:color w:val="auto"/>
              </w:rPr>
            </w:pPr>
          </w:p>
        </w:tc>
        <w:tc>
          <w:tcPr>
            <w:tcW w:w="760" w:type="dxa"/>
            <w:vAlign w:val="bottom"/>
            <w:shd w:val="clear" w:color="auto" w:fill="EDEDEE"/>
          </w:tcPr>
          <w:p>
            <w:pPr>
              <w:spacing w:after="0"/>
              <w:rPr>
                <w:sz w:val="16"/>
                <w:szCs w:val="16"/>
                <w:color w:val="auto"/>
              </w:rPr>
            </w:pPr>
          </w:p>
        </w:tc>
        <w:tc>
          <w:tcPr>
            <w:tcW w:w="700" w:type="dxa"/>
            <w:vAlign w:val="bottom"/>
            <w:shd w:val="clear" w:color="auto" w:fill="EDEDEE"/>
          </w:tcPr>
          <w:p>
            <w:pPr>
              <w:spacing w:after="0"/>
              <w:rPr>
                <w:sz w:val="16"/>
                <w:szCs w:val="16"/>
                <w:color w:val="auto"/>
              </w:rPr>
            </w:pPr>
          </w:p>
        </w:tc>
        <w:tc>
          <w:tcPr>
            <w:tcW w:w="860" w:type="dxa"/>
            <w:vAlign w:val="bottom"/>
            <w:shd w:val="clear" w:color="auto" w:fill="EDEDEE"/>
          </w:tcPr>
          <w:p>
            <w:pPr>
              <w:spacing w:after="0"/>
              <w:rPr>
                <w:sz w:val="16"/>
                <w:szCs w:val="16"/>
                <w:color w:val="auto"/>
              </w:rPr>
            </w:pPr>
          </w:p>
        </w:tc>
        <w:tc>
          <w:tcPr>
            <w:tcW w:w="160" w:type="dxa"/>
            <w:vAlign w:val="bottom"/>
            <w:shd w:val="clear" w:color="auto" w:fill="EDEDEE"/>
          </w:tcPr>
          <w:p>
            <w:pPr>
              <w:spacing w:after="0"/>
              <w:rPr>
                <w:sz w:val="16"/>
                <w:szCs w:val="16"/>
                <w:color w:val="auto"/>
              </w:rPr>
            </w:pPr>
          </w:p>
        </w:tc>
        <w:tc>
          <w:tcPr>
            <w:tcW w:w="920" w:type="dxa"/>
            <w:vAlign w:val="bottom"/>
            <w:shd w:val="clear" w:color="auto" w:fill="EDEDEE"/>
          </w:tcPr>
          <w:p>
            <w:pPr>
              <w:spacing w:after="0"/>
              <w:rPr>
                <w:sz w:val="16"/>
                <w:szCs w:val="16"/>
                <w:color w:val="auto"/>
              </w:rPr>
            </w:pPr>
          </w:p>
        </w:tc>
        <w:tc>
          <w:tcPr>
            <w:tcW w:w="860" w:type="dxa"/>
            <w:vAlign w:val="bottom"/>
            <w:shd w:val="clear" w:color="auto" w:fill="EDEDEE"/>
          </w:tcPr>
          <w:p>
            <w:pPr>
              <w:spacing w:after="0"/>
              <w:rPr>
                <w:sz w:val="16"/>
                <w:szCs w:val="16"/>
                <w:color w:val="auto"/>
              </w:rPr>
            </w:pPr>
          </w:p>
        </w:tc>
        <w:tc>
          <w:tcPr>
            <w:tcW w:w="960" w:type="dxa"/>
            <w:vAlign w:val="bottom"/>
            <w:shd w:val="clear" w:color="auto" w:fill="EDEDEE"/>
          </w:tcPr>
          <w:p>
            <w:pPr>
              <w:spacing w:after="0"/>
              <w:rPr>
                <w:sz w:val="16"/>
                <w:szCs w:val="16"/>
                <w:color w:val="auto"/>
              </w:rPr>
            </w:pPr>
          </w:p>
        </w:tc>
        <w:tc>
          <w:tcPr>
            <w:tcW w:w="820" w:type="dxa"/>
            <w:vAlign w:val="bottom"/>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Common stock ($0.13</w:t>
            </w:r>
          </w:p>
        </w:tc>
        <w:tc>
          <w:tcPr>
            <w:tcW w:w="80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(27,466)</w:t>
            </w:r>
          </w:p>
        </w:tc>
        <w:tc>
          <w:tcPr>
            <w:tcW w:w="96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(27,466)</w:t>
            </w: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3"/>
                <w:szCs w:val="13"/>
                <w:b w:val="1"/>
                <w:bCs w:val="1"/>
                <w:color w:val="auto"/>
              </w:rPr>
              <w:t>per share)</w:t>
            </w:r>
          </w:p>
        </w:tc>
        <w:tc>
          <w:tcPr>
            <w:tcW w:w="8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EDEDEE"/>
          </w:tcPr>
          <w:p>
            <w:pPr>
              <w:ind w:left="140"/>
              <w:spacing w:after="0" w:line="137" w:lineRule="exact"/>
              <w:rPr>
                <w:sz w:val="20"/>
                <w:szCs w:val="20"/>
                <w:color w:val="auto"/>
              </w:rPr>
            </w:pPr>
            <w:r>
              <w:rPr>
                <w:rFonts w:ascii="Arial" w:cs="Arial" w:eastAsia="Arial" w:hAnsi="Arial"/>
                <w:sz w:val="13"/>
                <w:szCs w:val="13"/>
                <w:b w:val="1"/>
                <w:bCs w:val="1"/>
                <w:color w:val="auto"/>
              </w:rPr>
              <w:t>Preferred Stock,</w:t>
            </w:r>
          </w:p>
        </w:tc>
        <w:tc>
          <w:tcPr>
            <w:tcW w:w="80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80" w:type="dxa"/>
            <w:vAlign w:val="bottom"/>
            <w:shd w:val="clear" w:color="auto" w:fill="EDEDEE"/>
          </w:tcPr>
          <w:p>
            <w:pPr>
              <w:spacing w:after="0"/>
              <w:rPr>
                <w:sz w:val="11"/>
                <w:szCs w:val="11"/>
                <w:color w:val="auto"/>
              </w:rPr>
            </w:pPr>
          </w:p>
        </w:tc>
        <w:tc>
          <w:tcPr>
            <w:tcW w:w="760" w:type="dxa"/>
            <w:vAlign w:val="bottom"/>
            <w:shd w:val="clear" w:color="auto" w:fill="EDEDEE"/>
          </w:tcPr>
          <w:p>
            <w:pPr>
              <w:spacing w:after="0"/>
              <w:rPr>
                <w:sz w:val="11"/>
                <w:szCs w:val="11"/>
                <w:color w:val="auto"/>
              </w:rPr>
            </w:pPr>
          </w:p>
        </w:tc>
        <w:tc>
          <w:tcPr>
            <w:tcW w:w="70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160" w:type="dxa"/>
            <w:vAlign w:val="bottom"/>
            <w:shd w:val="clear" w:color="auto" w:fill="EDEDEE"/>
          </w:tcPr>
          <w:p>
            <w:pPr>
              <w:spacing w:after="0"/>
              <w:rPr>
                <w:sz w:val="11"/>
                <w:szCs w:val="11"/>
                <w:color w:val="auto"/>
              </w:rPr>
            </w:pPr>
          </w:p>
        </w:tc>
        <w:tc>
          <w:tcPr>
            <w:tcW w:w="9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EDEDEE"/>
          </w:tcPr>
          <w:p>
            <w:pPr>
              <w:ind w:left="140"/>
              <w:spacing w:after="0" w:line="135" w:lineRule="exact"/>
              <w:rPr>
                <w:sz w:val="20"/>
                <w:szCs w:val="20"/>
                <w:color w:val="auto"/>
              </w:rPr>
            </w:pPr>
            <w:r>
              <w:rPr>
                <w:rFonts w:ascii="Arial" w:cs="Arial" w:eastAsia="Arial" w:hAnsi="Arial"/>
                <w:sz w:val="13"/>
                <w:szCs w:val="13"/>
                <w:b w:val="1"/>
                <w:bCs w:val="1"/>
                <w:color w:val="auto"/>
              </w:rPr>
              <w:t>Series B ($1.58 per</w:t>
            </w:r>
          </w:p>
        </w:tc>
        <w:tc>
          <w:tcPr>
            <w:tcW w:w="80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E"/>
          </w:tcPr>
          <w:p>
            <w:pPr>
              <w:spacing w:after="0"/>
              <w:rPr>
                <w:sz w:val="11"/>
                <w:szCs w:val="11"/>
                <w:color w:val="auto"/>
              </w:rPr>
            </w:pPr>
          </w:p>
        </w:tc>
        <w:tc>
          <w:tcPr>
            <w:tcW w:w="920" w:type="dxa"/>
            <w:vAlign w:val="bottom"/>
            <w:vMerge w:val="restart"/>
            <w:shd w:val="clear" w:color="auto" w:fill="EDEDEE"/>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(3,956)</w:t>
            </w:r>
          </w:p>
        </w:tc>
        <w:tc>
          <w:tcPr>
            <w:tcW w:w="96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(3,956)</w:t>
            </w:r>
          </w:p>
        </w:tc>
        <w:tc>
          <w:tcPr>
            <w:tcW w:w="0" w:type="dxa"/>
            <w:vAlign w:val="bottom"/>
          </w:tcPr>
          <w:p>
            <w:pPr>
              <w:spacing w:after="0"/>
              <w:rPr>
                <w:sz w:val="1"/>
                <w:szCs w:val="1"/>
                <w:color w:val="auto"/>
              </w:rPr>
            </w:pPr>
          </w:p>
        </w:tc>
      </w:tr>
      <w:tr>
        <w:trPr>
          <w:trHeight w:val="189"/>
        </w:trPr>
        <w:tc>
          <w:tcPr>
            <w:tcW w:w="1700" w:type="dxa"/>
            <w:vAlign w:val="bottom"/>
            <w:shd w:val="clear" w:color="auto" w:fill="EDEDEE"/>
          </w:tcPr>
          <w:p>
            <w:pPr>
              <w:ind w:left="140"/>
              <w:spacing w:after="0"/>
              <w:rPr>
                <w:sz w:val="20"/>
                <w:szCs w:val="20"/>
                <w:color w:val="auto"/>
              </w:rPr>
            </w:pPr>
            <w:r>
              <w:rPr>
                <w:rFonts w:ascii="Arial" w:cs="Arial" w:eastAsia="Arial" w:hAnsi="Arial"/>
                <w:sz w:val="13"/>
                <w:szCs w:val="13"/>
                <w:b w:val="1"/>
                <w:bCs w:val="1"/>
                <w:color w:val="auto"/>
              </w:rPr>
              <w:t>share)</w:t>
            </w:r>
          </w:p>
        </w:tc>
        <w:tc>
          <w:tcPr>
            <w:tcW w:w="80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80" w:type="dxa"/>
            <w:vAlign w:val="bottom"/>
            <w:vMerge w:val="continue"/>
            <w:shd w:val="clear" w:color="auto" w:fill="EDEDEE"/>
          </w:tcPr>
          <w:p>
            <w:pPr>
              <w:spacing w:after="0"/>
              <w:rPr>
                <w:sz w:val="16"/>
                <w:szCs w:val="16"/>
                <w:color w:val="auto"/>
              </w:rPr>
            </w:pPr>
          </w:p>
        </w:tc>
        <w:tc>
          <w:tcPr>
            <w:tcW w:w="760" w:type="dxa"/>
            <w:vAlign w:val="bottom"/>
            <w:vMerge w:val="continue"/>
            <w:shd w:val="clear" w:color="auto" w:fill="EDEDEE"/>
          </w:tcPr>
          <w:p>
            <w:pPr>
              <w:spacing w:after="0"/>
              <w:rPr>
                <w:sz w:val="16"/>
                <w:szCs w:val="16"/>
                <w:color w:val="auto"/>
              </w:rPr>
            </w:pPr>
          </w:p>
        </w:tc>
        <w:tc>
          <w:tcPr>
            <w:tcW w:w="70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160" w:type="dxa"/>
            <w:vAlign w:val="bottom"/>
            <w:shd w:val="clear" w:color="auto" w:fill="EDEDEE"/>
          </w:tcPr>
          <w:p>
            <w:pPr>
              <w:spacing w:after="0"/>
              <w:rPr>
                <w:sz w:val="16"/>
                <w:szCs w:val="16"/>
                <w:color w:val="auto"/>
              </w:rPr>
            </w:pPr>
          </w:p>
        </w:tc>
        <w:tc>
          <w:tcPr>
            <w:tcW w:w="9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20" w:type="dxa"/>
            <w:vAlign w:val="bottom"/>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Issuance of common</w:t>
            </w:r>
          </w:p>
        </w:tc>
        <w:tc>
          <w:tcPr>
            <w:tcW w:w="80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2,224,810</w:t>
            </w:r>
          </w:p>
        </w:tc>
        <w:tc>
          <w:tcPr>
            <w:tcW w:w="9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2,224,810</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445</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1,992</w:t>
            </w:r>
          </w:p>
        </w:tc>
        <w:tc>
          <w:tcPr>
            <w:tcW w:w="160" w:type="dxa"/>
            <w:vAlign w:val="bottom"/>
          </w:tcPr>
          <w:p>
            <w:pPr>
              <w:spacing w:after="0"/>
              <w:rPr>
                <w:sz w:val="11"/>
                <w:szCs w:val="11"/>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(1,395)</w:t>
            </w:r>
          </w:p>
        </w:tc>
        <w:tc>
          <w:tcPr>
            <w:tcW w:w="96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1,042</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shares</w:t>
            </w:r>
          </w:p>
        </w:tc>
        <w:tc>
          <w:tcPr>
            <w:tcW w:w="8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EDEDEE"/>
          </w:tcPr>
          <w:p>
            <w:pPr>
              <w:ind w:left="20"/>
              <w:spacing w:after="0" w:line="136" w:lineRule="exact"/>
              <w:rPr>
                <w:sz w:val="20"/>
                <w:szCs w:val="20"/>
                <w:color w:val="auto"/>
              </w:rPr>
            </w:pPr>
            <w:r>
              <w:rPr>
                <w:rFonts w:ascii="Arial" w:cs="Arial" w:eastAsia="Arial" w:hAnsi="Arial"/>
                <w:sz w:val="13"/>
                <w:szCs w:val="13"/>
                <w:b w:val="1"/>
                <w:bCs w:val="1"/>
                <w:color w:val="auto"/>
              </w:rPr>
              <w:t>Stock-based</w:t>
            </w:r>
          </w:p>
        </w:tc>
        <w:tc>
          <w:tcPr>
            <w:tcW w:w="80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13,272</w:t>
            </w:r>
          </w:p>
        </w:tc>
        <w:tc>
          <w:tcPr>
            <w:tcW w:w="160" w:type="dxa"/>
            <w:vAlign w:val="bottom"/>
            <w:shd w:val="clear" w:color="auto" w:fill="EDEDEE"/>
          </w:tcPr>
          <w:p>
            <w:pPr>
              <w:spacing w:after="0"/>
              <w:rPr>
                <w:sz w:val="11"/>
                <w:szCs w:val="11"/>
                <w:color w:val="auto"/>
              </w:rPr>
            </w:pPr>
          </w:p>
        </w:tc>
        <w:tc>
          <w:tcPr>
            <w:tcW w:w="920" w:type="dxa"/>
            <w:vAlign w:val="bottom"/>
            <w:vMerge w:val="restart"/>
            <w:shd w:val="clear" w:color="auto" w:fill="EDEDEE"/>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13,272</w:t>
            </w:r>
          </w:p>
        </w:tc>
        <w:tc>
          <w:tcPr>
            <w:tcW w:w="0" w:type="dxa"/>
            <w:vAlign w:val="bottom"/>
          </w:tcPr>
          <w:p>
            <w:pPr>
              <w:spacing w:after="0"/>
              <w:rPr>
                <w:sz w:val="1"/>
                <w:szCs w:val="1"/>
                <w:color w:val="auto"/>
              </w:rPr>
            </w:pPr>
          </w:p>
        </w:tc>
      </w:tr>
      <w:tr>
        <w:trPr>
          <w:trHeight w:val="189"/>
        </w:trPr>
        <w:tc>
          <w:tcPr>
            <w:tcW w:w="170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auto"/>
              </w:rPr>
              <w:t>compensation expense</w:t>
            </w:r>
          </w:p>
        </w:tc>
        <w:tc>
          <w:tcPr>
            <w:tcW w:w="80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80" w:type="dxa"/>
            <w:vAlign w:val="bottom"/>
            <w:vMerge w:val="continue"/>
            <w:shd w:val="clear" w:color="auto" w:fill="EDEDEE"/>
          </w:tcPr>
          <w:p>
            <w:pPr>
              <w:spacing w:after="0"/>
              <w:rPr>
                <w:sz w:val="16"/>
                <w:szCs w:val="16"/>
                <w:color w:val="auto"/>
              </w:rPr>
            </w:pPr>
          </w:p>
        </w:tc>
        <w:tc>
          <w:tcPr>
            <w:tcW w:w="760" w:type="dxa"/>
            <w:vAlign w:val="bottom"/>
            <w:vMerge w:val="continue"/>
            <w:shd w:val="clear" w:color="auto" w:fill="EDEDEE"/>
          </w:tcPr>
          <w:p>
            <w:pPr>
              <w:spacing w:after="0"/>
              <w:rPr>
                <w:sz w:val="16"/>
                <w:szCs w:val="16"/>
                <w:color w:val="auto"/>
              </w:rPr>
            </w:pPr>
          </w:p>
        </w:tc>
        <w:tc>
          <w:tcPr>
            <w:tcW w:w="70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160" w:type="dxa"/>
            <w:vAlign w:val="bottom"/>
            <w:shd w:val="clear" w:color="auto" w:fill="EDEDEE"/>
          </w:tcPr>
          <w:p>
            <w:pPr>
              <w:spacing w:after="0"/>
              <w:rPr>
                <w:sz w:val="16"/>
                <w:szCs w:val="16"/>
                <w:color w:val="auto"/>
              </w:rPr>
            </w:pPr>
          </w:p>
        </w:tc>
        <w:tc>
          <w:tcPr>
            <w:tcW w:w="920" w:type="dxa"/>
            <w:vAlign w:val="bottom"/>
            <w:vMerge w:val="continue"/>
            <w:shd w:val="clear" w:color="auto" w:fill="EDEDEE"/>
          </w:tcPr>
          <w:p>
            <w:pPr>
              <w:spacing w:after="0"/>
              <w:rPr>
                <w:sz w:val="16"/>
                <w:szCs w:val="16"/>
                <w:color w:val="auto"/>
              </w:rPr>
            </w:pPr>
          </w:p>
        </w:tc>
        <w:tc>
          <w:tcPr>
            <w:tcW w:w="8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20" w:type="dxa"/>
            <w:vAlign w:val="bottom"/>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Common stock</w:t>
            </w:r>
          </w:p>
        </w:tc>
        <w:tc>
          <w:tcPr>
            <w:tcW w:w="80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(1,037,391)</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(1,037,391)</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33"/>
              <w:spacing w:after="0"/>
              <w:rPr>
                <w:sz w:val="20"/>
                <w:szCs w:val="20"/>
                <w:color w:val="auto"/>
              </w:rPr>
            </w:pPr>
            <w:r>
              <w:rPr>
                <w:rFonts w:ascii="Arial" w:cs="Arial" w:eastAsia="Arial" w:hAnsi="Arial"/>
                <w:sz w:val="13"/>
                <w:szCs w:val="13"/>
                <w:color w:val="auto"/>
              </w:rPr>
              <w:t>(30,756)</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(30,756)</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repurchased</w:t>
            </w:r>
          </w:p>
        </w:tc>
        <w:tc>
          <w:tcPr>
            <w:tcW w:w="8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EDEDEE"/>
          </w:tcPr>
          <w:p>
            <w:pPr>
              <w:ind w:left="20"/>
              <w:spacing w:after="0" w:line="136" w:lineRule="exact"/>
              <w:rPr>
                <w:sz w:val="20"/>
                <w:szCs w:val="20"/>
                <w:color w:val="auto"/>
              </w:rPr>
            </w:pPr>
            <w:r>
              <w:rPr>
                <w:rFonts w:ascii="Arial" w:cs="Arial" w:eastAsia="Arial" w:hAnsi="Arial"/>
                <w:sz w:val="13"/>
                <w:szCs w:val="13"/>
                <w:b w:val="1"/>
                <w:bCs w:val="1"/>
                <w:color w:val="auto"/>
              </w:rPr>
              <w:t>Shares repurchased</w:t>
            </w:r>
          </w:p>
        </w:tc>
        <w:tc>
          <w:tcPr>
            <w:tcW w:w="80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80" w:type="dxa"/>
            <w:vAlign w:val="bottom"/>
            <w:shd w:val="clear" w:color="auto" w:fill="EDEDEE"/>
          </w:tcPr>
          <w:p>
            <w:pPr>
              <w:spacing w:after="0"/>
              <w:rPr>
                <w:sz w:val="11"/>
                <w:szCs w:val="11"/>
                <w:color w:val="auto"/>
              </w:rPr>
            </w:pPr>
          </w:p>
        </w:tc>
        <w:tc>
          <w:tcPr>
            <w:tcW w:w="760" w:type="dxa"/>
            <w:vAlign w:val="bottom"/>
            <w:shd w:val="clear" w:color="auto" w:fill="EDEDEE"/>
          </w:tcPr>
          <w:p>
            <w:pPr>
              <w:spacing w:after="0"/>
              <w:rPr>
                <w:sz w:val="11"/>
                <w:szCs w:val="11"/>
                <w:color w:val="auto"/>
              </w:rPr>
            </w:pPr>
          </w:p>
        </w:tc>
        <w:tc>
          <w:tcPr>
            <w:tcW w:w="70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160" w:type="dxa"/>
            <w:vAlign w:val="bottom"/>
            <w:shd w:val="clear" w:color="auto" w:fill="EDEDEE"/>
          </w:tcPr>
          <w:p>
            <w:pPr>
              <w:spacing w:after="0"/>
              <w:rPr>
                <w:sz w:val="11"/>
                <w:szCs w:val="11"/>
                <w:color w:val="auto"/>
              </w:rPr>
            </w:pPr>
          </w:p>
        </w:tc>
        <w:tc>
          <w:tcPr>
            <w:tcW w:w="9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EDEDEE"/>
          </w:tcPr>
          <w:p>
            <w:pPr>
              <w:ind w:left="20"/>
              <w:spacing w:after="0" w:line="135" w:lineRule="exact"/>
              <w:rPr>
                <w:sz w:val="20"/>
                <w:szCs w:val="20"/>
                <w:color w:val="auto"/>
              </w:rPr>
            </w:pPr>
            <w:r>
              <w:rPr>
                <w:rFonts w:ascii="Arial" w:cs="Arial" w:eastAsia="Arial" w:hAnsi="Arial"/>
                <w:sz w:val="13"/>
                <w:szCs w:val="13"/>
                <w:b w:val="1"/>
                <w:bCs w:val="1"/>
                <w:color w:val="auto"/>
              </w:rPr>
              <w:t>related to employee</w:t>
            </w:r>
          </w:p>
        </w:tc>
        <w:tc>
          <w:tcPr>
            <w:tcW w:w="80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80" w:type="dxa"/>
            <w:vAlign w:val="bottom"/>
            <w:shd w:val="clear" w:color="auto" w:fill="EDEDEE"/>
          </w:tcPr>
          <w:p>
            <w:pPr>
              <w:spacing w:after="0"/>
              <w:rPr>
                <w:sz w:val="11"/>
                <w:szCs w:val="11"/>
                <w:color w:val="auto"/>
              </w:rPr>
            </w:pPr>
          </w:p>
        </w:tc>
        <w:tc>
          <w:tcPr>
            <w:tcW w:w="760" w:type="dxa"/>
            <w:vAlign w:val="bottom"/>
            <w:shd w:val="clear" w:color="auto" w:fill="EDEDEE"/>
          </w:tcPr>
          <w:p>
            <w:pPr>
              <w:spacing w:after="0"/>
              <w:rPr>
                <w:sz w:val="11"/>
                <w:szCs w:val="11"/>
                <w:color w:val="auto"/>
              </w:rPr>
            </w:pPr>
          </w:p>
        </w:tc>
        <w:tc>
          <w:tcPr>
            <w:tcW w:w="70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160" w:type="dxa"/>
            <w:vAlign w:val="bottom"/>
            <w:shd w:val="clear" w:color="auto" w:fill="EDEDEE"/>
          </w:tcPr>
          <w:p>
            <w:pPr>
              <w:spacing w:after="0"/>
              <w:rPr>
                <w:sz w:val="11"/>
                <w:szCs w:val="11"/>
                <w:color w:val="auto"/>
              </w:rPr>
            </w:pPr>
          </w:p>
        </w:tc>
        <w:tc>
          <w:tcPr>
            <w:tcW w:w="9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96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EDEDEE"/>
          </w:tcPr>
          <w:p>
            <w:pPr>
              <w:ind w:left="20"/>
              <w:spacing w:after="0" w:line="135" w:lineRule="exact"/>
              <w:rPr>
                <w:sz w:val="20"/>
                <w:szCs w:val="20"/>
                <w:color w:val="auto"/>
              </w:rPr>
            </w:pPr>
            <w:r>
              <w:rPr>
                <w:rFonts w:ascii="Arial" w:cs="Arial" w:eastAsia="Arial" w:hAnsi="Arial"/>
                <w:sz w:val="13"/>
                <w:szCs w:val="13"/>
                <w:b w:val="1"/>
                <w:bCs w:val="1"/>
                <w:color w:val="auto"/>
              </w:rPr>
              <w:t>stock-based</w:t>
            </w:r>
          </w:p>
        </w:tc>
        <w:tc>
          <w:tcPr>
            <w:tcW w:w="800" w:type="dxa"/>
            <w:vAlign w:val="bottom"/>
            <w:vMerge w:val="restart"/>
            <w:shd w:val="clear" w:color="auto" w:fill="EDEDEE"/>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(830,868)</w:t>
            </w:r>
          </w:p>
        </w:tc>
        <w:tc>
          <w:tcPr>
            <w:tcW w:w="88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(830,868)</w:t>
            </w:r>
          </w:p>
        </w:tc>
        <w:tc>
          <w:tcPr>
            <w:tcW w:w="7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E"/>
          </w:tcPr>
          <w:p>
            <w:pPr>
              <w:spacing w:after="0"/>
              <w:rPr>
                <w:sz w:val="11"/>
                <w:szCs w:val="11"/>
                <w:color w:val="auto"/>
              </w:rPr>
            </w:pPr>
          </w:p>
        </w:tc>
        <w:tc>
          <w:tcPr>
            <w:tcW w:w="920" w:type="dxa"/>
            <w:vAlign w:val="bottom"/>
            <w:vMerge w:val="restart"/>
            <w:shd w:val="clear" w:color="auto" w:fill="EDEDEE"/>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EDEE"/>
          </w:tcPr>
          <w:p>
            <w:pPr>
              <w:jc w:val="right"/>
              <w:ind w:right="33"/>
              <w:spacing w:after="0"/>
              <w:rPr>
                <w:sz w:val="20"/>
                <w:szCs w:val="20"/>
                <w:color w:val="auto"/>
              </w:rPr>
            </w:pPr>
            <w:r>
              <w:rPr>
                <w:rFonts w:ascii="Arial" w:cs="Arial" w:eastAsia="Arial" w:hAnsi="Arial"/>
                <w:sz w:val="13"/>
                <w:szCs w:val="13"/>
                <w:color w:val="auto"/>
              </w:rPr>
              <w:t>(25,970)</w:t>
            </w:r>
          </w:p>
        </w:tc>
        <w:tc>
          <w:tcPr>
            <w:tcW w:w="82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(25,970)</w:t>
            </w:r>
          </w:p>
        </w:tc>
        <w:tc>
          <w:tcPr>
            <w:tcW w:w="0" w:type="dxa"/>
            <w:vAlign w:val="bottom"/>
          </w:tcPr>
          <w:p>
            <w:pPr>
              <w:spacing w:after="0"/>
              <w:rPr>
                <w:sz w:val="1"/>
                <w:szCs w:val="1"/>
                <w:color w:val="auto"/>
              </w:rPr>
            </w:pPr>
          </w:p>
        </w:tc>
      </w:tr>
      <w:tr>
        <w:trPr>
          <w:trHeight w:val="189"/>
        </w:trPr>
        <w:tc>
          <w:tcPr>
            <w:tcW w:w="170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auto"/>
              </w:rPr>
              <w:t>compensation plans</w:t>
            </w:r>
          </w:p>
        </w:tc>
        <w:tc>
          <w:tcPr>
            <w:tcW w:w="800" w:type="dxa"/>
            <w:vAlign w:val="bottom"/>
            <w:tcBorders>
              <w:bottom w:val="single" w:sz="8" w:color="auto"/>
            </w:tcBorders>
            <w:vMerge w:val="continue"/>
            <w:shd w:val="clear" w:color="auto" w:fill="EDEDEE"/>
          </w:tcPr>
          <w:p>
            <w:pPr>
              <w:spacing w:after="0"/>
              <w:rPr>
                <w:sz w:val="16"/>
                <w:szCs w:val="16"/>
                <w:color w:val="auto"/>
              </w:rPr>
            </w:pPr>
          </w:p>
        </w:tc>
        <w:tc>
          <w:tcPr>
            <w:tcW w:w="860" w:type="dxa"/>
            <w:vAlign w:val="bottom"/>
            <w:tcBorders>
              <w:bottom w:val="single" w:sz="8" w:color="auto"/>
            </w:tcBorders>
            <w:vMerge w:val="continue"/>
            <w:shd w:val="clear" w:color="auto" w:fill="EDEDEE"/>
          </w:tcPr>
          <w:p>
            <w:pPr>
              <w:spacing w:after="0"/>
              <w:rPr>
                <w:sz w:val="16"/>
                <w:szCs w:val="16"/>
                <w:color w:val="auto"/>
              </w:rPr>
            </w:pPr>
          </w:p>
        </w:tc>
        <w:tc>
          <w:tcPr>
            <w:tcW w:w="960" w:type="dxa"/>
            <w:vAlign w:val="bottom"/>
            <w:tcBorders>
              <w:bottom w:val="single" w:sz="8" w:color="auto"/>
            </w:tcBorders>
            <w:vMerge w:val="continue"/>
            <w:shd w:val="clear" w:color="auto" w:fill="EDEDEE"/>
          </w:tcPr>
          <w:p>
            <w:pPr>
              <w:spacing w:after="0"/>
              <w:rPr>
                <w:sz w:val="16"/>
                <w:szCs w:val="16"/>
                <w:color w:val="auto"/>
              </w:rPr>
            </w:pPr>
          </w:p>
        </w:tc>
        <w:tc>
          <w:tcPr>
            <w:tcW w:w="880" w:type="dxa"/>
            <w:vAlign w:val="bottom"/>
            <w:tcBorders>
              <w:bottom w:val="single" w:sz="8" w:color="auto"/>
            </w:tcBorders>
            <w:vMerge w:val="continue"/>
            <w:shd w:val="clear" w:color="auto" w:fill="EDEDEE"/>
          </w:tcPr>
          <w:p>
            <w:pPr>
              <w:spacing w:after="0"/>
              <w:rPr>
                <w:sz w:val="16"/>
                <w:szCs w:val="16"/>
                <w:color w:val="auto"/>
              </w:rPr>
            </w:pPr>
          </w:p>
        </w:tc>
        <w:tc>
          <w:tcPr>
            <w:tcW w:w="760" w:type="dxa"/>
            <w:vAlign w:val="bottom"/>
            <w:tcBorders>
              <w:bottom w:val="single" w:sz="8" w:color="auto"/>
            </w:tcBorders>
            <w:vMerge w:val="continue"/>
            <w:shd w:val="clear" w:color="auto" w:fill="EDEDEE"/>
          </w:tcPr>
          <w:p>
            <w:pPr>
              <w:spacing w:after="0"/>
              <w:rPr>
                <w:sz w:val="16"/>
                <w:szCs w:val="16"/>
                <w:color w:val="auto"/>
              </w:rPr>
            </w:pPr>
          </w:p>
        </w:tc>
        <w:tc>
          <w:tcPr>
            <w:tcW w:w="700" w:type="dxa"/>
            <w:vAlign w:val="bottom"/>
            <w:tcBorders>
              <w:bottom w:val="single" w:sz="8" w:color="auto"/>
            </w:tcBorders>
            <w:vMerge w:val="continue"/>
            <w:shd w:val="clear" w:color="auto" w:fill="EDEDEE"/>
          </w:tcPr>
          <w:p>
            <w:pPr>
              <w:spacing w:after="0"/>
              <w:rPr>
                <w:sz w:val="16"/>
                <w:szCs w:val="16"/>
                <w:color w:val="auto"/>
              </w:rPr>
            </w:pPr>
          </w:p>
        </w:tc>
        <w:tc>
          <w:tcPr>
            <w:tcW w:w="860" w:type="dxa"/>
            <w:vAlign w:val="bottom"/>
            <w:tcBorders>
              <w:bottom w:val="single" w:sz="8" w:color="auto"/>
            </w:tcBorders>
            <w:vMerge w:val="continue"/>
            <w:shd w:val="clear" w:color="auto" w:fill="EDEDEE"/>
          </w:tcPr>
          <w:p>
            <w:pPr>
              <w:spacing w:after="0"/>
              <w:rPr>
                <w:sz w:val="16"/>
                <w:szCs w:val="16"/>
                <w:color w:val="auto"/>
              </w:rPr>
            </w:pPr>
          </w:p>
        </w:tc>
        <w:tc>
          <w:tcPr>
            <w:tcW w:w="160" w:type="dxa"/>
            <w:vAlign w:val="bottom"/>
            <w:tcBorders>
              <w:bottom w:val="single" w:sz="8" w:color="auto"/>
            </w:tcBorders>
            <w:shd w:val="clear" w:color="auto" w:fill="EDEDEE"/>
          </w:tcPr>
          <w:p>
            <w:pPr>
              <w:spacing w:after="0"/>
              <w:rPr>
                <w:sz w:val="16"/>
                <w:szCs w:val="16"/>
                <w:color w:val="auto"/>
              </w:rPr>
            </w:pPr>
          </w:p>
        </w:tc>
        <w:tc>
          <w:tcPr>
            <w:tcW w:w="920" w:type="dxa"/>
            <w:vAlign w:val="bottom"/>
            <w:tcBorders>
              <w:bottom w:val="single" w:sz="8" w:color="auto"/>
            </w:tcBorders>
            <w:vMerge w:val="continue"/>
            <w:shd w:val="clear" w:color="auto" w:fill="EDEDEE"/>
          </w:tcPr>
          <w:p>
            <w:pPr>
              <w:spacing w:after="0"/>
              <w:rPr>
                <w:sz w:val="16"/>
                <w:szCs w:val="16"/>
                <w:color w:val="auto"/>
              </w:rPr>
            </w:pPr>
          </w:p>
        </w:tc>
        <w:tc>
          <w:tcPr>
            <w:tcW w:w="860" w:type="dxa"/>
            <w:vAlign w:val="bottom"/>
            <w:tcBorders>
              <w:bottom w:val="single" w:sz="8" w:color="auto"/>
            </w:tcBorders>
            <w:vMerge w:val="continue"/>
            <w:shd w:val="clear" w:color="auto" w:fill="EDEDEE"/>
          </w:tcPr>
          <w:p>
            <w:pPr>
              <w:spacing w:after="0"/>
              <w:rPr>
                <w:sz w:val="16"/>
                <w:szCs w:val="16"/>
                <w:color w:val="auto"/>
              </w:rPr>
            </w:pPr>
          </w:p>
        </w:tc>
        <w:tc>
          <w:tcPr>
            <w:tcW w:w="960" w:type="dxa"/>
            <w:vAlign w:val="bottom"/>
            <w:tcBorders>
              <w:bottom w:val="single" w:sz="8" w:color="auto"/>
            </w:tcBorders>
            <w:vMerge w:val="continue"/>
            <w:shd w:val="clear" w:color="auto" w:fill="EDEDEE"/>
          </w:tcPr>
          <w:p>
            <w:pPr>
              <w:spacing w:after="0"/>
              <w:rPr>
                <w:sz w:val="16"/>
                <w:szCs w:val="16"/>
                <w:color w:val="auto"/>
              </w:rPr>
            </w:pPr>
          </w:p>
        </w:tc>
        <w:tc>
          <w:tcPr>
            <w:tcW w:w="820" w:type="dxa"/>
            <w:vAlign w:val="bottom"/>
            <w:tcBorders>
              <w:bottom w:val="single" w:sz="8" w:color="auto"/>
            </w:tcBorders>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700" w:type="dxa"/>
            <w:vAlign w:val="bottom"/>
          </w:tcPr>
          <w:p>
            <w:pPr>
              <w:ind w:left="20"/>
              <w:spacing w:after="0" w:line="115" w:lineRule="exact"/>
              <w:rPr>
                <w:sz w:val="20"/>
                <w:szCs w:val="20"/>
                <w:color w:val="auto"/>
              </w:rPr>
            </w:pPr>
            <w:r>
              <w:rPr>
                <w:rFonts w:ascii="Arial" w:cs="Arial" w:eastAsia="Arial" w:hAnsi="Arial"/>
                <w:sz w:val="13"/>
                <w:szCs w:val="13"/>
                <w:b w:val="1"/>
                <w:bCs w:val="1"/>
                <w:color w:val="144F82"/>
              </w:rPr>
              <w:t>Balance at March 31,</w:t>
            </w:r>
          </w:p>
        </w:tc>
        <w:tc>
          <w:tcPr>
            <w:tcW w:w="800" w:type="dxa"/>
            <w:vAlign w:val="bottom"/>
            <w:vMerge w:val="restart"/>
          </w:tcPr>
          <w:p>
            <w:pPr>
              <w:jc w:val="right"/>
              <w:ind w:right="73"/>
              <w:spacing w:after="0"/>
              <w:rPr>
                <w:sz w:val="20"/>
                <w:szCs w:val="20"/>
                <w:color w:val="auto"/>
              </w:rPr>
            </w:pPr>
            <w:r>
              <w:rPr>
                <w:rFonts w:ascii="Arial" w:cs="Arial" w:eastAsia="Arial" w:hAnsi="Arial"/>
                <w:sz w:val="13"/>
                <w:szCs w:val="13"/>
                <w:color w:val="auto"/>
              </w:rPr>
              <w:t>2,510,696</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442,829,605</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(232,090,760)</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210,738,845</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$ 251,070</w:t>
            </w: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$ 88,566</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$ 1,209,017</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(55,631)</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$ 4,386,169</w:t>
            </w:r>
          </w:p>
        </w:tc>
        <w:tc>
          <w:tcPr>
            <w:tcW w:w="960" w:type="dxa"/>
            <w:vAlign w:val="bottom"/>
            <w:vMerge w:val="restart"/>
          </w:tcPr>
          <w:p>
            <w:pPr>
              <w:jc w:val="right"/>
              <w:ind w:right="33"/>
              <w:spacing w:after="0"/>
              <w:rPr>
                <w:sz w:val="20"/>
                <w:szCs w:val="20"/>
                <w:color w:val="auto"/>
              </w:rPr>
            </w:pPr>
            <w:r>
              <w:rPr>
                <w:rFonts w:ascii="Arial" w:cs="Arial" w:eastAsia="Arial" w:hAnsi="Arial"/>
                <w:sz w:val="13"/>
                <w:szCs w:val="13"/>
                <w:color w:val="auto"/>
              </w:rPr>
              <w:t>$ (3,478,335)</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$ 2,400,856</w:t>
            </w:r>
          </w:p>
        </w:tc>
        <w:tc>
          <w:tcPr>
            <w:tcW w:w="0" w:type="dxa"/>
            <w:vAlign w:val="bottom"/>
          </w:tcPr>
          <w:p>
            <w:pPr>
              <w:spacing w:after="0"/>
              <w:rPr>
                <w:sz w:val="1"/>
                <w:szCs w:val="1"/>
                <w:color w:val="auto"/>
              </w:rPr>
            </w:pPr>
          </w:p>
        </w:tc>
      </w:tr>
      <w:tr>
        <w:trPr>
          <w:trHeight w:val="167"/>
        </w:trPr>
        <w:tc>
          <w:tcPr>
            <w:tcW w:w="1700" w:type="dxa"/>
            <w:vAlign w:val="bottom"/>
          </w:tcPr>
          <w:p>
            <w:pPr>
              <w:ind w:left="20"/>
              <w:spacing w:after="0"/>
              <w:rPr>
                <w:sz w:val="20"/>
                <w:szCs w:val="20"/>
                <w:color w:val="auto"/>
              </w:rPr>
            </w:pPr>
            <w:r>
              <w:rPr>
                <w:rFonts w:ascii="Arial" w:cs="Arial" w:eastAsia="Arial" w:hAnsi="Arial"/>
                <w:sz w:val="13"/>
                <w:szCs w:val="13"/>
                <w:b w:val="1"/>
                <w:bCs w:val="1"/>
                <w:color w:val="144F82"/>
              </w:rPr>
              <w:t>2025</w:t>
            </w:r>
          </w:p>
        </w:tc>
        <w:tc>
          <w:tcPr>
            <w:tcW w:w="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34F82"/>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4"/>
          <w:szCs w:val="14"/>
          <w:b w:val="1"/>
          <w:bCs w:val="1"/>
          <w:color w:val="144F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6155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5055" cy="8890"/>
                    </a:xfrm>
                    <a:prstGeom prst="rect">
                      <a:avLst/>
                    </a:prstGeom>
                    <a:noFill/>
                  </pic:spPr>
                </pic:pic>
              </a:graphicData>
            </a:graphic>
          </wp:anchor>
        </w:drawing>
      </w:r>
    </w:p>
    <w:p>
      <w:pPr>
        <w:spacing w:after="0" w:line="29" w:lineRule="exact"/>
        <w:rPr>
          <w:sz w:val="20"/>
          <w:szCs w:val="20"/>
          <w:color w:val="auto"/>
        </w:rPr>
      </w:pPr>
    </w:p>
    <w:p>
      <w:pPr>
        <w:ind w:left="7840"/>
        <w:spacing w:after="0"/>
        <w:rPr>
          <w:sz w:val="20"/>
          <w:szCs w:val="20"/>
          <w:color w:val="auto"/>
        </w:rPr>
      </w:pPr>
      <w:r>
        <w:rPr>
          <w:rFonts w:ascii="Arial" w:cs="Arial" w:eastAsia="Arial" w:hAnsi="Arial"/>
          <w:sz w:val="13"/>
          <w:szCs w:val="13"/>
          <w:b w:val="1"/>
          <w:bCs w:val="1"/>
          <w:color w:val="144F82"/>
        </w:rPr>
        <w:t>Three Months Ended</w:t>
      </w: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144F82"/>
              </w:rPr>
              <w:t>March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144F82"/>
              </w:rPr>
              <w:t>2025</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144F82"/>
              </w:rPr>
              <w:t>2024</w:t>
            </w:r>
          </w:p>
        </w:tc>
        <w:tc>
          <w:tcPr>
            <w:tcW w:w="0" w:type="dxa"/>
            <w:vAlign w:val="bottom"/>
          </w:tcPr>
          <w:p>
            <w:pPr>
              <w:spacing w:after="0"/>
              <w:rPr>
                <w:sz w:val="1"/>
                <w:szCs w:val="1"/>
                <w:color w:val="auto"/>
              </w:rPr>
            </w:pPr>
          </w:p>
        </w:tc>
      </w:tr>
      <w:tr>
        <w:trPr>
          <w:trHeight w:val="184"/>
        </w:trPr>
        <w:tc>
          <w:tcPr>
            <w:tcW w:w="736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144F82"/>
              </w:rPr>
              <w:t>Operating activities</w:t>
            </w:r>
          </w:p>
        </w:tc>
        <w:tc>
          <w:tcPr>
            <w:tcW w:w="240" w:type="dxa"/>
            <w:vAlign w:val="bottom"/>
            <w:shd w:val="clear" w:color="auto" w:fill="EDEDEE"/>
          </w:tcPr>
          <w:p>
            <w:pPr>
              <w:spacing w:after="0"/>
              <w:rPr>
                <w:sz w:val="15"/>
                <w:szCs w:val="15"/>
                <w:color w:val="auto"/>
              </w:rPr>
            </w:pPr>
          </w:p>
        </w:tc>
        <w:tc>
          <w:tcPr>
            <w:tcW w:w="880" w:type="dxa"/>
            <w:vAlign w:val="bottom"/>
            <w:shd w:val="clear" w:color="auto" w:fill="EDEDEE"/>
          </w:tcPr>
          <w:p>
            <w:pPr>
              <w:spacing w:after="0"/>
              <w:rPr>
                <w:sz w:val="15"/>
                <w:szCs w:val="15"/>
                <w:color w:val="auto"/>
              </w:rPr>
            </w:pPr>
          </w:p>
        </w:tc>
        <w:tc>
          <w:tcPr>
            <w:tcW w:w="100" w:type="dxa"/>
            <w:vAlign w:val="bottom"/>
            <w:shd w:val="clear" w:color="auto" w:fill="EDEDEE"/>
          </w:tcPr>
          <w:p>
            <w:pPr>
              <w:spacing w:after="0"/>
              <w:rPr>
                <w:sz w:val="15"/>
                <w:szCs w:val="15"/>
                <w:color w:val="auto"/>
              </w:rPr>
            </w:pPr>
          </w:p>
        </w:tc>
        <w:tc>
          <w:tcPr>
            <w:tcW w:w="340" w:type="dxa"/>
            <w:vAlign w:val="bottom"/>
            <w:shd w:val="clear" w:color="auto" w:fill="EDEDEE"/>
          </w:tcPr>
          <w:p>
            <w:pPr>
              <w:spacing w:after="0"/>
              <w:rPr>
                <w:sz w:val="15"/>
                <w:szCs w:val="15"/>
                <w:color w:val="auto"/>
              </w:rPr>
            </w:pPr>
          </w:p>
        </w:tc>
        <w:tc>
          <w:tcPr>
            <w:tcW w:w="780" w:type="dxa"/>
            <w:vAlign w:val="bottom"/>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60" w:type="dxa"/>
            <w:vAlign w:val="bottom"/>
          </w:tcPr>
          <w:p>
            <w:pPr>
              <w:ind w:left="20"/>
              <w:spacing w:after="0"/>
              <w:rPr>
                <w:sz w:val="20"/>
                <w:szCs w:val="20"/>
                <w:color w:val="auto"/>
              </w:rPr>
            </w:pPr>
            <w:r>
              <w:rPr>
                <w:rFonts w:ascii="Arial" w:cs="Arial" w:eastAsia="Arial" w:hAnsi="Arial"/>
                <w:sz w:val="13"/>
                <w:szCs w:val="13"/>
                <w:b w:val="1"/>
                <w:bCs w:val="1"/>
                <w:color w:val="144F82"/>
              </w:rPr>
              <w:t>Net income</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304,540</w:t>
            </w: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289,931</w:t>
            </w:r>
          </w:p>
        </w:tc>
        <w:tc>
          <w:tcPr>
            <w:tcW w:w="0" w:type="dxa"/>
            <w:vAlign w:val="bottom"/>
          </w:tcPr>
          <w:p>
            <w:pPr>
              <w:spacing w:after="0"/>
              <w:rPr>
                <w:sz w:val="1"/>
                <w:szCs w:val="1"/>
                <w:color w:val="auto"/>
              </w:rPr>
            </w:pPr>
          </w:p>
        </w:tc>
      </w:tr>
      <w:tr>
        <w:trPr>
          <w:trHeight w:val="190"/>
        </w:trPr>
        <w:tc>
          <w:tcPr>
            <w:tcW w:w="7360" w:type="dxa"/>
            <w:vAlign w:val="bottom"/>
            <w:shd w:val="clear" w:color="auto" w:fill="EDEDEE"/>
          </w:tcPr>
          <w:p>
            <w:pPr>
              <w:ind w:left="20"/>
              <w:spacing w:after="0"/>
              <w:rPr>
                <w:sz w:val="20"/>
                <w:szCs w:val="20"/>
                <w:color w:val="auto"/>
              </w:rPr>
            </w:pPr>
            <w:r>
              <w:rPr>
                <w:rFonts w:ascii="Arial" w:cs="Arial" w:eastAsia="Arial" w:hAnsi="Arial"/>
                <w:sz w:val="13"/>
                <w:szCs w:val="13"/>
                <w:color w:val="auto"/>
              </w:rPr>
              <w:t>Adjustments to reconcile net income to net cash used in operating activities:</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spacing w:after="0"/>
              <w:rPr>
                <w:sz w:val="16"/>
                <w:szCs w:val="16"/>
                <w:color w:val="auto"/>
              </w:rPr>
            </w:pP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Provisions for credit losses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23,286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12,041</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Income tax expense</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98,579</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97,554</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Amortization of brokered deposit placement fee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2,803</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Amortization of Secured Borrowing Facility upfront fee</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713</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Amortization of deferred loan origination costs and loan premium/(discounts), net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3,806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3,229</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Net amortization of discount on investments</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Depreciation of premises and equipment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4,705</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Acquired intangible assets amortization expense</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1,021</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1,215</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13,272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13,790</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Unrealized (gains) losses on derivatives and hedging activities, net</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Gains on sales of loans, net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(187,735)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(143,039)</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(Gains) losses on securities, net</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10,378</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(2,118)</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Other adjustments to net income, net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2,939</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spacing w:after="0"/>
              <w:rPr>
                <w:sz w:val="16"/>
                <w:szCs w:val="16"/>
                <w:color w:val="auto"/>
              </w:rPr>
            </w:pP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Increase in accrued interest receivable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(296,543)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(287,000)</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Increase in trading investments</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(812)</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Increase in non-marketable securities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Decrease in other interest-earning assets</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1,497</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1,657</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Increase in other assets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(46,659)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(23,046)</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Decrease in income taxes payable, net</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(11,493)</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(6,463)</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Decrease in accrued interest payable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(26,984)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(15,738)</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Decrease in other liabilities</w:t>
            </w:r>
          </w:p>
        </w:tc>
        <w:tc>
          <w:tcPr>
            <w:tcW w:w="240" w:type="dxa"/>
            <w:vAlign w:val="bottom"/>
            <w:tcBorders>
              <w:bottom w:val="single" w:sz="8" w:color="auto"/>
            </w:tcBorders>
            <w:shd w:val="clear" w:color="auto" w:fill="EDEDEE"/>
          </w:tcPr>
          <w:p>
            <w:pPr>
              <w:spacing w:after="0"/>
              <w:rPr>
                <w:sz w:val="16"/>
                <w:szCs w:val="16"/>
                <w:color w:val="auto"/>
              </w:rPr>
            </w:pPr>
          </w:p>
        </w:tc>
        <w:tc>
          <w:tcPr>
            <w:tcW w:w="8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(42,714)</w:t>
            </w:r>
          </w:p>
        </w:tc>
        <w:tc>
          <w:tcPr>
            <w:tcW w:w="100" w:type="dxa"/>
            <w:vAlign w:val="bottom"/>
            <w:tcBorders>
              <w:bottom w:val="single" w:sz="8" w:color="auto"/>
            </w:tcBorders>
            <w:shd w:val="clear" w:color="auto" w:fill="EDEDEE"/>
          </w:tcPr>
          <w:p>
            <w:pPr>
              <w:spacing w:after="0"/>
              <w:rPr>
                <w:sz w:val="16"/>
                <w:szCs w:val="16"/>
                <w:color w:val="auto"/>
              </w:rPr>
            </w:pPr>
          </w:p>
        </w:tc>
        <w:tc>
          <w:tcPr>
            <w:tcW w:w="340" w:type="dxa"/>
            <w:vAlign w:val="bottom"/>
            <w:tcBorders>
              <w:bottom w:val="single" w:sz="8" w:color="auto"/>
            </w:tcBorders>
            <w:shd w:val="clear" w:color="auto" w:fill="EDEDEE"/>
          </w:tcPr>
          <w:p>
            <w:pPr>
              <w:spacing w:after="0"/>
              <w:rPr>
                <w:sz w:val="16"/>
                <w:szCs w:val="16"/>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(29,020)</w:t>
            </w:r>
          </w:p>
        </w:tc>
        <w:tc>
          <w:tcPr>
            <w:tcW w:w="0" w:type="dxa"/>
            <w:vAlign w:val="bottom"/>
          </w:tcPr>
          <w:p>
            <w:pPr>
              <w:spacing w:after="0"/>
              <w:rPr>
                <w:sz w:val="1"/>
                <w:szCs w:val="1"/>
                <w:color w:val="auto"/>
              </w:rPr>
            </w:pPr>
          </w:p>
        </w:tc>
      </w:tr>
      <w:tr>
        <w:trPr>
          <w:trHeight w:val="177"/>
        </w:trPr>
        <w:tc>
          <w:tcPr>
            <w:tcW w:w="7360" w:type="dxa"/>
            <w:vAlign w:val="bottom"/>
            <w:tcBorders>
              <w:bottom w:val="single" w:sz="8" w:color="EDEDEE"/>
            </w:tcBorders>
          </w:tcPr>
          <w:p>
            <w:pPr>
              <w:ind w:left="340"/>
              <w:spacing w:after="0"/>
              <w:rPr>
                <w:sz w:val="20"/>
                <w:szCs w:val="20"/>
                <w:color w:val="auto"/>
              </w:rPr>
            </w:pPr>
            <w:r>
              <w:rPr>
                <w:rFonts w:ascii="Arial" w:cs="Arial" w:eastAsia="Arial" w:hAnsi="Arial"/>
                <w:sz w:val="13"/>
                <w:szCs w:val="13"/>
                <w:color w:val="auto"/>
              </w:rPr>
              <w:t>Total adjustments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(450,591)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(366,642)</w:t>
            </w:r>
          </w:p>
        </w:tc>
        <w:tc>
          <w:tcPr>
            <w:tcW w:w="0" w:type="dxa"/>
            <w:vAlign w:val="bottom"/>
          </w:tcPr>
          <w:p>
            <w:pPr>
              <w:spacing w:after="0"/>
              <w:rPr>
                <w:sz w:val="1"/>
                <w:szCs w:val="1"/>
                <w:color w:val="auto"/>
              </w:rPr>
            </w:pPr>
          </w:p>
        </w:tc>
      </w:tr>
      <w:tr>
        <w:trPr>
          <w:trHeight w:val="188"/>
        </w:trPr>
        <w:tc>
          <w:tcPr>
            <w:tcW w:w="736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144F82"/>
              </w:rPr>
              <w:t>Total net cash used in operating activities</w:t>
            </w:r>
          </w:p>
        </w:tc>
        <w:tc>
          <w:tcPr>
            <w:tcW w:w="240" w:type="dxa"/>
            <w:vAlign w:val="bottom"/>
            <w:tcBorders>
              <w:bottom w:val="single" w:sz="8" w:color="auto"/>
            </w:tcBorders>
            <w:shd w:val="clear" w:color="auto" w:fill="EDEDEE"/>
          </w:tcPr>
          <w:p>
            <w:pPr>
              <w:spacing w:after="0"/>
              <w:rPr>
                <w:sz w:val="16"/>
                <w:szCs w:val="16"/>
                <w:color w:val="auto"/>
              </w:rPr>
            </w:pPr>
          </w:p>
        </w:tc>
        <w:tc>
          <w:tcPr>
            <w:tcW w:w="8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(146,051)</w:t>
            </w:r>
          </w:p>
        </w:tc>
        <w:tc>
          <w:tcPr>
            <w:tcW w:w="100" w:type="dxa"/>
            <w:vAlign w:val="bottom"/>
            <w:tcBorders>
              <w:bottom w:val="single" w:sz="8" w:color="auto"/>
            </w:tcBorders>
            <w:shd w:val="clear" w:color="auto" w:fill="EDEDEE"/>
          </w:tcPr>
          <w:p>
            <w:pPr>
              <w:spacing w:after="0"/>
              <w:rPr>
                <w:sz w:val="16"/>
                <w:szCs w:val="16"/>
                <w:color w:val="auto"/>
              </w:rPr>
            </w:pPr>
          </w:p>
        </w:tc>
        <w:tc>
          <w:tcPr>
            <w:tcW w:w="340" w:type="dxa"/>
            <w:vAlign w:val="bottom"/>
            <w:tcBorders>
              <w:bottom w:val="single" w:sz="8" w:color="auto"/>
            </w:tcBorders>
            <w:shd w:val="clear" w:color="auto" w:fill="EDEDEE"/>
          </w:tcPr>
          <w:p>
            <w:pPr>
              <w:spacing w:after="0"/>
              <w:rPr>
                <w:sz w:val="16"/>
                <w:szCs w:val="16"/>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(76,711)</w:t>
            </w:r>
          </w:p>
        </w:tc>
        <w:tc>
          <w:tcPr>
            <w:tcW w:w="0" w:type="dxa"/>
            <w:vAlign w:val="bottom"/>
          </w:tcPr>
          <w:p>
            <w:pPr>
              <w:spacing w:after="0"/>
              <w:rPr>
                <w:sz w:val="1"/>
                <w:szCs w:val="1"/>
                <w:color w:val="auto"/>
              </w:rPr>
            </w:pPr>
          </w:p>
        </w:tc>
      </w:tr>
      <w:tr>
        <w:trPr>
          <w:trHeight w:val="168"/>
        </w:trPr>
        <w:tc>
          <w:tcPr>
            <w:tcW w:w="7360" w:type="dxa"/>
            <w:vAlign w:val="bottom"/>
          </w:tcPr>
          <w:p>
            <w:pPr>
              <w:ind w:left="20"/>
              <w:spacing w:after="0"/>
              <w:rPr>
                <w:sz w:val="20"/>
                <w:szCs w:val="20"/>
                <w:color w:val="auto"/>
              </w:rPr>
            </w:pPr>
            <w:r>
              <w:rPr>
                <w:rFonts w:ascii="Arial" w:cs="Arial" w:eastAsia="Arial" w:hAnsi="Arial"/>
                <w:sz w:val="13"/>
                <w:szCs w:val="13"/>
                <w:b w:val="1"/>
                <w:bCs w:val="1"/>
                <w:color w:val="144F82"/>
              </w:rPr>
              <w:t>Investing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Loans acquired and originated</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(2,783,336)</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(2,593,293)</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Net proceeds from sales of loans held for investment and loans held for sale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2,208,600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2,149,774</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Proceeds from FFELP Loan claim payments</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10,819</w:t>
            </w:r>
          </w:p>
        </w:tc>
        <w:tc>
          <w:tcPr>
            <w:tcW w:w="0" w:type="dxa"/>
            <w:vAlign w:val="bottom"/>
          </w:tcPr>
          <w:p>
            <w:pPr>
              <w:spacing w:after="0"/>
              <w:rPr>
                <w:sz w:val="1"/>
                <w:szCs w:val="1"/>
                <w:color w:val="auto"/>
              </w:rPr>
            </w:pPr>
          </w:p>
        </w:tc>
      </w:tr>
      <w:tr>
        <w:trPr>
          <w:trHeight w:val="136"/>
        </w:trPr>
        <w:tc>
          <w:tcPr>
            <w:tcW w:w="7360" w:type="dxa"/>
            <w:vAlign w:val="bottom"/>
          </w:tcPr>
          <w:p>
            <w:pPr>
              <w:ind w:left="140"/>
              <w:spacing w:after="0" w:line="136" w:lineRule="exact"/>
              <w:rPr>
                <w:sz w:val="20"/>
                <w:szCs w:val="20"/>
                <w:color w:val="auto"/>
              </w:rPr>
            </w:pPr>
            <w:r>
              <w:rPr>
                <w:rFonts w:ascii="Arial" w:cs="Arial" w:eastAsia="Arial" w:hAnsi="Arial"/>
                <w:sz w:val="13"/>
                <w:szCs w:val="13"/>
                <w:color w:val="auto"/>
              </w:rPr>
              <w:t>Net decrease in loans held for investment and loans held for sale (other than loans acquired and originated, and loan</w:t>
            </w: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774,483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ind w:right="13"/>
              <w:spacing w:after="0"/>
              <w:rPr>
                <w:sz w:val="20"/>
                <w:szCs w:val="20"/>
                <w:color w:val="auto"/>
              </w:rPr>
            </w:pPr>
            <w:r>
              <w:rPr>
                <w:rFonts w:ascii="Arial" w:cs="Arial" w:eastAsia="Arial" w:hAnsi="Arial"/>
                <w:sz w:val="13"/>
                <w:szCs w:val="13"/>
                <w:color w:val="auto"/>
              </w:rPr>
              <w:t>751,120</w:t>
            </w:r>
          </w:p>
        </w:tc>
        <w:tc>
          <w:tcPr>
            <w:tcW w:w="0" w:type="dxa"/>
            <w:vAlign w:val="bottom"/>
          </w:tcPr>
          <w:p>
            <w:pPr>
              <w:spacing w:after="0"/>
              <w:rPr>
                <w:sz w:val="1"/>
                <w:szCs w:val="1"/>
                <w:color w:val="auto"/>
              </w:rPr>
            </w:pPr>
          </w:p>
        </w:tc>
      </w:tr>
      <w:tr>
        <w:trPr>
          <w:trHeight w:val="182"/>
        </w:trPr>
        <w:tc>
          <w:tcPr>
            <w:tcW w:w="7360" w:type="dxa"/>
            <w:vAlign w:val="bottom"/>
          </w:tcPr>
          <w:p>
            <w:pPr>
              <w:ind w:left="140"/>
              <w:spacing w:after="0"/>
              <w:rPr>
                <w:sz w:val="20"/>
                <w:szCs w:val="20"/>
                <w:color w:val="auto"/>
              </w:rPr>
            </w:pPr>
            <w:r>
              <w:rPr>
                <w:rFonts w:ascii="Arial" w:cs="Arial" w:eastAsia="Arial" w:hAnsi="Arial"/>
                <w:sz w:val="13"/>
                <w:szCs w:val="13"/>
                <w:color w:val="auto"/>
              </w:rPr>
              <w:t>sales)</w:t>
            </w: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Purchases of available-for-sale securities</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(38,174)</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(25,790)</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EDEDEE"/>
            </w:tcBorders>
          </w:tcPr>
          <w:p>
            <w:pPr>
              <w:ind w:left="140"/>
              <w:spacing w:after="0"/>
              <w:rPr>
                <w:sz w:val="20"/>
                <w:szCs w:val="20"/>
                <w:color w:val="auto"/>
              </w:rPr>
            </w:pPr>
            <w:r>
              <w:rPr>
                <w:rFonts w:ascii="Arial" w:cs="Arial" w:eastAsia="Arial" w:hAnsi="Arial"/>
                <w:sz w:val="13"/>
                <w:szCs w:val="13"/>
                <w:color w:val="auto"/>
              </w:rPr>
              <w:t>Proceeds from sales and maturities of available-for-sale securities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335,355</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279,700</w:t>
            </w:r>
          </w:p>
        </w:tc>
        <w:tc>
          <w:tcPr>
            <w:tcW w:w="0" w:type="dxa"/>
            <w:vAlign w:val="bottom"/>
          </w:tcPr>
          <w:p>
            <w:pPr>
              <w:spacing w:after="0"/>
              <w:rPr>
                <w:sz w:val="1"/>
                <w:szCs w:val="1"/>
                <w:color w:val="auto"/>
              </w:rPr>
            </w:pPr>
          </w:p>
        </w:tc>
      </w:tr>
      <w:tr>
        <w:trPr>
          <w:trHeight w:val="188"/>
        </w:trPr>
        <w:tc>
          <w:tcPr>
            <w:tcW w:w="736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144F82"/>
              </w:rPr>
              <w:t>Total net cash provided by investing activities</w:t>
            </w:r>
          </w:p>
        </w:tc>
        <w:tc>
          <w:tcPr>
            <w:tcW w:w="240" w:type="dxa"/>
            <w:vAlign w:val="bottom"/>
            <w:tcBorders>
              <w:bottom w:val="single" w:sz="8" w:color="auto"/>
            </w:tcBorders>
            <w:shd w:val="clear" w:color="auto" w:fill="EDEDEE"/>
          </w:tcPr>
          <w:p>
            <w:pPr>
              <w:spacing w:after="0"/>
              <w:rPr>
                <w:sz w:val="16"/>
                <w:szCs w:val="16"/>
                <w:color w:val="auto"/>
              </w:rPr>
            </w:pPr>
          </w:p>
        </w:tc>
        <w:tc>
          <w:tcPr>
            <w:tcW w:w="8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496,928</w:t>
            </w:r>
          </w:p>
        </w:tc>
        <w:tc>
          <w:tcPr>
            <w:tcW w:w="100" w:type="dxa"/>
            <w:vAlign w:val="bottom"/>
            <w:tcBorders>
              <w:bottom w:val="single" w:sz="8" w:color="auto"/>
            </w:tcBorders>
            <w:shd w:val="clear" w:color="auto" w:fill="EDEDEE"/>
          </w:tcPr>
          <w:p>
            <w:pPr>
              <w:spacing w:after="0"/>
              <w:rPr>
                <w:sz w:val="16"/>
                <w:szCs w:val="16"/>
                <w:color w:val="auto"/>
              </w:rPr>
            </w:pPr>
          </w:p>
        </w:tc>
        <w:tc>
          <w:tcPr>
            <w:tcW w:w="340" w:type="dxa"/>
            <w:vAlign w:val="bottom"/>
            <w:tcBorders>
              <w:bottom w:val="single" w:sz="8" w:color="auto"/>
            </w:tcBorders>
            <w:shd w:val="clear" w:color="auto" w:fill="EDEDEE"/>
          </w:tcPr>
          <w:p>
            <w:pPr>
              <w:spacing w:after="0"/>
              <w:rPr>
                <w:sz w:val="16"/>
                <w:szCs w:val="16"/>
                <w:color w:val="auto"/>
              </w:rPr>
            </w:pPr>
          </w:p>
        </w:tc>
        <w:tc>
          <w:tcPr>
            <w:tcW w:w="780" w:type="dxa"/>
            <w:vAlign w:val="bottom"/>
            <w:tcBorders>
              <w:bottom w:val="single" w:sz="8" w:color="auto"/>
            </w:tcBorders>
            <w:shd w:val="clear" w:color="auto" w:fill="EDEDEE"/>
          </w:tcPr>
          <w:p>
            <w:pPr>
              <w:jc w:val="right"/>
              <w:ind w:right="13"/>
              <w:spacing w:after="0"/>
              <w:rPr>
                <w:sz w:val="20"/>
                <w:szCs w:val="20"/>
                <w:color w:val="auto"/>
              </w:rPr>
            </w:pPr>
            <w:r>
              <w:rPr>
                <w:rFonts w:ascii="Arial" w:cs="Arial" w:eastAsia="Arial" w:hAnsi="Arial"/>
                <w:sz w:val="13"/>
                <w:szCs w:val="13"/>
                <w:color w:val="auto"/>
              </w:rPr>
              <w:t>572,330</w:t>
            </w:r>
          </w:p>
        </w:tc>
        <w:tc>
          <w:tcPr>
            <w:tcW w:w="0" w:type="dxa"/>
            <w:vAlign w:val="bottom"/>
          </w:tcPr>
          <w:p>
            <w:pPr>
              <w:spacing w:after="0"/>
              <w:rPr>
                <w:sz w:val="1"/>
                <w:szCs w:val="1"/>
                <w:color w:val="auto"/>
              </w:rPr>
            </w:pPr>
          </w:p>
        </w:tc>
      </w:tr>
      <w:tr>
        <w:trPr>
          <w:trHeight w:val="168"/>
        </w:trPr>
        <w:tc>
          <w:tcPr>
            <w:tcW w:w="7360" w:type="dxa"/>
            <w:vAlign w:val="bottom"/>
          </w:tcPr>
          <w:p>
            <w:pPr>
              <w:ind w:left="20"/>
              <w:spacing w:after="0"/>
              <w:rPr>
                <w:sz w:val="20"/>
                <w:szCs w:val="20"/>
                <w:color w:val="auto"/>
              </w:rPr>
            </w:pPr>
            <w:r>
              <w:rPr>
                <w:rFonts w:ascii="Arial" w:cs="Arial" w:eastAsia="Arial" w:hAnsi="Arial"/>
                <w:sz w:val="13"/>
                <w:szCs w:val="13"/>
                <w:b w:val="1"/>
                <w:bCs w:val="1"/>
                <w:color w:val="144F82"/>
              </w:rPr>
              <w:t>Financing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Net (decrease) increase in certificates of deposit</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(889,195)</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31,555</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Net decrease in other deposits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(109,679)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(787,295)</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Issuance costs for collateralized borrowings</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Borrowings collateralized by loans in securitization trusts - repaid</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(288,840)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(253,176)</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Issuance costs for unsecured debt offering</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(1,609)</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360" w:type="dxa"/>
            <w:vAlign w:val="bottom"/>
          </w:tcPr>
          <w:p>
            <w:pPr>
              <w:ind w:left="140"/>
              <w:spacing w:after="0"/>
              <w:rPr>
                <w:sz w:val="20"/>
                <w:szCs w:val="20"/>
                <w:color w:val="auto"/>
              </w:rPr>
            </w:pPr>
            <w:r>
              <w:rPr>
                <w:rFonts w:ascii="Arial" w:cs="Arial" w:eastAsia="Arial" w:hAnsi="Arial"/>
                <w:sz w:val="13"/>
                <w:szCs w:val="13"/>
                <w:color w:val="auto"/>
              </w:rPr>
              <w:t>Unsecured debt issued</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493,885</w:t>
            </w:r>
          </w:p>
        </w:tc>
        <w:tc>
          <w:tcPr>
            <w:tcW w:w="100" w:type="dxa"/>
            <w:vAlign w:val="bottom"/>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Unsecured debt repaid</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Common stock dividends paid</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(27,466)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(24,278)</w:t>
            </w:r>
          </w:p>
        </w:tc>
        <w:tc>
          <w:tcPr>
            <w:tcW w:w="0" w:type="dxa"/>
            <w:vAlign w:val="bottom"/>
          </w:tcPr>
          <w:p>
            <w:pPr>
              <w:spacing w:after="0"/>
              <w:rPr>
                <w:sz w:val="1"/>
                <w:szCs w:val="1"/>
                <w:color w:val="auto"/>
              </w:rPr>
            </w:pP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Preferred stock dividends paid</w:t>
            </w:r>
          </w:p>
        </w:tc>
        <w:tc>
          <w:tcPr>
            <w:tcW w:w="240" w:type="dxa"/>
            <w:vAlign w:val="bottom"/>
            <w:shd w:val="clear" w:color="auto" w:fill="EDEDEE"/>
          </w:tcPr>
          <w:p>
            <w:pPr>
              <w:spacing w:after="0"/>
              <w:rPr>
                <w:sz w:val="16"/>
                <w:szCs w:val="16"/>
                <w:color w:val="auto"/>
              </w:rPr>
            </w:pPr>
          </w:p>
        </w:tc>
        <w:tc>
          <w:tcPr>
            <w:tcW w:w="8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(3,956)</w:t>
            </w:r>
          </w:p>
        </w:tc>
        <w:tc>
          <w:tcPr>
            <w:tcW w:w="100" w:type="dxa"/>
            <w:vAlign w:val="bottom"/>
            <w:shd w:val="clear" w:color="auto" w:fill="EDEDEE"/>
          </w:tcPr>
          <w:p>
            <w:pPr>
              <w:spacing w:after="0"/>
              <w:rPr>
                <w:sz w:val="16"/>
                <w:szCs w:val="16"/>
                <w:color w:val="auto"/>
              </w:rPr>
            </w:pPr>
          </w:p>
        </w:tc>
        <w:tc>
          <w:tcPr>
            <w:tcW w:w="340" w:type="dxa"/>
            <w:vAlign w:val="bottom"/>
            <w:shd w:val="clear" w:color="auto" w:fill="EDEDEE"/>
          </w:tcPr>
          <w:p>
            <w:pPr>
              <w:spacing w:after="0"/>
              <w:rPr>
                <w:sz w:val="16"/>
                <w:szCs w:val="16"/>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(4,653)</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EDEDEE"/>
            </w:tcBorders>
          </w:tcPr>
          <w:p>
            <w:pPr>
              <w:ind w:left="140"/>
              <w:spacing w:after="0"/>
              <w:rPr>
                <w:sz w:val="20"/>
                <w:szCs w:val="20"/>
                <w:color w:val="auto"/>
              </w:rPr>
            </w:pPr>
            <w:r>
              <w:rPr>
                <w:rFonts w:ascii="Arial" w:cs="Arial" w:eastAsia="Arial" w:hAnsi="Arial"/>
                <w:sz w:val="13"/>
                <w:szCs w:val="13"/>
                <w:color w:val="auto"/>
              </w:rPr>
              <w:t>Common stock repurchased</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(29,696)</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(25,457)</w:t>
            </w:r>
          </w:p>
        </w:tc>
        <w:tc>
          <w:tcPr>
            <w:tcW w:w="0" w:type="dxa"/>
            <w:vAlign w:val="bottom"/>
          </w:tcPr>
          <w:p>
            <w:pPr>
              <w:spacing w:after="0"/>
              <w:rPr>
                <w:sz w:val="1"/>
                <w:szCs w:val="1"/>
                <w:color w:val="auto"/>
              </w:rPr>
            </w:pPr>
          </w:p>
        </w:tc>
      </w:tr>
      <w:tr>
        <w:trPr>
          <w:trHeight w:val="188"/>
        </w:trPr>
        <w:tc>
          <w:tcPr>
            <w:tcW w:w="736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144F82"/>
              </w:rPr>
              <w:t>Total net cash used in financing activities</w:t>
            </w:r>
          </w:p>
        </w:tc>
        <w:tc>
          <w:tcPr>
            <w:tcW w:w="240" w:type="dxa"/>
            <w:vAlign w:val="bottom"/>
            <w:tcBorders>
              <w:bottom w:val="single" w:sz="8" w:color="auto"/>
            </w:tcBorders>
            <w:shd w:val="clear" w:color="auto" w:fill="EDEDEE"/>
          </w:tcPr>
          <w:p>
            <w:pPr>
              <w:spacing w:after="0"/>
              <w:rPr>
                <w:sz w:val="16"/>
                <w:szCs w:val="16"/>
                <w:color w:val="auto"/>
              </w:rPr>
            </w:pPr>
          </w:p>
        </w:tc>
        <w:tc>
          <w:tcPr>
            <w:tcW w:w="8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(1,356,576)</w:t>
            </w:r>
          </w:p>
        </w:tc>
        <w:tc>
          <w:tcPr>
            <w:tcW w:w="100" w:type="dxa"/>
            <w:vAlign w:val="bottom"/>
            <w:tcBorders>
              <w:bottom w:val="single" w:sz="8" w:color="auto"/>
            </w:tcBorders>
            <w:shd w:val="clear" w:color="auto" w:fill="EDEDEE"/>
          </w:tcPr>
          <w:p>
            <w:pPr>
              <w:spacing w:after="0"/>
              <w:rPr>
                <w:sz w:val="16"/>
                <w:szCs w:val="16"/>
                <w:color w:val="auto"/>
              </w:rPr>
            </w:pPr>
          </w:p>
        </w:tc>
        <w:tc>
          <w:tcPr>
            <w:tcW w:w="340" w:type="dxa"/>
            <w:vAlign w:val="bottom"/>
            <w:tcBorders>
              <w:bottom w:val="single" w:sz="8" w:color="auto"/>
            </w:tcBorders>
            <w:shd w:val="clear" w:color="auto" w:fill="EDEDEE"/>
          </w:tcPr>
          <w:p>
            <w:pPr>
              <w:spacing w:after="0"/>
              <w:rPr>
                <w:sz w:val="16"/>
                <w:szCs w:val="16"/>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(1,063,304)</w:t>
            </w:r>
          </w:p>
        </w:tc>
        <w:tc>
          <w:tcPr>
            <w:tcW w:w="0" w:type="dxa"/>
            <w:vAlign w:val="bottom"/>
          </w:tcPr>
          <w:p>
            <w:pPr>
              <w:spacing w:after="0"/>
              <w:rPr>
                <w:sz w:val="1"/>
                <w:szCs w:val="1"/>
                <w:color w:val="auto"/>
              </w:rPr>
            </w:pPr>
          </w:p>
        </w:tc>
      </w:tr>
      <w:tr>
        <w:trPr>
          <w:trHeight w:val="177"/>
        </w:trPr>
        <w:tc>
          <w:tcPr>
            <w:tcW w:w="7360" w:type="dxa"/>
            <w:vAlign w:val="bottom"/>
          </w:tcPr>
          <w:p>
            <w:pPr>
              <w:ind w:left="20"/>
              <w:spacing w:after="0"/>
              <w:rPr>
                <w:sz w:val="20"/>
                <w:szCs w:val="20"/>
                <w:color w:val="auto"/>
              </w:rPr>
            </w:pPr>
            <w:r>
              <w:rPr>
                <w:rFonts w:ascii="Arial" w:cs="Arial" w:eastAsia="Arial" w:hAnsi="Arial"/>
                <w:sz w:val="13"/>
                <w:szCs w:val="13"/>
                <w:color w:val="auto"/>
              </w:rPr>
              <w:t>Net decrease in cash, cash equivalents and restricted cash</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(1,005,699)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(567,685)</w:t>
            </w:r>
          </w:p>
        </w:tc>
        <w:tc>
          <w:tcPr>
            <w:tcW w:w="0" w:type="dxa"/>
            <w:vAlign w:val="bottom"/>
          </w:tcPr>
          <w:p>
            <w:pPr>
              <w:spacing w:after="0"/>
              <w:rPr>
                <w:sz w:val="1"/>
                <w:szCs w:val="1"/>
                <w:color w:val="auto"/>
              </w:rPr>
            </w:pPr>
          </w:p>
        </w:tc>
      </w:tr>
      <w:tr>
        <w:trPr>
          <w:trHeight w:val="189"/>
        </w:trPr>
        <w:tc>
          <w:tcPr>
            <w:tcW w:w="7360" w:type="dxa"/>
            <w:vAlign w:val="bottom"/>
            <w:shd w:val="clear" w:color="auto" w:fill="EDEDEE"/>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240" w:type="dxa"/>
            <w:vAlign w:val="bottom"/>
            <w:tcBorders>
              <w:bottom w:val="single" w:sz="8" w:color="auto"/>
            </w:tcBorders>
            <w:shd w:val="clear" w:color="auto" w:fill="EDEDEE"/>
          </w:tcPr>
          <w:p>
            <w:pPr>
              <w:spacing w:after="0"/>
              <w:rPr>
                <w:sz w:val="16"/>
                <w:szCs w:val="16"/>
                <w:color w:val="auto"/>
              </w:rPr>
            </w:pPr>
          </w:p>
        </w:tc>
        <w:tc>
          <w:tcPr>
            <w:tcW w:w="8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4,874,260</w:t>
            </w:r>
          </w:p>
        </w:tc>
        <w:tc>
          <w:tcPr>
            <w:tcW w:w="100" w:type="dxa"/>
            <w:vAlign w:val="bottom"/>
            <w:tcBorders>
              <w:bottom w:val="single" w:sz="8" w:color="auto"/>
            </w:tcBorders>
            <w:shd w:val="clear" w:color="auto" w:fill="EDEDEE"/>
          </w:tcPr>
          <w:p>
            <w:pPr>
              <w:spacing w:after="0"/>
              <w:rPr>
                <w:sz w:val="16"/>
                <w:szCs w:val="16"/>
                <w:color w:val="auto"/>
              </w:rPr>
            </w:pPr>
          </w:p>
        </w:tc>
        <w:tc>
          <w:tcPr>
            <w:tcW w:w="340" w:type="dxa"/>
            <w:vAlign w:val="bottom"/>
            <w:tcBorders>
              <w:bottom w:val="single" w:sz="8" w:color="auto"/>
            </w:tcBorders>
            <w:shd w:val="clear" w:color="auto" w:fill="EDEDEE"/>
          </w:tcPr>
          <w:p>
            <w:pPr>
              <w:spacing w:after="0"/>
              <w:rPr>
                <w:sz w:val="16"/>
                <w:szCs w:val="16"/>
                <w:color w:val="auto"/>
              </w:rPr>
            </w:pPr>
          </w:p>
        </w:tc>
        <w:tc>
          <w:tcPr>
            <w:tcW w:w="780" w:type="dxa"/>
            <w:vAlign w:val="bottom"/>
            <w:tcBorders>
              <w:bottom w:val="single" w:sz="8" w:color="auto"/>
            </w:tcBorders>
            <w:shd w:val="clear" w:color="auto" w:fill="EDEDEE"/>
          </w:tcPr>
          <w:p>
            <w:pPr>
              <w:jc w:val="right"/>
              <w:ind w:right="13"/>
              <w:spacing w:after="0"/>
              <w:rPr>
                <w:sz w:val="20"/>
                <w:szCs w:val="20"/>
                <w:color w:val="auto"/>
              </w:rPr>
            </w:pPr>
            <w:r>
              <w:rPr>
                <w:rFonts w:ascii="Arial" w:cs="Arial" w:eastAsia="Arial" w:hAnsi="Arial"/>
                <w:sz w:val="13"/>
                <w:szCs w:val="13"/>
                <w:color w:val="auto"/>
              </w:rPr>
              <w:t>4,299,507</w:t>
            </w:r>
          </w:p>
        </w:tc>
        <w:tc>
          <w:tcPr>
            <w:tcW w:w="0" w:type="dxa"/>
            <w:vAlign w:val="bottom"/>
          </w:tcPr>
          <w:p>
            <w:pPr>
              <w:spacing w:after="0"/>
              <w:rPr>
                <w:sz w:val="1"/>
                <w:szCs w:val="1"/>
                <w:color w:val="auto"/>
              </w:rPr>
            </w:pPr>
          </w:p>
        </w:tc>
      </w:tr>
      <w:tr>
        <w:trPr>
          <w:trHeight w:val="188"/>
        </w:trPr>
        <w:tc>
          <w:tcPr>
            <w:tcW w:w="7360" w:type="dxa"/>
            <w:vAlign w:val="bottom"/>
          </w:tcPr>
          <w:p>
            <w:pPr>
              <w:ind w:left="20"/>
              <w:spacing w:after="0"/>
              <w:rPr>
                <w:sz w:val="20"/>
                <w:szCs w:val="20"/>
                <w:color w:val="auto"/>
              </w:rPr>
            </w:pPr>
            <w:r>
              <w:rPr>
                <w:rFonts w:ascii="Arial" w:cs="Arial" w:eastAsia="Arial" w:hAnsi="Arial"/>
                <w:sz w:val="13"/>
                <w:szCs w:val="13"/>
                <w:b w:val="1"/>
                <w:bCs w:val="1"/>
                <w:color w:val="144F82"/>
              </w:rPr>
              <w:t>Cash, cash equivalents and restricted cash at end of period</w:t>
            </w: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3,868,561</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3,731,822</w:t>
            </w:r>
          </w:p>
        </w:tc>
        <w:tc>
          <w:tcPr>
            <w:tcW w:w="0" w:type="dxa"/>
            <w:vAlign w:val="bottom"/>
          </w:tcPr>
          <w:p>
            <w:pPr>
              <w:spacing w:after="0"/>
              <w:rPr>
                <w:sz w:val="1"/>
                <w:szCs w:val="1"/>
                <w:color w:val="auto"/>
              </w:rPr>
            </w:pPr>
          </w:p>
        </w:tc>
      </w:tr>
      <w:tr>
        <w:trPr>
          <w:trHeight w:val="20"/>
        </w:trPr>
        <w:tc>
          <w:tcPr>
            <w:tcW w:w="7360" w:type="dxa"/>
            <w:vAlign w:val="bottom"/>
            <w:tcBorders>
              <w:bottom w:val="single" w:sz="8" w:color="EDEDEE"/>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144F82"/>
              </w:rPr>
              <w:t>Cash disbursements made for:</w:t>
            </w:r>
          </w:p>
        </w:tc>
        <w:tc>
          <w:tcPr>
            <w:tcW w:w="240" w:type="dxa"/>
            <w:vAlign w:val="bottom"/>
            <w:shd w:val="clear" w:color="auto" w:fill="EDEDEE"/>
          </w:tcPr>
          <w:p>
            <w:pPr>
              <w:spacing w:after="0"/>
              <w:rPr>
                <w:sz w:val="13"/>
                <w:szCs w:val="13"/>
                <w:color w:val="auto"/>
              </w:rPr>
            </w:pPr>
          </w:p>
        </w:tc>
        <w:tc>
          <w:tcPr>
            <w:tcW w:w="880" w:type="dxa"/>
            <w:vAlign w:val="bottom"/>
            <w:shd w:val="clear" w:color="auto" w:fill="EDEDEE"/>
          </w:tcPr>
          <w:p>
            <w:pPr>
              <w:spacing w:after="0"/>
              <w:rPr>
                <w:sz w:val="13"/>
                <w:szCs w:val="13"/>
                <w:color w:val="auto"/>
              </w:rPr>
            </w:pPr>
          </w:p>
        </w:tc>
        <w:tc>
          <w:tcPr>
            <w:tcW w:w="100" w:type="dxa"/>
            <w:vAlign w:val="bottom"/>
            <w:shd w:val="clear" w:color="auto" w:fill="EDEDEE"/>
          </w:tcPr>
          <w:p>
            <w:pPr>
              <w:spacing w:after="0"/>
              <w:rPr>
                <w:sz w:val="13"/>
                <w:szCs w:val="13"/>
                <w:color w:val="auto"/>
              </w:rPr>
            </w:pPr>
          </w:p>
        </w:tc>
        <w:tc>
          <w:tcPr>
            <w:tcW w:w="340" w:type="dxa"/>
            <w:vAlign w:val="bottom"/>
            <w:shd w:val="clear" w:color="auto" w:fill="EDEDEE"/>
          </w:tcPr>
          <w:p>
            <w:pPr>
              <w:spacing w:after="0"/>
              <w:rPr>
                <w:sz w:val="13"/>
                <w:szCs w:val="13"/>
                <w:color w:val="auto"/>
              </w:rPr>
            </w:pPr>
          </w:p>
        </w:tc>
        <w:tc>
          <w:tcPr>
            <w:tcW w:w="780" w:type="dxa"/>
            <w:vAlign w:val="bottom"/>
            <w:shd w:val="clear" w:color="auto" w:fill="EDEDE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134F82"/>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0"/>
          </w:cols>
          <w:pgMar w:left="1100" w:top="1224" w:right="10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8"/>
        </w:trPr>
        <w:tc>
          <w:tcPr>
            <w:tcW w:w="7360" w:type="dxa"/>
            <w:vAlign w:val="bottom"/>
          </w:tcPr>
          <w:p>
            <w:pPr>
              <w:ind w:left="140"/>
              <w:spacing w:after="0"/>
              <w:rPr>
                <w:sz w:val="20"/>
                <w:szCs w:val="20"/>
                <w:color w:val="auto"/>
              </w:rPr>
            </w:pPr>
            <w:r>
              <w:rPr>
                <w:rFonts w:ascii="Arial" w:cs="Arial" w:eastAsia="Arial" w:hAnsi="Arial"/>
                <w:sz w:val="13"/>
                <w:szCs w:val="13"/>
                <w:color w:val="auto"/>
              </w:rPr>
              <w:t>Interest</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300,605</w:t>
            </w:r>
          </w:p>
        </w:tc>
        <w:tc>
          <w:tcPr>
            <w:tcW w:w="3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284,041</w:t>
            </w:r>
          </w:p>
        </w:tc>
      </w:tr>
      <w:tr>
        <w:trPr>
          <w:trHeight w:val="20"/>
        </w:trPr>
        <w:tc>
          <w:tcPr>
            <w:tcW w:w="7360" w:type="dxa"/>
            <w:vAlign w:val="bottom"/>
            <w:tcBorders>
              <w:bottom w:val="single" w:sz="8" w:color="EDED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8"/>
        </w:trPr>
        <w:tc>
          <w:tcPr>
            <w:tcW w:w="7360" w:type="dxa"/>
            <w:vAlign w:val="bottom"/>
            <w:tcBorders>
              <w:bottom w:val="single" w:sz="8" w:color="EDEDEE"/>
            </w:tcBorders>
            <w:shd w:val="clear" w:color="auto" w:fill="EDEDEE"/>
          </w:tcPr>
          <w:p>
            <w:pPr>
              <w:ind w:left="140"/>
              <w:spacing w:after="0"/>
              <w:rPr>
                <w:sz w:val="20"/>
                <w:szCs w:val="20"/>
                <w:color w:val="auto"/>
              </w:rPr>
            </w:pPr>
            <w:r>
              <w:rPr>
                <w:rFonts w:ascii="Arial" w:cs="Arial" w:eastAsia="Arial" w:hAnsi="Arial"/>
                <w:sz w:val="13"/>
                <w:szCs w:val="13"/>
                <w:color w:val="auto"/>
              </w:rPr>
              <w:t>Income taxes paid</w:t>
            </w:r>
          </w:p>
        </w:tc>
        <w:tc>
          <w:tcPr>
            <w:tcW w:w="280" w:type="dxa"/>
            <w:vAlign w:val="bottom"/>
            <w:tcBorders>
              <w:bottom w:val="single" w:sz="8" w:color="auto"/>
            </w:tcBorders>
            <w:shd w:val="clear" w:color="auto" w:fill="EDEDEE"/>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EDEDEE"/>
          </w:tcPr>
          <w:p>
            <w:pPr>
              <w:jc w:val="right"/>
              <w:ind w:right="33"/>
              <w:spacing w:after="0"/>
              <w:rPr>
                <w:sz w:val="20"/>
                <w:szCs w:val="20"/>
                <w:color w:val="auto"/>
              </w:rPr>
            </w:pPr>
            <w:r>
              <w:rPr>
                <w:rFonts w:ascii="Arial" w:cs="Arial" w:eastAsia="Arial" w:hAnsi="Arial"/>
                <w:sz w:val="13"/>
                <w:szCs w:val="13"/>
                <w:color w:val="auto"/>
              </w:rPr>
              <w:t>11,366</w:t>
            </w:r>
          </w:p>
        </w:tc>
        <w:tc>
          <w:tcPr>
            <w:tcW w:w="340" w:type="dxa"/>
            <w:vAlign w:val="bottom"/>
            <w:tcBorders>
              <w:bottom w:val="single" w:sz="8" w:color="auto"/>
            </w:tcBorders>
            <w:shd w:val="clear" w:color="auto" w:fill="EDEDEE"/>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EDEDEE"/>
          </w:tcPr>
          <w:p>
            <w:pPr>
              <w:jc w:val="right"/>
              <w:ind w:right="13"/>
              <w:spacing w:after="0"/>
              <w:rPr>
                <w:sz w:val="20"/>
                <w:szCs w:val="20"/>
                <w:color w:val="auto"/>
              </w:rPr>
            </w:pPr>
            <w:r>
              <w:rPr>
                <w:rFonts w:ascii="Arial" w:cs="Arial" w:eastAsia="Arial" w:hAnsi="Arial"/>
                <w:sz w:val="13"/>
                <w:szCs w:val="13"/>
                <w:color w:val="auto"/>
              </w:rPr>
              <w:t>7,280</w:t>
            </w:r>
          </w:p>
        </w:tc>
      </w:tr>
      <w:tr>
        <w:trPr>
          <w:trHeight w:val="20"/>
        </w:trPr>
        <w:tc>
          <w:tcPr>
            <w:tcW w:w="736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880" w:type="dxa"/>
            <w:vAlign w:val="bottom"/>
            <w:tcBorders>
              <w:top w:val="single" w:sz="8" w:color="EDEDEE"/>
              <w:bottom w:val="single" w:sz="8" w:color="auto"/>
            </w:tcBorders>
          </w:tcPr>
          <w:p>
            <w:pPr>
              <w:spacing w:after="0" w:line="20" w:lineRule="exact"/>
              <w:rPr>
                <w:sz w:val="1"/>
                <w:szCs w:val="1"/>
                <w:color w:val="auto"/>
              </w:rPr>
            </w:pPr>
          </w:p>
        </w:tc>
        <w:tc>
          <w:tcPr>
            <w:tcW w:w="340" w:type="dxa"/>
            <w:vAlign w:val="bottom"/>
            <w:tcBorders>
              <w:top w:val="single" w:sz="8" w:color="EDEDEE"/>
              <w:bottom w:val="single" w:sz="8" w:color="auto"/>
            </w:tcBorders>
          </w:tcPr>
          <w:p>
            <w:pPr>
              <w:spacing w:after="0" w:line="20" w:lineRule="exact"/>
              <w:rPr>
                <w:sz w:val="1"/>
                <w:szCs w:val="1"/>
                <w:color w:val="auto"/>
              </w:rPr>
            </w:pPr>
          </w:p>
        </w:tc>
        <w:tc>
          <w:tcPr>
            <w:tcW w:w="840" w:type="dxa"/>
            <w:vAlign w:val="bottom"/>
            <w:tcBorders>
              <w:top w:val="single" w:sz="8" w:color="EDEDEE"/>
              <w:bottom w:val="single" w:sz="8" w:color="auto"/>
            </w:tcBorders>
          </w:tcPr>
          <w:p>
            <w:pPr>
              <w:spacing w:after="0" w:line="20" w:lineRule="exact"/>
              <w:rPr>
                <w:sz w:val="1"/>
                <w:szCs w:val="1"/>
                <w:color w:val="auto"/>
              </w:rPr>
            </w:pPr>
          </w:p>
        </w:tc>
      </w:tr>
      <w:tr>
        <w:trPr>
          <w:trHeight w:val="163"/>
        </w:trPr>
        <w:tc>
          <w:tcPr>
            <w:tcW w:w="7360" w:type="dxa"/>
            <w:vAlign w:val="bottom"/>
          </w:tcPr>
          <w:p>
            <w:pPr>
              <w:ind w:left="140"/>
              <w:spacing w:after="0"/>
              <w:rPr>
                <w:sz w:val="20"/>
                <w:szCs w:val="20"/>
                <w:color w:val="auto"/>
              </w:rPr>
            </w:pPr>
            <w:r>
              <w:rPr>
                <w:rFonts w:ascii="Arial" w:cs="Arial" w:eastAsia="Arial" w:hAnsi="Arial"/>
                <w:sz w:val="13"/>
                <w:szCs w:val="13"/>
                <w:color w:val="auto"/>
              </w:rPr>
              <w:t>Income taxes refunded</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(19)</w:t>
            </w:r>
          </w:p>
        </w:tc>
        <w:tc>
          <w:tcPr>
            <w:tcW w:w="3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(1,001)</w:t>
            </w:r>
          </w:p>
        </w:tc>
      </w:tr>
      <w:tr>
        <w:trPr>
          <w:trHeight w:val="20"/>
        </w:trPr>
        <w:tc>
          <w:tcPr>
            <w:tcW w:w="7360" w:type="dxa"/>
            <w:vAlign w:val="bottom"/>
            <w:tcBorders>
              <w:bottom w:val="single" w:sz="8" w:color="EDED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6"/>
        </w:trPr>
        <w:tc>
          <w:tcPr>
            <w:tcW w:w="736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144F82"/>
              </w:rPr>
              <w:t>Reconciliation of the Consolidated Statements of Cash Flows to the Consolidated Balance Sheets:</w:t>
            </w:r>
          </w:p>
        </w:tc>
        <w:tc>
          <w:tcPr>
            <w:tcW w:w="280" w:type="dxa"/>
            <w:vAlign w:val="bottom"/>
            <w:shd w:val="clear" w:color="auto" w:fill="EDEDEE"/>
          </w:tcPr>
          <w:p>
            <w:pPr>
              <w:spacing w:after="0"/>
              <w:rPr>
                <w:sz w:val="13"/>
                <w:szCs w:val="13"/>
                <w:color w:val="auto"/>
              </w:rPr>
            </w:pPr>
          </w:p>
        </w:tc>
        <w:tc>
          <w:tcPr>
            <w:tcW w:w="880" w:type="dxa"/>
            <w:vAlign w:val="bottom"/>
            <w:shd w:val="clear" w:color="auto" w:fill="EDEDEE"/>
          </w:tcPr>
          <w:p>
            <w:pPr>
              <w:spacing w:after="0"/>
              <w:rPr>
                <w:sz w:val="13"/>
                <w:szCs w:val="13"/>
                <w:color w:val="auto"/>
              </w:rPr>
            </w:pPr>
          </w:p>
        </w:tc>
        <w:tc>
          <w:tcPr>
            <w:tcW w:w="340" w:type="dxa"/>
            <w:vAlign w:val="bottom"/>
            <w:shd w:val="clear" w:color="auto" w:fill="EDEDEE"/>
          </w:tcPr>
          <w:p>
            <w:pPr>
              <w:spacing w:after="0"/>
              <w:rPr>
                <w:sz w:val="13"/>
                <w:szCs w:val="13"/>
                <w:color w:val="auto"/>
              </w:rPr>
            </w:pPr>
          </w:p>
        </w:tc>
        <w:tc>
          <w:tcPr>
            <w:tcW w:w="840" w:type="dxa"/>
            <w:vAlign w:val="bottom"/>
            <w:shd w:val="clear" w:color="auto" w:fill="EDEDEE"/>
          </w:tcPr>
          <w:p>
            <w:pPr>
              <w:spacing w:after="0"/>
              <w:rPr>
                <w:sz w:val="13"/>
                <w:szCs w:val="13"/>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3,695,076</w:t>
            </w:r>
          </w:p>
        </w:tc>
        <w:tc>
          <w:tcPr>
            <w:tcW w:w="3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3,584,013</w:t>
            </w:r>
          </w:p>
        </w:tc>
      </w:tr>
      <w:tr>
        <w:trPr>
          <w:trHeight w:val="189"/>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Restricted cash</w:t>
            </w:r>
          </w:p>
        </w:tc>
        <w:tc>
          <w:tcPr>
            <w:tcW w:w="280" w:type="dxa"/>
            <w:vAlign w:val="bottom"/>
            <w:tcBorders>
              <w:bottom w:val="single" w:sz="8" w:color="auto"/>
            </w:tcBorders>
            <w:shd w:val="clear" w:color="auto" w:fill="EDEDEE"/>
          </w:tcPr>
          <w:p>
            <w:pPr>
              <w:spacing w:after="0"/>
              <w:rPr>
                <w:sz w:val="16"/>
                <w:szCs w:val="16"/>
                <w:color w:val="auto"/>
              </w:rPr>
            </w:pPr>
          </w:p>
        </w:tc>
        <w:tc>
          <w:tcPr>
            <w:tcW w:w="880" w:type="dxa"/>
            <w:vAlign w:val="bottom"/>
            <w:tcBorders>
              <w:bottom w:val="single" w:sz="8" w:color="auto"/>
            </w:tcBorders>
            <w:shd w:val="clear" w:color="auto" w:fill="EDEDEE"/>
          </w:tcPr>
          <w:p>
            <w:pPr>
              <w:jc w:val="right"/>
              <w:ind w:right="33"/>
              <w:spacing w:after="0"/>
              <w:rPr>
                <w:sz w:val="20"/>
                <w:szCs w:val="20"/>
                <w:color w:val="auto"/>
              </w:rPr>
            </w:pPr>
            <w:r>
              <w:rPr>
                <w:rFonts w:ascii="Arial" w:cs="Arial" w:eastAsia="Arial" w:hAnsi="Arial"/>
                <w:sz w:val="13"/>
                <w:szCs w:val="13"/>
                <w:color w:val="auto"/>
              </w:rPr>
              <w:t>173,485</w:t>
            </w:r>
          </w:p>
        </w:tc>
        <w:tc>
          <w:tcPr>
            <w:tcW w:w="340" w:type="dxa"/>
            <w:vAlign w:val="bottom"/>
            <w:tcBorders>
              <w:bottom w:val="single" w:sz="8" w:color="auto"/>
            </w:tcBorders>
            <w:shd w:val="clear" w:color="auto" w:fill="EDEDEE"/>
          </w:tcPr>
          <w:p>
            <w:pPr>
              <w:spacing w:after="0"/>
              <w:rPr>
                <w:sz w:val="16"/>
                <w:szCs w:val="16"/>
                <w:color w:val="auto"/>
              </w:rPr>
            </w:pPr>
          </w:p>
        </w:tc>
        <w:tc>
          <w:tcPr>
            <w:tcW w:w="840" w:type="dxa"/>
            <w:vAlign w:val="bottom"/>
            <w:tcBorders>
              <w:bottom w:val="single" w:sz="8" w:color="auto"/>
            </w:tcBorders>
            <w:shd w:val="clear" w:color="auto" w:fill="EDEDEE"/>
          </w:tcPr>
          <w:p>
            <w:pPr>
              <w:jc w:val="right"/>
              <w:ind w:right="13"/>
              <w:spacing w:after="0"/>
              <w:rPr>
                <w:sz w:val="20"/>
                <w:szCs w:val="20"/>
                <w:color w:val="auto"/>
              </w:rPr>
            </w:pPr>
            <w:r>
              <w:rPr>
                <w:rFonts w:ascii="Arial" w:cs="Arial" w:eastAsia="Arial" w:hAnsi="Arial"/>
                <w:sz w:val="13"/>
                <w:szCs w:val="13"/>
                <w:color w:val="auto"/>
              </w:rPr>
              <w:t>147,809</w:t>
            </w:r>
          </w:p>
        </w:tc>
      </w:tr>
      <w:tr>
        <w:trPr>
          <w:trHeight w:val="189"/>
        </w:trPr>
        <w:tc>
          <w:tcPr>
            <w:tcW w:w="7360" w:type="dxa"/>
            <w:vAlign w:val="bottom"/>
          </w:tcPr>
          <w:p>
            <w:pPr>
              <w:ind w:left="20"/>
              <w:spacing w:after="0"/>
              <w:rPr>
                <w:sz w:val="20"/>
                <w:szCs w:val="20"/>
                <w:color w:val="auto"/>
              </w:rPr>
            </w:pPr>
            <w:r>
              <w:rPr>
                <w:rFonts w:ascii="Arial" w:cs="Arial" w:eastAsia="Arial" w:hAnsi="Arial"/>
                <w:sz w:val="13"/>
                <w:szCs w:val="13"/>
                <w:b w:val="1"/>
                <w:bCs w:val="1"/>
                <w:color w:val="144F82"/>
              </w:rPr>
              <w:t>Total cash, cash equivalents and restricted cash</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3,868,561</w:t>
            </w:r>
          </w:p>
        </w:tc>
        <w:tc>
          <w:tcPr>
            <w:tcW w:w="3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3,731,822</w:t>
            </w:r>
          </w:p>
        </w:tc>
      </w:tr>
      <w:tr>
        <w:trPr>
          <w:trHeight w:val="20"/>
        </w:trPr>
        <w:tc>
          <w:tcPr>
            <w:tcW w:w="7360" w:type="dxa"/>
            <w:vAlign w:val="bottom"/>
            <w:tcBorders>
              <w:bottom w:val="single" w:sz="8" w:color="EDED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6"/>
        </w:trPr>
        <w:tc>
          <w:tcPr>
            <w:tcW w:w="7360" w:type="dxa"/>
            <w:vAlign w:val="bottom"/>
            <w:shd w:val="clear" w:color="auto" w:fill="EDEDEE"/>
          </w:tcPr>
          <w:p>
            <w:pPr>
              <w:ind w:left="20"/>
              <w:spacing w:after="0"/>
              <w:rPr>
                <w:sz w:val="20"/>
                <w:szCs w:val="20"/>
                <w:color w:val="auto"/>
              </w:rPr>
            </w:pPr>
            <w:r>
              <w:rPr>
                <w:rFonts w:ascii="Arial" w:cs="Arial" w:eastAsia="Arial" w:hAnsi="Arial"/>
                <w:sz w:val="13"/>
                <w:szCs w:val="13"/>
                <w:b w:val="1"/>
                <w:bCs w:val="1"/>
                <w:color w:val="144F82"/>
              </w:rPr>
              <w:t>Supplemental non-cash investment activities:</w:t>
            </w:r>
          </w:p>
        </w:tc>
        <w:tc>
          <w:tcPr>
            <w:tcW w:w="280" w:type="dxa"/>
            <w:vAlign w:val="bottom"/>
            <w:shd w:val="clear" w:color="auto" w:fill="EDEDEE"/>
          </w:tcPr>
          <w:p>
            <w:pPr>
              <w:spacing w:after="0"/>
              <w:rPr>
                <w:sz w:val="13"/>
                <w:szCs w:val="13"/>
                <w:color w:val="auto"/>
              </w:rPr>
            </w:pPr>
          </w:p>
        </w:tc>
        <w:tc>
          <w:tcPr>
            <w:tcW w:w="880" w:type="dxa"/>
            <w:vAlign w:val="bottom"/>
            <w:shd w:val="clear" w:color="auto" w:fill="EDEDEE"/>
          </w:tcPr>
          <w:p>
            <w:pPr>
              <w:spacing w:after="0"/>
              <w:rPr>
                <w:sz w:val="13"/>
                <w:szCs w:val="13"/>
                <w:color w:val="auto"/>
              </w:rPr>
            </w:pPr>
          </w:p>
        </w:tc>
        <w:tc>
          <w:tcPr>
            <w:tcW w:w="340" w:type="dxa"/>
            <w:vAlign w:val="bottom"/>
            <w:shd w:val="clear" w:color="auto" w:fill="EDEDEE"/>
          </w:tcPr>
          <w:p>
            <w:pPr>
              <w:spacing w:after="0"/>
              <w:rPr>
                <w:sz w:val="13"/>
                <w:szCs w:val="13"/>
                <w:color w:val="auto"/>
              </w:rPr>
            </w:pPr>
          </w:p>
        </w:tc>
        <w:tc>
          <w:tcPr>
            <w:tcW w:w="840" w:type="dxa"/>
            <w:vAlign w:val="bottom"/>
            <w:shd w:val="clear" w:color="auto" w:fill="EDEDEE"/>
          </w:tcPr>
          <w:p>
            <w:pPr>
              <w:spacing w:after="0"/>
              <w:rPr>
                <w:sz w:val="13"/>
                <w:szCs w:val="13"/>
                <w:color w:val="auto"/>
              </w:rPr>
            </w:pPr>
          </w:p>
        </w:tc>
      </w:tr>
      <w:tr>
        <w:trPr>
          <w:trHeight w:val="183"/>
        </w:trPr>
        <w:tc>
          <w:tcPr>
            <w:tcW w:w="7360" w:type="dxa"/>
            <w:vAlign w:val="bottom"/>
          </w:tcPr>
          <w:p>
            <w:pPr>
              <w:ind w:left="140"/>
              <w:spacing w:after="0"/>
              <w:rPr>
                <w:sz w:val="20"/>
                <w:szCs w:val="20"/>
                <w:color w:val="auto"/>
              </w:rPr>
            </w:pPr>
            <w:r>
              <w:rPr>
                <w:rFonts w:ascii="Arial" w:cs="Arial" w:eastAsia="Arial" w:hAnsi="Arial"/>
                <w:sz w:val="13"/>
                <w:szCs w:val="13"/>
                <w:color w:val="auto"/>
              </w:rPr>
              <w:t>Accrued interest capitalized during the period</w:t>
            </w: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116,022</w:t>
            </w:r>
          </w:p>
        </w:tc>
        <w:tc>
          <w:tcPr>
            <w:tcW w:w="3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118,602</w:t>
            </w:r>
          </w:p>
        </w:tc>
      </w:tr>
      <w:tr>
        <w:trPr>
          <w:trHeight w:val="195"/>
        </w:trPr>
        <w:tc>
          <w:tcPr>
            <w:tcW w:w="7360" w:type="dxa"/>
            <w:vAlign w:val="bottom"/>
            <w:shd w:val="clear" w:color="auto" w:fill="EDEDEE"/>
          </w:tcPr>
          <w:p>
            <w:pPr>
              <w:ind w:left="140"/>
              <w:spacing w:after="0"/>
              <w:rPr>
                <w:sz w:val="20"/>
                <w:szCs w:val="20"/>
                <w:color w:val="auto"/>
              </w:rPr>
            </w:pPr>
            <w:r>
              <w:rPr>
                <w:rFonts w:ascii="Arial" w:cs="Arial" w:eastAsia="Arial" w:hAnsi="Arial"/>
                <w:sz w:val="13"/>
                <w:szCs w:val="13"/>
                <w:color w:val="auto"/>
              </w:rPr>
              <w:t>Trading investments received in consideration for loans sold</w:t>
            </w:r>
          </w:p>
        </w:tc>
        <w:tc>
          <w:tcPr>
            <w:tcW w:w="280" w:type="dxa"/>
            <w:vAlign w:val="bottom"/>
            <w:shd w:val="clear" w:color="auto" w:fill="EDEDEE"/>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shd w:val="clear" w:color="auto" w:fill="EDEDEE"/>
          </w:tcPr>
          <w:p>
            <w:pPr>
              <w:jc w:val="right"/>
              <w:ind w:right="33"/>
              <w:spacing w:after="0"/>
              <w:rPr>
                <w:sz w:val="20"/>
                <w:szCs w:val="20"/>
                <w:color w:val="auto"/>
              </w:rPr>
            </w:pPr>
            <w:r>
              <w:rPr>
                <w:rFonts w:ascii="Arial" w:cs="Arial" w:eastAsia="Arial" w:hAnsi="Arial"/>
                <w:sz w:val="13"/>
                <w:szCs w:val="13"/>
                <w:color w:val="auto"/>
              </w:rPr>
              <w:t>—</w:t>
            </w:r>
          </w:p>
        </w:tc>
        <w:tc>
          <w:tcPr>
            <w:tcW w:w="340" w:type="dxa"/>
            <w:vAlign w:val="bottom"/>
            <w:shd w:val="clear" w:color="auto" w:fill="EDEDEE"/>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3,072</w:t>
            </w:r>
          </w:p>
        </w:tc>
      </w:tr>
      <w:tr>
        <w:trPr>
          <w:trHeight w:val="177"/>
        </w:trPr>
        <w:tc>
          <w:tcPr>
            <w:tcW w:w="7360" w:type="dxa"/>
            <w:vAlign w:val="bottom"/>
          </w:tcPr>
          <w:p>
            <w:pPr>
              <w:ind w:left="140"/>
              <w:spacing w:after="0"/>
              <w:rPr>
                <w:sz w:val="20"/>
                <w:szCs w:val="20"/>
                <w:color w:val="auto"/>
              </w:rPr>
            </w:pPr>
            <w:r>
              <w:rPr>
                <w:rFonts w:ascii="Arial" w:cs="Arial" w:eastAsia="Arial" w:hAnsi="Arial"/>
                <w:sz w:val="13"/>
                <w:szCs w:val="13"/>
                <w:color w:val="auto"/>
              </w:rPr>
              <w:t>Available-for-sale investments received in consideration for loans sold</w:t>
            </w: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111,002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700"/>
          </w:cols>
          <w:pgMar w:left="1100" w:top="977" w:right="10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134F82"/>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0"/>
          </w:cols>
          <w:pgMar w:left="1100" w:top="977" w:right="1099" w:bottom="1440" w:gutter="0" w:footer="0" w:header="0"/>
          <w:type w:val="continuous"/>
        </w:sectPr>
      </w:pPr>
    </w:p>
    <w:bookmarkStart w:id="9" w:name="page10"/>
    <w:bookmarkEnd w:id="9"/>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88"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accompanying unaudited, consolidated financial statements of SLM Corporation (“Sallie Mae,” “SLM,” the “Company,” “we,” or “us”) have been prepared in accordance with generally accepted accounting principles in the United States of America (“GAAP”) for interim financial information. Accordingly, they do not include all the information and footnotes required by GAAP for complete consolidated financial statements. The consolidated financial statements include the accounts of SLM Corporation and its majority-owned and controlled subsidiaries after eliminating the effects of intercompany accounts and transactions. In the opinion of management, all adjustments considered necessary for a fair statement of the results for the interim periods have been included. The preparation of financial statements in conformity with GAAP requires management to make estimates and assumptions that affect the amounts reported in the consolidated financial statements and accompanying notes. Actual results could differ from those estimates. Operating results for the three months ended March 31, 2025 are not necessarily indicative of the results for the year ending December 31, 2025 or for any other period. These unaudited financial statements should be read in conjunction with the audited financial statements and related notes included in our Annual Report on Form 10-K for the year ended December 31, 2024 (the “2024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02" w:lineRule="exact"/>
        <w:rPr>
          <w:sz w:val="20"/>
          <w:szCs w:val="20"/>
          <w:color w:val="auto"/>
        </w:rPr>
      </w:pPr>
    </w:p>
    <w:p>
      <w:pPr>
        <w:ind w:right="320" w:firstLine="445"/>
        <w:spacing w:after="0" w:line="287" w:lineRule="auto"/>
        <w:rPr>
          <w:sz w:val="20"/>
          <w:szCs w:val="20"/>
          <w:color w:val="auto"/>
        </w:rPr>
      </w:pPr>
      <w:r>
        <w:rPr>
          <w:rFonts w:ascii="Arial" w:cs="Arial" w:eastAsia="Arial" w:hAnsi="Arial"/>
          <w:sz w:val="18"/>
          <w:szCs w:val="18"/>
          <w:color w:val="auto"/>
        </w:rPr>
        <w:t>The consolidated financial statements include the accounts of the Company and its majority-owned and controlled subsidiaries after eliminating the effects of intercompany accounts and transactions.</w:t>
      </w:r>
    </w:p>
    <w:p>
      <w:pPr>
        <w:spacing w:after="0" w:line="45"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5" w:lineRule="exact"/>
        <w:rPr>
          <w:sz w:val="20"/>
          <w:szCs w:val="20"/>
          <w:color w:val="auto"/>
        </w:rPr>
      </w:pPr>
    </w:p>
    <w:p>
      <w:pPr>
        <w:ind w:right="300" w:firstLine="445"/>
        <w:spacing w:after="0" w:line="287" w:lineRule="auto"/>
        <w:rPr>
          <w:sz w:val="20"/>
          <w:szCs w:val="20"/>
          <w:color w:val="auto"/>
        </w:rPr>
      </w:pPr>
      <w:r>
        <w:rPr>
          <w:rFonts w:ascii="Arial" w:cs="Arial" w:eastAsia="Arial" w:hAnsi="Arial"/>
          <w:sz w:val="18"/>
          <w:szCs w:val="18"/>
          <w:color w:val="auto"/>
        </w:rPr>
        <w:t>We maintain an allowance for credit losses for the lifetime expected credit losses on loans in our portfolios, as well as for future loan commitments, at the reporting date (“CECL”).</w:t>
      </w:r>
    </w:p>
    <w:p>
      <w:pPr>
        <w:spacing w:after="0" w:line="45" w:lineRule="exact"/>
        <w:rPr>
          <w:sz w:val="20"/>
          <w:szCs w:val="20"/>
          <w:color w:val="auto"/>
        </w:rPr>
      </w:pPr>
    </w:p>
    <w:p>
      <w:pPr>
        <w:ind w:right="280" w:firstLine="445"/>
        <w:spacing w:after="0" w:line="268" w:lineRule="auto"/>
        <w:rPr>
          <w:sz w:val="20"/>
          <w:szCs w:val="20"/>
          <w:color w:val="auto"/>
        </w:rPr>
      </w:pPr>
      <w:r>
        <w:rPr>
          <w:rFonts w:ascii="Arial" w:cs="Arial" w:eastAsia="Arial" w:hAnsi="Arial"/>
          <w:sz w:val="18"/>
          <w:szCs w:val="18"/>
          <w:color w:val="auto"/>
        </w:rPr>
        <w:t>In determining the lifetime expected credit losses on our Private Education Loan (as hereinafter defined) portfolio loan segments, we use a discounted cash flow method. This method requires us to project future principal and interest cash flows on our loans in those portfolios.</w:t>
      </w:r>
    </w:p>
    <w:p>
      <w:pPr>
        <w:spacing w:after="0" w:line="63"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To estimate the future expected cash flows, we use statistical loan-level models that consider life of loan expectations for defaults, prepayments, recoveries, and any other qualitative adjustments deemed necessary, to determine the adequacy of the allowance at each balance sheet date. These cash flows are discounted at the loan’s effective interest rate to calculate the present value of those cash flows. Management adjusts the effective interest rate used to discount expected cash flows to incorporate expected prepayments. The difference between the present value of those cash flows and the amortized cost basis of the underlying loans is the allowance for credit losses. Entities that measure credit losses based on the present value of expected future cash flows are permitted to report the entire change in present value as credit loss expense, but may alternatively report the change in present value due to the passage of time as interest income. We have elected to report the entire change in present value as credit loss expense.</w:t>
      </w:r>
    </w:p>
    <w:p>
      <w:pPr>
        <w:spacing w:after="0" w:line="7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estimate future default rates used in our current expected credit losses at a loan level using historical loss experience, current borrower characteristics, current conditions, and economic factors forecasted over a reasonable and supportable period. At the end of the reasonable and supportable forecast period, we immediately revert our forecasted economic factors to long-term historical averages. We estimate future prepayment speeds used in our current expected credit losses at a loan level using historical prepayment experience, current borrower characteristics, current conditions, and economic factors forecasted over a reasonable and supportable period.</w:t>
      </w:r>
    </w:p>
    <w:p>
      <w:pPr>
        <w:spacing w:after="0" w:line="71"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reasonable and supportable forecast period is meant to represent the period in which we believe we can estimate the impact of forecasted economic factors in our expected losses. We use a two-year reasonable and supportable forecast period, although this period is subject to change as our view evolves on our ability to reasonably forecast economic conditions to estimate future losses.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left="380" w:hanging="334"/>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200" w:lineRule="exact"/>
        <w:rPr>
          <w:sz w:val="20"/>
          <w:szCs w:val="20"/>
          <w:color w:val="auto"/>
        </w:rPr>
      </w:pPr>
    </w:p>
    <w:p>
      <w:pPr>
        <w:spacing w:after="0" w:line="282" w:lineRule="exact"/>
        <w:rPr>
          <w:sz w:val="20"/>
          <w:szCs w:val="20"/>
          <w:color w:val="auto"/>
        </w:rPr>
      </w:pPr>
    </w:p>
    <w:p>
      <w:pPr>
        <w:ind w:right="260" w:firstLine="445"/>
        <w:spacing w:after="0" w:line="251" w:lineRule="auto"/>
        <w:rPr>
          <w:sz w:val="20"/>
          <w:szCs w:val="20"/>
          <w:color w:val="auto"/>
        </w:rPr>
      </w:pPr>
      <w:r>
        <w:rPr>
          <w:rFonts w:ascii="Arial" w:cs="Arial" w:eastAsia="Arial" w:hAnsi="Arial"/>
          <w:sz w:val="18"/>
          <w:szCs w:val="18"/>
          <w:color w:val="auto"/>
        </w:rPr>
        <w:t>In estimating future default rates and prepayment speeds in our current expected credit losses, we use a combination of expected economic scenarios coupled with our historical experience and adjust for any qualitative factors (as described below). We also develop an adverse and favorable economic scenario. At each reporting date, we determine the appropriate weighting of these alternate scenarios based upon the current economic conditions and our view of the risks of alternate outcomes. This weighting of expectations is used in calculating our current expected credit losses recorded each period.</w:t>
      </w:r>
    </w:p>
    <w:p>
      <w:pPr>
        <w:spacing w:after="0" w:line="2" w:lineRule="exact"/>
        <w:rPr>
          <w:sz w:val="20"/>
          <w:szCs w:val="20"/>
          <w:color w:val="auto"/>
        </w:rPr>
      </w:pPr>
    </w:p>
    <w:p>
      <w:pPr>
        <w:ind w:firstLine="445"/>
        <w:spacing w:after="0" w:line="234" w:lineRule="auto"/>
        <w:rPr>
          <w:sz w:val="20"/>
          <w:szCs w:val="20"/>
          <w:color w:val="auto"/>
        </w:rPr>
      </w:pPr>
      <w:r>
        <w:rPr>
          <w:rFonts w:ascii="Arial" w:cs="Arial" w:eastAsia="Arial" w:hAnsi="Arial"/>
          <w:sz w:val="18"/>
          <w:szCs w:val="18"/>
          <w:color w:val="auto"/>
        </w:rPr>
        <w:t>We obtain forecasts for our loss model inputs from Moody’s Analytics. Moody’s Analytics provides a range of forecasts for each of these inputs with various likelihoods of occurrence. We determine which forecasts we will include in our estimation of allowance for credit losses and the associated weightings for each of these inputs. We use the Baseline (50th percentile likelihood of occurring)/S1 (stronger near-term growth scenario - 10 percent likelihood of occurring)/S3 (unfavorable (or downside) scenario - 10 percent likelihood of occurring) scenarios. At December 31, 2024 and March 31, 2024, we weighted them 40 percent, 30 percent, and 30 percent, respectively. During the first quarter of 2025, we revised the Baseline scenario, S1 stronger near-term growth scenario, and S3 unfavorable scenario weightings to be</w:t>
      </w:r>
    </w:p>
    <w:p>
      <w:pPr>
        <w:spacing w:after="0" w:line="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60 percent, 20 percent, and 20 percent, respectively. This change reflects our ongoing review of forecasting assumptions and model inputs and is consistent with our internal governance and risk management framework. The adjustment supports a more balanced view of potential</w:t>
      </w:r>
    </w:p>
    <w:p>
      <w:pPr>
        <w:spacing w:after="0" w:line="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scenario outcomes and remains in accordance with our CECL methodology. The revision resulted in an approximately $17 million decrease to provision for credit losses for the three months ended March 31, 2025. Management continues to review both the scenarios and their respective weightings each quarter in determining the allowance for credit losses.</w:t>
      </w:r>
    </w:p>
    <w:p>
      <w:pPr>
        <w:spacing w:after="0" w:line="71"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In estimating recoveries, we use both estimates of what we expect to receive from the sale of defaulted loans as well as historical borrower payment behavior to estimate the timing and amount of future recoveries on charged-off loans.</w:t>
      </w:r>
    </w:p>
    <w:p>
      <w:pPr>
        <w:spacing w:after="0" w:line="1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addition to the above modeling approach, we also take certain other qualitative factors into consideration when calculating the allowance for credit losses, which could result in management overlays (increases or decreases to the allowance for credit losses). These management overlays can encompass a broad array of factors not captured by model inputs, including, but not limited to, changes in lending policies and procedures, including changes in underwriting standards, changes in servicing policies and collection administration practices, including changes we have implemented to our loan modification programs, state law changes that could impact servicing and collection practices, charge-offs, recoveries not already included in the analysis, the effect of other external factors such as legal and regulatory requirements on the level of estimated current expected credit losses, the performance of the model over time versus actual losses, and any other operational or regulatory changes that could affect our estimate of future losses.</w:t>
      </w:r>
    </w:p>
    <w:p>
      <w:pPr>
        <w:spacing w:after="0" w:line="63"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The evaluation of the allowance for credit losses is inherently subjective, as it requires material estimates that may be susceptible to significant changes. If actual future performance in delinquency, charge-offs, and recoveries is significantly different than estimated, or management assumptions or practices were to change, this could materially affect the estimate of the allowance for credit losses, the timing of when losses are recognized, and the related provision for credit losses in our consolidated statements of income.</w:t>
      </w:r>
    </w:p>
    <w:p>
      <w:pPr>
        <w:spacing w:after="0" w:line="55" w:lineRule="exact"/>
        <w:rPr>
          <w:sz w:val="20"/>
          <w:szCs w:val="20"/>
          <w:color w:val="auto"/>
        </w:rPr>
      </w:pPr>
    </w:p>
    <w:p>
      <w:pPr>
        <w:jc w:val="both"/>
        <w:ind w:right="80" w:firstLine="445"/>
        <w:spacing w:after="0" w:line="268" w:lineRule="auto"/>
        <w:rPr>
          <w:sz w:val="20"/>
          <w:szCs w:val="20"/>
          <w:color w:val="auto"/>
        </w:rPr>
      </w:pPr>
      <w:r>
        <w:rPr>
          <w:rFonts w:ascii="Arial" w:cs="Arial" w:eastAsia="Arial" w:hAnsi="Arial"/>
          <w:sz w:val="18"/>
          <w:szCs w:val="18"/>
          <w:color w:val="auto"/>
        </w:rPr>
        <w:t>When calculating our allowance for credit losses and liability for unfunded commitments, we incorporate several inputs that are subject to change period to period. These include, but are not limited to, CECL model inputs and any overlays deemed necessary by management. The most impactful CECL model inputs include:</w:t>
      </w:r>
    </w:p>
    <w:p>
      <w:pPr>
        <w:spacing w:after="0" w:line="36" w:lineRule="exact"/>
        <w:rPr>
          <w:sz w:val="20"/>
          <w:szCs w:val="20"/>
          <w:color w:val="auto"/>
        </w:rPr>
      </w:pPr>
    </w:p>
    <w:p>
      <w:pPr>
        <w:ind w:left="660" w:hanging="20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forecasts;</w:t>
      </w:r>
    </w:p>
    <w:p>
      <w:pPr>
        <w:spacing w:after="0" w:line="103" w:lineRule="exact"/>
        <w:rPr>
          <w:rFonts w:ascii="Arial" w:cs="Arial" w:eastAsia="Arial" w:hAnsi="Arial"/>
          <w:sz w:val="18"/>
          <w:szCs w:val="18"/>
          <w:color w:val="auto"/>
        </w:rPr>
      </w:pPr>
    </w:p>
    <w:p>
      <w:pPr>
        <w:ind w:left="660" w:hanging="20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Weighting of economic forecasts; and</w:t>
      </w:r>
    </w:p>
    <w:p>
      <w:pPr>
        <w:spacing w:after="0" w:line="103" w:lineRule="exact"/>
        <w:rPr>
          <w:rFonts w:ascii="Arial" w:cs="Arial" w:eastAsia="Arial" w:hAnsi="Arial"/>
          <w:sz w:val="18"/>
          <w:szCs w:val="18"/>
          <w:color w:val="auto"/>
        </w:rPr>
      </w:pPr>
    </w:p>
    <w:p>
      <w:pPr>
        <w:ind w:left="660" w:hanging="20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Recovery rates.</w:t>
      </w:r>
    </w:p>
    <w:p>
      <w:pPr>
        <w:spacing w:after="0" w:line="90"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Of the model inputs outlined above, economic forecasts, weighting of economic forecasts, and recovery rates are subject to estimation uncertainty, and changes in these inputs could have a material impact to our allowance for credit losses and the related provision for credit losses.</w:t>
      </w:r>
    </w:p>
    <w:p>
      <w:pPr>
        <w:spacing w:after="0" w:line="49"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the second quarter of 2024, we implemented a loan-level future default rate model that includes current portfolio characteristics and forecasts of real gross domestic product and college graduate unemployment. In the second quarter of 2024, we also implemented a future prepayment speeds model to include forecasts of real gross domestic product, retail sales, the Secured Overnight Financing Rate (“SOFR”), and the U.S. 10-year treasury rate. These models reduce the reliance on certain qualitative overlays compared to the previous default rate and prepayment speeds models. Prior to these changes, our default rate and prepayment speeds models used forecasts of college graduate unemployment, retail sales, home price index, and median family income. Both the future default rate model and the future prepayment speeds model are used in determining the adequacy of the allowance for credit losses. The combined impact upon implementation of these model enhancements and the changes in the related qualitative overlays did not have a material impact on the overall level of our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0" w:right="359" w:bottom="1440" w:gutter="0" w:footer="0" w:header="0"/>
        </w:sectPr>
      </w:pPr>
    </w:p>
    <w:bookmarkStart w:id="11" w:name="page12"/>
    <w:bookmarkEnd w:id="11"/>
    <w:p>
      <w:pPr>
        <w:ind w:left="380" w:hanging="334"/>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“Significant Accounting Policies — Allowance for Loan Losses” in our 2024 Form 10-K for additional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8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The ASU requires entities to disclose specific categories in the effective tax rate reconciliation and provide additional information for reconciling items where the effect of those reconciling items is equal to or greater than 5 percent of the amount computed by multiplying pretax income/loss by the applicable statutory income tax rate. Additionally, entities are required to disclose the year-to-date amount of income taxes paid (net of refunds received) disaggregated by jurisdiction. The standard is effective for fiscal years beginning after December 15, 2024. We do not expect the impact of this amendment to be material to our consolidated financial statements.</w:t>
      </w:r>
    </w:p>
    <w:p>
      <w:pPr>
        <w:spacing w:after="0" w:line="6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 (Subtopic 220-40): Disaggregation of Income Statement Expenses. The ASU is intended to provide more detailed information about specified categories of expenses (purchases of inventory, employee compensation, depreciation and amortization) included in certain expense captions presented on the consolidated statements of income. The guidance in this standard is effective for fiscal years beginning after December 15, 2026, and interim periods within fiscal years beginning after December 15, 2027, with early adoption permitted. We are currently evaluating the impact of the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34F82"/>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0"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Investments</w:t>
      </w:r>
    </w:p>
    <w:p>
      <w:pPr>
        <w:spacing w:after="0" w:line="10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periodically sell Private Education Loans through securitization transactions where we are required to retain a five percent vertical risk retention interest (i.e., five percent of each class issued in the securitizations). We classify those vertical risk retention interests related to the transactions as available-for-sale investments, except for the interest in the residual classes, which we classify as trading investments recorded at fair value with changes recorded through earnings. At March 31, 2025 and December 31, 2024, we had $54 million and $53 million, respectively, classified as trading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amortized cost and fair value of securities available for sale are as follows:</w:t>
      </w:r>
    </w:p>
    <w:p>
      <w:pPr>
        <w:spacing w:after="0" w:line="386"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292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b w:val="1"/>
                <w:bCs w:val="1"/>
                <w:color w:val="144F82"/>
              </w:rPr>
              <w:t>As of March 31, 2025</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center"/>
              <w:ind w:right="60"/>
              <w:spacing w:after="0"/>
              <w:rPr>
                <w:sz w:val="20"/>
                <w:szCs w:val="20"/>
                <w:color w:val="auto"/>
              </w:rPr>
            </w:pPr>
            <w:r>
              <w:rPr>
                <w:rFonts w:ascii="Arial" w:cs="Arial" w:eastAsia="Arial" w:hAnsi="Arial"/>
                <w:sz w:val="15"/>
                <w:szCs w:val="15"/>
                <w:b w:val="1"/>
                <w:bCs w:val="1"/>
                <w:color w:val="144F82"/>
              </w:rPr>
              <w:t>Allowance for</w:t>
            </w:r>
          </w:p>
        </w:tc>
        <w:tc>
          <w:tcPr>
            <w:tcW w:w="14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5"/>
                <w:szCs w:val="15"/>
                <w:b w:val="1"/>
                <w:bCs w:val="1"/>
                <w:color w:val="144F82"/>
              </w:rPr>
              <w:t>Gross Unrealized</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141"/>
              <w:spacing w:after="0" w:line="169" w:lineRule="exact"/>
              <w:rPr>
                <w:sz w:val="20"/>
                <w:szCs w:val="20"/>
                <w:color w:val="auto"/>
              </w:rPr>
            </w:pPr>
            <w:r>
              <w:rPr>
                <w:rFonts w:ascii="Arial" w:cs="Arial" w:eastAsia="Arial" w:hAnsi="Arial"/>
                <w:sz w:val="15"/>
                <w:szCs w:val="15"/>
                <w:b w:val="1"/>
                <w:bCs w:val="1"/>
                <w:color w:val="144F82"/>
              </w:rPr>
              <w:t>Gross</w:t>
            </w: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center"/>
              <w:ind w:right="40"/>
              <w:spacing w:after="0"/>
              <w:rPr>
                <w:sz w:val="20"/>
                <w:szCs w:val="20"/>
                <w:color w:val="auto"/>
              </w:rPr>
            </w:pPr>
            <w:r>
              <w:rPr>
                <w:rFonts w:ascii="Arial" w:cs="Arial" w:eastAsia="Arial" w:hAnsi="Arial"/>
                <w:sz w:val="15"/>
                <w:szCs w:val="15"/>
                <w:b w:val="1"/>
                <w:bCs w:val="1"/>
                <w:color w:val="144F82"/>
              </w:rPr>
              <w:t>Estimated Fair</w:t>
            </w:r>
          </w:p>
        </w:tc>
        <w:tc>
          <w:tcPr>
            <w:tcW w:w="0" w:type="dxa"/>
            <w:vAlign w:val="bottom"/>
          </w:tcPr>
          <w:p>
            <w:pPr>
              <w:spacing w:after="0"/>
              <w:rPr>
                <w:sz w:val="1"/>
                <w:szCs w:val="1"/>
                <w:color w:val="auto"/>
              </w:rPr>
            </w:pPr>
          </w:p>
        </w:tc>
      </w:tr>
      <w:tr>
        <w:trPr>
          <w:trHeight w:val="154"/>
        </w:trPr>
        <w:tc>
          <w:tcPr>
            <w:tcW w:w="2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right"/>
              <w:ind w:right="60"/>
              <w:spacing w:after="0"/>
              <w:rPr>
                <w:sz w:val="20"/>
                <w:szCs w:val="20"/>
                <w:color w:val="auto"/>
              </w:rPr>
            </w:pPr>
            <w:r>
              <w:rPr>
                <w:rFonts w:ascii="Arial" w:cs="Arial" w:eastAsia="Arial" w:hAnsi="Arial"/>
                <w:sz w:val="15"/>
                <w:szCs w:val="15"/>
                <w:b w:val="1"/>
                <w:bCs w:val="1"/>
                <w:color w:val="144F82"/>
              </w:rPr>
              <w:t>Amortized Cost</w:t>
            </w:r>
          </w:p>
        </w:tc>
        <w:tc>
          <w:tcPr>
            <w:tcW w:w="2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61"/>
              <w:spacing w:after="0" w:line="154" w:lineRule="exact"/>
              <w:rPr>
                <w:sz w:val="20"/>
                <w:szCs w:val="20"/>
                <w:color w:val="auto"/>
              </w:rPr>
            </w:pPr>
            <w:r>
              <w:rPr>
                <w:rFonts w:ascii="Arial" w:cs="Arial" w:eastAsia="Arial" w:hAnsi="Arial"/>
                <w:sz w:val="15"/>
                <w:szCs w:val="15"/>
                <w:b w:val="1"/>
                <w:bCs w:val="1"/>
                <w:color w:val="144F82"/>
              </w:rPr>
              <w:t>Unrealized</w:t>
            </w:r>
          </w:p>
        </w:tc>
        <w:tc>
          <w:tcPr>
            <w:tcW w:w="1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144F82"/>
              </w:rPr>
              <w:t>(dollars in thousands)</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0"/>
              <w:spacing w:after="0" w:line="203" w:lineRule="exact"/>
              <w:rPr>
                <w:sz w:val="20"/>
                <w:szCs w:val="20"/>
                <w:color w:val="auto"/>
              </w:rPr>
            </w:pPr>
            <w:r>
              <w:rPr>
                <w:rFonts w:ascii="Arial" w:cs="Arial" w:eastAsia="Arial" w:hAnsi="Arial"/>
                <w:sz w:val="15"/>
                <w:szCs w:val="15"/>
                <w:b w:val="1"/>
                <w:bCs w:val="1"/>
                <w:color w:val="144F82"/>
                <w:w w:val="98"/>
              </w:rPr>
              <w:t>credit losses</w:t>
            </w:r>
            <w:r>
              <w:rPr>
                <w:rFonts w:ascii="Arial" w:cs="Arial" w:eastAsia="Arial" w:hAnsi="Arial"/>
                <w:sz w:val="19"/>
                <w:szCs w:val="19"/>
                <w:b w:val="1"/>
                <w:bCs w:val="1"/>
                <w:color w:val="144F82"/>
                <w:w w:val="98"/>
                <w:vertAlign w:val="superscript"/>
              </w:rPr>
              <w:t>(1)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144F82"/>
              </w:rPr>
              <w:t>Gains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5"/>
                <w:szCs w:val="15"/>
                <w:b w:val="1"/>
                <w:bCs w:val="1"/>
                <w:color w:val="144F82"/>
              </w:rPr>
              <w:t>Losses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0"/>
              <w:spacing w:after="0"/>
              <w:rPr>
                <w:sz w:val="20"/>
                <w:szCs w:val="20"/>
                <w:color w:val="auto"/>
              </w:rPr>
            </w:pPr>
            <w:r>
              <w:rPr>
                <w:rFonts w:ascii="Arial" w:cs="Arial" w:eastAsia="Arial" w:hAnsi="Arial"/>
                <w:sz w:val="15"/>
                <w:szCs w:val="15"/>
                <w:b w:val="1"/>
                <w:bCs w:val="1"/>
                <w:color w:val="144F82"/>
                <w:w w:val="99"/>
              </w:rPr>
              <w:t>Value</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b w:val="1"/>
                <w:bCs w:val="1"/>
                <w:color w:val="144F82"/>
              </w:rPr>
              <w:t>Available-for-sale: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EDEDEE"/>
          </w:tcPr>
          <w:p>
            <w:pPr>
              <w:ind w:left="20"/>
              <w:spacing w:after="0"/>
              <w:rPr>
                <w:sz w:val="20"/>
                <w:szCs w:val="20"/>
                <w:color w:val="auto"/>
              </w:rPr>
            </w:pPr>
            <w:r>
              <w:rPr>
                <w:rFonts w:ascii="Arial" w:cs="Arial" w:eastAsia="Arial" w:hAnsi="Arial"/>
                <w:sz w:val="16"/>
                <w:szCs w:val="16"/>
                <w:color w:val="auto"/>
              </w:rPr>
              <w:t>Mortgage-backed securities</w:t>
            </w:r>
          </w:p>
        </w:tc>
        <w:tc>
          <w:tcPr>
            <w:tcW w:w="12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544,422</w:t>
            </w:r>
          </w:p>
        </w:tc>
        <w:tc>
          <w:tcPr>
            <w:tcW w:w="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DEDEE"/>
          </w:tcPr>
          <w:p>
            <w:pPr>
              <w:ind w:left="9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DEDEE"/>
          </w:tcPr>
          <w:p>
            <w:pPr>
              <w:ind w:lef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DEE"/>
          </w:tcPr>
          <w:p>
            <w:pPr>
              <w:jc w:val="right"/>
              <w:ind w:right="40"/>
              <w:spacing w:after="0"/>
              <w:rPr>
                <w:sz w:val="20"/>
                <w:szCs w:val="20"/>
                <w:color w:val="auto"/>
              </w:rPr>
            </w:pPr>
            <w:r>
              <w:rPr>
                <w:rFonts w:ascii="Arial" w:cs="Arial" w:eastAsia="Arial" w:hAnsi="Arial"/>
                <w:sz w:val="16"/>
                <w:szCs w:val="16"/>
                <w:color w:val="auto"/>
              </w:rPr>
              <w:t>621</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(64,620)</w:t>
            </w:r>
          </w:p>
        </w:tc>
        <w:tc>
          <w:tcPr>
            <w:tcW w:w="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480,423</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Utah Housing Corporation bonds</w:t>
            </w:r>
          </w:p>
        </w:tc>
        <w:tc>
          <w:tcPr>
            <w:tcW w:w="120" w:type="dxa"/>
            <w:vAlign w:val="bottom"/>
          </w:tcPr>
          <w:p>
            <w:pPr>
              <w:spacing w:after="0"/>
              <w:rPr>
                <w:sz w:val="18"/>
                <w:szCs w:val="18"/>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2,659</w:t>
            </w:r>
          </w:p>
        </w:tc>
        <w:tc>
          <w:tcPr>
            <w:tcW w:w="200" w:type="dxa"/>
            <w:vAlign w:val="bottom"/>
          </w:tcPr>
          <w:p>
            <w:pPr>
              <w:spacing w:after="0"/>
              <w:rPr>
                <w:sz w:val="18"/>
                <w:szCs w:val="18"/>
                <w:color w:val="auto"/>
              </w:rPr>
            </w:pPr>
          </w:p>
        </w:tc>
        <w:tc>
          <w:tcPr>
            <w:tcW w:w="1220" w:type="dxa"/>
            <w:vAlign w:val="bottom"/>
          </w:tcPr>
          <w:p>
            <w:pPr>
              <w:ind w:left="9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(409)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163"/>
        </w:trPr>
        <w:tc>
          <w:tcPr>
            <w:tcW w:w="292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U.S. government-sponsored</w:t>
            </w:r>
          </w:p>
        </w:tc>
        <w:tc>
          <w:tcPr>
            <w:tcW w:w="120" w:type="dxa"/>
            <w:vAlign w:val="bottom"/>
            <w:shd w:val="clear" w:color="auto" w:fill="EDEDEE"/>
          </w:tcPr>
          <w:p>
            <w:pPr>
              <w:spacing w:after="0"/>
              <w:rPr>
                <w:sz w:val="14"/>
                <w:szCs w:val="14"/>
                <w:color w:val="auto"/>
              </w:rPr>
            </w:pPr>
          </w:p>
        </w:tc>
        <w:tc>
          <w:tcPr>
            <w:tcW w:w="1280" w:type="dxa"/>
            <w:vAlign w:val="bottom"/>
            <w:vMerge w:val="restart"/>
            <w:shd w:val="clear" w:color="auto" w:fill="EDEDEE"/>
          </w:tcPr>
          <w:p>
            <w:pPr>
              <w:jc w:val="right"/>
              <w:ind w:right="20"/>
              <w:spacing w:after="0"/>
              <w:rPr>
                <w:sz w:val="20"/>
                <w:szCs w:val="20"/>
                <w:color w:val="auto"/>
              </w:rPr>
            </w:pPr>
            <w:r>
              <w:rPr>
                <w:rFonts w:ascii="Arial" w:cs="Arial" w:eastAsia="Arial" w:hAnsi="Arial"/>
                <w:sz w:val="16"/>
                <w:szCs w:val="16"/>
                <w:color w:val="auto"/>
              </w:rPr>
              <w:t>648,413</w:t>
            </w:r>
          </w:p>
        </w:tc>
        <w:tc>
          <w:tcPr>
            <w:tcW w:w="200" w:type="dxa"/>
            <w:vAlign w:val="bottom"/>
            <w:shd w:val="clear" w:color="auto" w:fill="EDEDEE"/>
          </w:tcPr>
          <w:p>
            <w:pPr>
              <w:spacing w:after="0"/>
              <w:rPr>
                <w:sz w:val="14"/>
                <w:szCs w:val="14"/>
                <w:color w:val="auto"/>
              </w:rPr>
            </w:pPr>
          </w:p>
        </w:tc>
        <w:tc>
          <w:tcPr>
            <w:tcW w:w="1220" w:type="dxa"/>
            <w:vAlign w:val="bottom"/>
            <w:vMerge w:val="restart"/>
            <w:shd w:val="clear" w:color="auto" w:fill="EDEDEE"/>
          </w:tcPr>
          <w:p>
            <w:pPr>
              <w:ind w:left="9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DEDEE"/>
          </w:tcPr>
          <w:p>
            <w:pPr>
              <w:spacing w:after="0"/>
              <w:rPr>
                <w:sz w:val="14"/>
                <w:szCs w:val="14"/>
                <w:color w:val="auto"/>
              </w:rPr>
            </w:pPr>
          </w:p>
        </w:tc>
        <w:tc>
          <w:tcPr>
            <w:tcW w:w="1100" w:type="dxa"/>
            <w:vAlign w:val="bottom"/>
            <w:vMerge w:val="restart"/>
            <w:shd w:val="clear" w:color="auto" w:fill="EDEDEE"/>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14"/>
                <w:szCs w:val="14"/>
                <w:color w:val="auto"/>
              </w:rPr>
            </w:pPr>
          </w:p>
        </w:tc>
        <w:tc>
          <w:tcPr>
            <w:tcW w:w="114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(24,058)</w:t>
            </w:r>
          </w:p>
        </w:tc>
        <w:tc>
          <w:tcPr>
            <w:tcW w:w="180" w:type="dxa"/>
            <w:vAlign w:val="bottom"/>
            <w:shd w:val="clear" w:color="auto" w:fill="EDEDEE"/>
          </w:tcPr>
          <w:p>
            <w:pPr>
              <w:spacing w:after="0"/>
              <w:rPr>
                <w:sz w:val="14"/>
                <w:szCs w:val="14"/>
                <w:color w:val="auto"/>
              </w:rPr>
            </w:pPr>
          </w:p>
        </w:tc>
        <w:tc>
          <w:tcPr>
            <w:tcW w:w="12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624,355</w:t>
            </w:r>
          </w:p>
        </w:tc>
        <w:tc>
          <w:tcPr>
            <w:tcW w:w="0" w:type="dxa"/>
            <w:vAlign w:val="bottom"/>
          </w:tcPr>
          <w:p>
            <w:pPr>
              <w:spacing w:after="0"/>
              <w:rPr>
                <w:sz w:val="1"/>
                <w:szCs w:val="1"/>
                <w:color w:val="auto"/>
              </w:rPr>
            </w:pPr>
          </w:p>
        </w:tc>
      </w:tr>
      <w:tr>
        <w:trPr>
          <w:trHeight w:val="216"/>
        </w:trPr>
        <w:tc>
          <w:tcPr>
            <w:tcW w:w="2920" w:type="dxa"/>
            <w:vAlign w:val="bottom"/>
            <w:shd w:val="clear" w:color="auto" w:fill="EDEDEE"/>
          </w:tcPr>
          <w:p>
            <w:pPr>
              <w:ind w:left="20"/>
              <w:spacing w:after="0"/>
              <w:rPr>
                <w:sz w:val="20"/>
                <w:szCs w:val="20"/>
                <w:color w:val="auto"/>
              </w:rPr>
            </w:pPr>
            <w:r>
              <w:rPr>
                <w:rFonts w:ascii="Arial" w:cs="Arial" w:eastAsia="Arial" w:hAnsi="Arial"/>
                <w:sz w:val="16"/>
                <w:szCs w:val="16"/>
                <w:color w:val="auto"/>
              </w:rPr>
              <w:t>enterprises and Treasuries</w:t>
            </w:r>
          </w:p>
        </w:tc>
        <w:tc>
          <w:tcPr>
            <w:tcW w:w="120" w:type="dxa"/>
            <w:vAlign w:val="bottom"/>
            <w:shd w:val="clear" w:color="auto" w:fill="EDEDEE"/>
          </w:tcPr>
          <w:p>
            <w:pPr>
              <w:spacing w:after="0"/>
              <w:rPr>
                <w:sz w:val="18"/>
                <w:szCs w:val="18"/>
                <w:color w:val="auto"/>
              </w:rPr>
            </w:pPr>
          </w:p>
        </w:tc>
        <w:tc>
          <w:tcPr>
            <w:tcW w:w="1280" w:type="dxa"/>
            <w:vAlign w:val="bottom"/>
            <w:vMerge w:val="continue"/>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1220" w:type="dxa"/>
            <w:vAlign w:val="bottom"/>
            <w:vMerge w:val="continue"/>
            <w:shd w:val="clear" w:color="auto" w:fill="EDEDEE"/>
          </w:tcPr>
          <w:p>
            <w:pPr>
              <w:spacing w:after="0"/>
              <w:rPr>
                <w:sz w:val="18"/>
                <w:szCs w:val="18"/>
                <w:color w:val="auto"/>
              </w:rPr>
            </w:pPr>
          </w:p>
        </w:tc>
        <w:tc>
          <w:tcPr>
            <w:tcW w:w="360" w:type="dxa"/>
            <w:vAlign w:val="bottom"/>
            <w:shd w:val="clear" w:color="auto" w:fill="EDEDEE"/>
          </w:tcPr>
          <w:p>
            <w:pPr>
              <w:spacing w:after="0"/>
              <w:rPr>
                <w:sz w:val="18"/>
                <w:szCs w:val="18"/>
                <w:color w:val="auto"/>
              </w:rPr>
            </w:pPr>
          </w:p>
        </w:tc>
        <w:tc>
          <w:tcPr>
            <w:tcW w:w="1100" w:type="dxa"/>
            <w:vAlign w:val="bottom"/>
            <w:vMerge w:val="continue"/>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1140" w:type="dxa"/>
            <w:vAlign w:val="bottom"/>
            <w:vMerge w:val="continue"/>
            <w:shd w:val="clear" w:color="auto" w:fill="EDEDEE"/>
          </w:tcPr>
          <w:p>
            <w:pPr>
              <w:spacing w:after="0"/>
              <w:rPr>
                <w:sz w:val="18"/>
                <w:szCs w:val="18"/>
                <w:color w:val="auto"/>
              </w:rPr>
            </w:pPr>
          </w:p>
        </w:tc>
        <w:tc>
          <w:tcPr>
            <w:tcW w:w="180" w:type="dxa"/>
            <w:vAlign w:val="bottom"/>
            <w:shd w:val="clear" w:color="auto" w:fill="EDEDEE"/>
          </w:tcPr>
          <w:p>
            <w:pPr>
              <w:spacing w:after="0"/>
              <w:rPr>
                <w:sz w:val="18"/>
                <w:szCs w:val="18"/>
                <w:color w:val="auto"/>
              </w:rPr>
            </w:pPr>
          </w:p>
        </w:tc>
        <w:tc>
          <w:tcPr>
            <w:tcW w:w="120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Other securities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551,570</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9,234</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(10,855)</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549,949</w:t>
            </w:r>
          </w:p>
        </w:tc>
        <w:tc>
          <w:tcPr>
            <w:tcW w:w="0" w:type="dxa"/>
            <w:vAlign w:val="bottom"/>
          </w:tcPr>
          <w:p>
            <w:pPr>
              <w:spacing w:after="0"/>
              <w:rPr>
                <w:sz w:val="1"/>
                <w:szCs w:val="1"/>
                <w:color w:val="auto"/>
              </w:rPr>
            </w:pPr>
          </w:p>
        </w:tc>
      </w:tr>
      <w:tr>
        <w:trPr>
          <w:trHeight w:val="234"/>
        </w:trPr>
        <w:tc>
          <w:tcPr>
            <w:tcW w:w="29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w:t>
            </w: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DEDEE"/>
          </w:tcPr>
          <w:p>
            <w:pPr>
              <w:jc w:val="right"/>
              <w:ind w:right="20"/>
              <w:spacing w:after="0"/>
              <w:rPr>
                <w:sz w:val="20"/>
                <w:szCs w:val="20"/>
                <w:color w:val="auto"/>
              </w:rPr>
            </w:pPr>
            <w:r>
              <w:rPr>
                <w:rFonts w:ascii="Arial" w:cs="Arial" w:eastAsia="Arial" w:hAnsi="Arial"/>
                <w:sz w:val="16"/>
                <w:szCs w:val="16"/>
                <w:color w:val="auto"/>
              </w:rPr>
              <w:t>1,747,064</w:t>
            </w:r>
          </w:p>
        </w:tc>
        <w:tc>
          <w:tcPr>
            <w:tcW w:w="2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DEDEE"/>
          </w:tcPr>
          <w:p>
            <w:pPr>
              <w:ind w:left="9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DEDEE"/>
          </w:tcPr>
          <w:p>
            <w:pPr>
              <w:ind w:lef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9,855</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(99,942)</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1,656,977</w:t>
            </w:r>
          </w:p>
        </w:tc>
        <w:tc>
          <w:tcPr>
            <w:tcW w:w="0" w:type="dxa"/>
            <w:vAlign w:val="bottom"/>
          </w:tcPr>
          <w:p>
            <w:pPr>
              <w:spacing w:after="0"/>
              <w:rPr>
                <w:sz w:val="1"/>
                <w:szCs w:val="1"/>
                <w:color w:val="auto"/>
              </w:rPr>
            </w:pPr>
          </w:p>
        </w:tc>
      </w:tr>
      <w:tr>
        <w:trPr>
          <w:trHeight w:val="20"/>
        </w:trPr>
        <w:tc>
          <w:tcPr>
            <w:tcW w:w="292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1280" w:type="dxa"/>
            <w:vAlign w:val="bottom"/>
            <w:tcBorders>
              <w:top w:val="single" w:sz="8" w:color="EDEDEE"/>
              <w:bottom w:val="single" w:sz="8" w:color="auto"/>
            </w:tcBorders>
          </w:tcPr>
          <w:p>
            <w:pPr>
              <w:spacing w:after="0" w:line="20" w:lineRule="exact"/>
              <w:rPr>
                <w:sz w:val="1"/>
                <w:szCs w:val="1"/>
                <w:color w:val="auto"/>
              </w:rPr>
            </w:pPr>
          </w:p>
        </w:tc>
        <w:tc>
          <w:tcPr>
            <w:tcW w:w="200" w:type="dxa"/>
            <w:vAlign w:val="bottom"/>
            <w:tcBorders>
              <w:top w:val="single" w:sz="8" w:color="EDEDEE"/>
              <w:bottom w:val="single" w:sz="8" w:color="auto"/>
            </w:tcBorders>
          </w:tcPr>
          <w:p>
            <w:pPr>
              <w:spacing w:after="0" w:line="20" w:lineRule="exact"/>
              <w:rPr>
                <w:sz w:val="1"/>
                <w:szCs w:val="1"/>
                <w:color w:val="auto"/>
              </w:rPr>
            </w:pPr>
          </w:p>
        </w:tc>
        <w:tc>
          <w:tcPr>
            <w:tcW w:w="1220" w:type="dxa"/>
            <w:vAlign w:val="bottom"/>
            <w:tcBorders>
              <w:top w:val="single" w:sz="8" w:color="EDEDEE"/>
              <w:bottom w:val="single" w:sz="8" w:color="auto"/>
            </w:tcBorders>
          </w:tcPr>
          <w:p>
            <w:pPr>
              <w:spacing w:after="0" w:line="20" w:lineRule="exact"/>
              <w:rPr>
                <w:sz w:val="1"/>
                <w:szCs w:val="1"/>
                <w:color w:val="auto"/>
              </w:rPr>
            </w:pPr>
          </w:p>
        </w:tc>
        <w:tc>
          <w:tcPr>
            <w:tcW w:w="360" w:type="dxa"/>
            <w:vAlign w:val="bottom"/>
            <w:tcBorders>
              <w:top w:val="single" w:sz="8" w:color="EDEDEE"/>
              <w:bottom w:val="single" w:sz="8" w:color="auto"/>
            </w:tcBorders>
          </w:tcPr>
          <w:p>
            <w:pPr>
              <w:spacing w:after="0" w:line="20" w:lineRule="exact"/>
              <w:rPr>
                <w:sz w:val="1"/>
                <w:szCs w:val="1"/>
                <w:color w:val="auto"/>
              </w:rPr>
            </w:pPr>
          </w:p>
        </w:tc>
        <w:tc>
          <w:tcPr>
            <w:tcW w:w="110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114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12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920" w:type="dxa"/>
            <w:vAlign w:val="bottom"/>
            <w:vMerge w:val="restart"/>
          </w:tcPr>
          <w:p>
            <w:pPr>
              <w:ind w:left="20"/>
              <w:spacing w:after="0"/>
              <w:rPr>
                <w:sz w:val="20"/>
                <w:szCs w:val="20"/>
                <w:color w:val="auto"/>
              </w:rPr>
            </w:pPr>
            <w:r>
              <w:rPr>
                <w:rFonts w:ascii="Arial" w:cs="Arial" w:eastAsia="Arial" w:hAnsi="Arial"/>
                <w:sz w:val="15"/>
                <w:szCs w:val="15"/>
                <w:b w:val="1"/>
                <w:bCs w:val="1"/>
                <w:color w:val="144F82"/>
              </w:rPr>
              <w:t>As of December 31, 2024</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center"/>
              <w:ind w:right="60"/>
              <w:spacing w:after="0"/>
              <w:rPr>
                <w:sz w:val="20"/>
                <w:szCs w:val="20"/>
                <w:color w:val="auto"/>
              </w:rPr>
            </w:pPr>
            <w:r>
              <w:rPr>
                <w:rFonts w:ascii="Arial" w:cs="Arial" w:eastAsia="Arial" w:hAnsi="Arial"/>
                <w:sz w:val="15"/>
                <w:szCs w:val="15"/>
                <w:b w:val="1"/>
                <w:bCs w:val="1"/>
                <w:color w:val="144F82"/>
              </w:rPr>
              <w:t>Allowance for</w:t>
            </w:r>
          </w:p>
        </w:tc>
        <w:tc>
          <w:tcPr>
            <w:tcW w:w="146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144F82"/>
              </w:rPr>
              <w:t>Gross Unrealized</w:t>
            </w:r>
          </w:p>
        </w:tc>
        <w:tc>
          <w:tcPr>
            <w:tcW w:w="240" w:type="dxa"/>
            <w:vAlign w:val="bottom"/>
          </w:tcPr>
          <w:p>
            <w:pPr>
              <w:spacing w:after="0"/>
              <w:rPr>
                <w:sz w:val="13"/>
                <w:szCs w:val="13"/>
                <w:color w:val="auto"/>
              </w:rPr>
            </w:pPr>
          </w:p>
        </w:tc>
        <w:tc>
          <w:tcPr>
            <w:tcW w:w="1140" w:type="dxa"/>
            <w:vAlign w:val="bottom"/>
          </w:tcPr>
          <w:p>
            <w:pPr>
              <w:jc w:val="center"/>
              <w:ind w:right="141"/>
              <w:spacing w:after="0" w:line="150" w:lineRule="exact"/>
              <w:rPr>
                <w:sz w:val="20"/>
                <w:szCs w:val="20"/>
                <w:color w:val="auto"/>
              </w:rPr>
            </w:pPr>
            <w:r>
              <w:rPr>
                <w:rFonts w:ascii="Arial" w:cs="Arial" w:eastAsia="Arial" w:hAnsi="Arial"/>
                <w:sz w:val="15"/>
                <w:szCs w:val="15"/>
                <w:b w:val="1"/>
                <w:bCs w:val="1"/>
                <w:color w:val="144F82"/>
              </w:rPr>
              <w:t>Gross</w:t>
            </w:r>
          </w:p>
        </w:tc>
        <w:tc>
          <w:tcPr>
            <w:tcW w:w="180" w:type="dxa"/>
            <w:vAlign w:val="bottom"/>
          </w:tcPr>
          <w:p>
            <w:pPr>
              <w:spacing w:after="0"/>
              <w:rPr>
                <w:sz w:val="13"/>
                <w:szCs w:val="13"/>
                <w:color w:val="auto"/>
              </w:rPr>
            </w:pPr>
          </w:p>
        </w:tc>
        <w:tc>
          <w:tcPr>
            <w:tcW w:w="1200" w:type="dxa"/>
            <w:vAlign w:val="bottom"/>
            <w:vMerge w:val="restart"/>
          </w:tcPr>
          <w:p>
            <w:pPr>
              <w:jc w:val="center"/>
              <w:ind w:right="40"/>
              <w:spacing w:after="0"/>
              <w:rPr>
                <w:sz w:val="20"/>
                <w:szCs w:val="20"/>
                <w:color w:val="auto"/>
              </w:rPr>
            </w:pPr>
            <w:r>
              <w:rPr>
                <w:rFonts w:ascii="Arial" w:cs="Arial" w:eastAsia="Arial" w:hAnsi="Arial"/>
                <w:sz w:val="15"/>
                <w:szCs w:val="15"/>
                <w:b w:val="1"/>
                <w:bCs w:val="1"/>
                <w:color w:val="144F82"/>
              </w:rPr>
              <w:t>Estimated Fair</w:t>
            </w:r>
          </w:p>
        </w:tc>
        <w:tc>
          <w:tcPr>
            <w:tcW w:w="0" w:type="dxa"/>
            <w:vAlign w:val="bottom"/>
          </w:tcPr>
          <w:p>
            <w:pPr>
              <w:spacing w:after="0"/>
              <w:rPr>
                <w:sz w:val="1"/>
                <w:szCs w:val="1"/>
                <w:color w:val="auto"/>
              </w:rPr>
            </w:pPr>
          </w:p>
        </w:tc>
      </w:tr>
      <w:tr>
        <w:trPr>
          <w:trHeight w:val="154"/>
        </w:trPr>
        <w:tc>
          <w:tcPr>
            <w:tcW w:w="2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right"/>
              <w:ind w:right="60"/>
              <w:spacing w:after="0"/>
              <w:rPr>
                <w:sz w:val="20"/>
                <w:szCs w:val="20"/>
                <w:color w:val="auto"/>
              </w:rPr>
            </w:pPr>
            <w:r>
              <w:rPr>
                <w:rFonts w:ascii="Arial" w:cs="Arial" w:eastAsia="Arial" w:hAnsi="Arial"/>
                <w:sz w:val="15"/>
                <w:szCs w:val="15"/>
                <w:b w:val="1"/>
                <w:bCs w:val="1"/>
                <w:color w:val="144F82"/>
              </w:rPr>
              <w:t>Amortized Cost</w:t>
            </w:r>
          </w:p>
        </w:tc>
        <w:tc>
          <w:tcPr>
            <w:tcW w:w="2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61"/>
              <w:spacing w:after="0" w:line="154" w:lineRule="exact"/>
              <w:rPr>
                <w:sz w:val="20"/>
                <w:szCs w:val="20"/>
                <w:color w:val="auto"/>
              </w:rPr>
            </w:pPr>
            <w:r>
              <w:rPr>
                <w:rFonts w:ascii="Arial" w:cs="Arial" w:eastAsia="Arial" w:hAnsi="Arial"/>
                <w:sz w:val="15"/>
                <w:szCs w:val="15"/>
                <w:b w:val="1"/>
                <w:bCs w:val="1"/>
                <w:color w:val="144F82"/>
              </w:rPr>
              <w:t>Unrealized</w:t>
            </w:r>
          </w:p>
        </w:tc>
        <w:tc>
          <w:tcPr>
            <w:tcW w:w="1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144F82"/>
              </w:rPr>
              <w:t>(dollars in thousands)</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0"/>
              <w:spacing w:after="0" w:line="203" w:lineRule="exact"/>
              <w:rPr>
                <w:sz w:val="20"/>
                <w:szCs w:val="20"/>
                <w:color w:val="auto"/>
              </w:rPr>
            </w:pPr>
            <w:r>
              <w:rPr>
                <w:rFonts w:ascii="Arial" w:cs="Arial" w:eastAsia="Arial" w:hAnsi="Arial"/>
                <w:sz w:val="15"/>
                <w:szCs w:val="15"/>
                <w:b w:val="1"/>
                <w:bCs w:val="1"/>
                <w:color w:val="144F82"/>
                <w:w w:val="98"/>
              </w:rPr>
              <w:t>credit losses</w:t>
            </w:r>
            <w:r>
              <w:rPr>
                <w:rFonts w:ascii="Arial" w:cs="Arial" w:eastAsia="Arial" w:hAnsi="Arial"/>
                <w:sz w:val="19"/>
                <w:szCs w:val="19"/>
                <w:b w:val="1"/>
                <w:bCs w:val="1"/>
                <w:color w:val="144F82"/>
                <w:w w:val="98"/>
                <w:vertAlign w:val="superscript"/>
              </w:rPr>
              <w:t>(1)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144F82"/>
              </w:rPr>
              <w:t>Gains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5"/>
                <w:szCs w:val="15"/>
                <w:b w:val="1"/>
                <w:bCs w:val="1"/>
                <w:color w:val="144F82"/>
              </w:rPr>
              <w:t>Losses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0"/>
              <w:spacing w:after="0"/>
              <w:rPr>
                <w:sz w:val="20"/>
                <w:szCs w:val="20"/>
                <w:color w:val="auto"/>
              </w:rPr>
            </w:pPr>
            <w:r>
              <w:rPr>
                <w:rFonts w:ascii="Arial" w:cs="Arial" w:eastAsia="Arial" w:hAnsi="Arial"/>
                <w:sz w:val="15"/>
                <w:szCs w:val="15"/>
                <w:b w:val="1"/>
                <w:bCs w:val="1"/>
                <w:color w:val="144F82"/>
                <w:w w:val="99"/>
              </w:rPr>
              <w:t>Value</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color w:val="144F82"/>
              </w:rPr>
              <w:t>Available-for-sale: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EDEDEE"/>
          </w:tcPr>
          <w:p>
            <w:pPr>
              <w:ind w:left="20"/>
              <w:spacing w:after="0"/>
              <w:rPr>
                <w:sz w:val="20"/>
                <w:szCs w:val="20"/>
                <w:color w:val="auto"/>
              </w:rPr>
            </w:pPr>
            <w:r>
              <w:rPr>
                <w:rFonts w:ascii="Arial" w:cs="Arial" w:eastAsia="Arial" w:hAnsi="Arial"/>
                <w:sz w:val="16"/>
                <w:szCs w:val="16"/>
                <w:color w:val="auto"/>
              </w:rPr>
              <w:t>Mortgage-backed securities</w:t>
            </w:r>
          </w:p>
        </w:tc>
        <w:tc>
          <w:tcPr>
            <w:tcW w:w="12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516,358</w:t>
            </w:r>
          </w:p>
        </w:tc>
        <w:tc>
          <w:tcPr>
            <w:tcW w:w="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DEDEE"/>
          </w:tcPr>
          <w:p>
            <w:pPr>
              <w:ind w:left="9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DEDEE"/>
          </w:tcPr>
          <w:p>
            <w:pPr>
              <w:ind w:lef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DEE"/>
          </w:tcPr>
          <w:p>
            <w:pPr>
              <w:jc w:val="right"/>
              <w:ind w:right="40"/>
              <w:spacing w:after="0"/>
              <w:rPr>
                <w:sz w:val="20"/>
                <w:szCs w:val="20"/>
                <w:color w:val="auto"/>
              </w:rPr>
            </w:pPr>
            <w:r>
              <w:rPr>
                <w:rFonts w:ascii="Arial" w:cs="Arial" w:eastAsia="Arial" w:hAnsi="Arial"/>
                <w:sz w:val="16"/>
                <w:szCs w:val="16"/>
                <w:color w:val="auto"/>
              </w:rPr>
              <w:t>205</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(73,235)</w:t>
            </w:r>
          </w:p>
        </w:tc>
        <w:tc>
          <w:tcPr>
            <w:tcW w:w="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443,328</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Utah Housing Corporation bonds</w:t>
            </w:r>
          </w:p>
        </w:tc>
        <w:tc>
          <w:tcPr>
            <w:tcW w:w="120" w:type="dxa"/>
            <w:vAlign w:val="bottom"/>
          </w:tcPr>
          <w:p>
            <w:pPr>
              <w:spacing w:after="0"/>
              <w:rPr>
                <w:sz w:val="18"/>
                <w:szCs w:val="18"/>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2,849</w:t>
            </w:r>
          </w:p>
        </w:tc>
        <w:tc>
          <w:tcPr>
            <w:tcW w:w="200" w:type="dxa"/>
            <w:vAlign w:val="bottom"/>
          </w:tcPr>
          <w:p>
            <w:pPr>
              <w:spacing w:after="0"/>
              <w:rPr>
                <w:sz w:val="18"/>
                <w:szCs w:val="18"/>
                <w:color w:val="auto"/>
              </w:rPr>
            </w:pPr>
          </w:p>
        </w:tc>
        <w:tc>
          <w:tcPr>
            <w:tcW w:w="1220" w:type="dxa"/>
            <w:vAlign w:val="bottom"/>
          </w:tcPr>
          <w:p>
            <w:pPr>
              <w:ind w:left="9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(490)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2,359</w:t>
            </w:r>
          </w:p>
        </w:tc>
        <w:tc>
          <w:tcPr>
            <w:tcW w:w="0" w:type="dxa"/>
            <w:vAlign w:val="bottom"/>
          </w:tcPr>
          <w:p>
            <w:pPr>
              <w:spacing w:after="0"/>
              <w:rPr>
                <w:sz w:val="1"/>
                <w:szCs w:val="1"/>
                <w:color w:val="auto"/>
              </w:rPr>
            </w:pPr>
          </w:p>
        </w:tc>
      </w:tr>
      <w:tr>
        <w:trPr>
          <w:trHeight w:val="163"/>
        </w:trPr>
        <w:tc>
          <w:tcPr>
            <w:tcW w:w="292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U.S. government-sponsored</w:t>
            </w:r>
          </w:p>
        </w:tc>
        <w:tc>
          <w:tcPr>
            <w:tcW w:w="120" w:type="dxa"/>
            <w:vAlign w:val="bottom"/>
            <w:shd w:val="clear" w:color="auto" w:fill="EDEDEE"/>
          </w:tcPr>
          <w:p>
            <w:pPr>
              <w:spacing w:after="0"/>
              <w:rPr>
                <w:sz w:val="14"/>
                <w:szCs w:val="14"/>
                <w:color w:val="auto"/>
              </w:rPr>
            </w:pPr>
          </w:p>
        </w:tc>
        <w:tc>
          <w:tcPr>
            <w:tcW w:w="1280" w:type="dxa"/>
            <w:vAlign w:val="bottom"/>
            <w:vMerge w:val="restart"/>
            <w:shd w:val="clear" w:color="auto" w:fill="EDEDEE"/>
          </w:tcPr>
          <w:p>
            <w:pPr>
              <w:jc w:val="right"/>
              <w:ind w:right="20"/>
              <w:spacing w:after="0"/>
              <w:rPr>
                <w:sz w:val="20"/>
                <w:szCs w:val="20"/>
                <w:color w:val="auto"/>
              </w:rPr>
            </w:pPr>
            <w:r>
              <w:rPr>
                <w:rFonts w:ascii="Arial" w:cs="Arial" w:eastAsia="Arial" w:hAnsi="Arial"/>
                <w:sz w:val="16"/>
                <w:szCs w:val="16"/>
                <w:color w:val="auto"/>
              </w:rPr>
              <w:t>948,009</w:t>
            </w:r>
          </w:p>
        </w:tc>
        <w:tc>
          <w:tcPr>
            <w:tcW w:w="200" w:type="dxa"/>
            <w:vAlign w:val="bottom"/>
            <w:shd w:val="clear" w:color="auto" w:fill="EDEDEE"/>
          </w:tcPr>
          <w:p>
            <w:pPr>
              <w:spacing w:after="0"/>
              <w:rPr>
                <w:sz w:val="14"/>
                <w:szCs w:val="14"/>
                <w:color w:val="auto"/>
              </w:rPr>
            </w:pPr>
          </w:p>
        </w:tc>
        <w:tc>
          <w:tcPr>
            <w:tcW w:w="1220" w:type="dxa"/>
            <w:vAlign w:val="bottom"/>
            <w:vMerge w:val="restart"/>
            <w:shd w:val="clear" w:color="auto" w:fill="EDEDEE"/>
          </w:tcPr>
          <w:p>
            <w:pPr>
              <w:ind w:left="9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DEDEE"/>
          </w:tcPr>
          <w:p>
            <w:pPr>
              <w:spacing w:after="0"/>
              <w:rPr>
                <w:sz w:val="14"/>
                <w:szCs w:val="14"/>
                <w:color w:val="auto"/>
              </w:rPr>
            </w:pPr>
          </w:p>
        </w:tc>
        <w:tc>
          <w:tcPr>
            <w:tcW w:w="1100" w:type="dxa"/>
            <w:vAlign w:val="bottom"/>
            <w:vMerge w:val="restart"/>
            <w:shd w:val="clear" w:color="auto" w:fill="EDEDEE"/>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14"/>
                <w:szCs w:val="14"/>
                <w:color w:val="auto"/>
              </w:rPr>
            </w:pPr>
          </w:p>
        </w:tc>
        <w:tc>
          <w:tcPr>
            <w:tcW w:w="114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(32,265)</w:t>
            </w:r>
          </w:p>
        </w:tc>
        <w:tc>
          <w:tcPr>
            <w:tcW w:w="180" w:type="dxa"/>
            <w:vAlign w:val="bottom"/>
            <w:shd w:val="clear" w:color="auto" w:fill="EDEDEE"/>
          </w:tcPr>
          <w:p>
            <w:pPr>
              <w:spacing w:after="0"/>
              <w:rPr>
                <w:sz w:val="14"/>
                <w:szCs w:val="14"/>
                <w:color w:val="auto"/>
              </w:rPr>
            </w:pPr>
          </w:p>
        </w:tc>
        <w:tc>
          <w:tcPr>
            <w:tcW w:w="12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915,744</w:t>
            </w:r>
          </w:p>
        </w:tc>
        <w:tc>
          <w:tcPr>
            <w:tcW w:w="0" w:type="dxa"/>
            <w:vAlign w:val="bottom"/>
          </w:tcPr>
          <w:p>
            <w:pPr>
              <w:spacing w:after="0"/>
              <w:rPr>
                <w:sz w:val="1"/>
                <w:szCs w:val="1"/>
                <w:color w:val="auto"/>
              </w:rPr>
            </w:pPr>
          </w:p>
        </w:tc>
      </w:tr>
      <w:tr>
        <w:trPr>
          <w:trHeight w:val="216"/>
        </w:trPr>
        <w:tc>
          <w:tcPr>
            <w:tcW w:w="2920" w:type="dxa"/>
            <w:vAlign w:val="bottom"/>
            <w:shd w:val="clear" w:color="auto" w:fill="EDEDEE"/>
          </w:tcPr>
          <w:p>
            <w:pPr>
              <w:ind w:left="20"/>
              <w:spacing w:after="0"/>
              <w:rPr>
                <w:sz w:val="20"/>
                <w:szCs w:val="20"/>
                <w:color w:val="auto"/>
              </w:rPr>
            </w:pPr>
            <w:r>
              <w:rPr>
                <w:rFonts w:ascii="Arial" w:cs="Arial" w:eastAsia="Arial" w:hAnsi="Arial"/>
                <w:sz w:val="16"/>
                <w:szCs w:val="16"/>
                <w:color w:val="auto"/>
              </w:rPr>
              <w:t>enterprises and Treasuries</w:t>
            </w:r>
          </w:p>
        </w:tc>
        <w:tc>
          <w:tcPr>
            <w:tcW w:w="120" w:type="dxa"/>
            <w:vAlign w:val="bottom"/>
            <w:shd w:val="clear" w:color="auto" w:fill="EDEDEE"/>
          </w:tcPr>
          <w:p>
            <w:pPr>
              <w:spacing w:after="0"/>
              <w:rPr>
                <w:sz w:val="18"/>
                <w:szCs w:val="18"/>
                <w:color w:val="auto"/>
              </w:rPr>
            </w:pPr>
          </w:p>
        </w:tc>
        <w:tc>
          <w:tcPr>
            <w:tcW w:w="1280" w:type="dxa"/>
            <w:vAlign w:val="bottom"/>
            <w:vMerge w:val="continue"/>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1220" w:type="dxa"/>
            <w:vAlign w:val="bottom"/>
            <w:vMerge w:val="continue"/>
            <w:shd w:val="clear" w:color="auto" w:fill="EDEDEE"/>
          </w:tcPr>
          <w:p>
            <w:pPr>
              <w:spacing w:after="0"/>
              <w:rPr>
                <w:sz w:val="18"/>
                <w:szCs w:val="18"/>
                <w:color w:val="auto"/>
              </w:rPr>
            </w:pPr>
          </w:p>
        </w:tc>
        <w:tc>
          <w:tcPr>
            <w:tcW w:w="360" w:type="dxa"/>
            <w:vAlign w:val="bottom"/>
            <w:shd w:val="clear" w:color="auto" w:fill="EDEDEE"/>
          </w:tcPr>
          <w:p>
            <w:pPr>
              <w:spacing w:after="0"/>
              <w:rPr>
                <w:sz w:val="18"/>
                <w:szCs w:val="18"/>
                <w:color w:val="auto"/>
              </w:rPr>
            </w:pPr>
          </w:p>
        </w:tc>
        <w:tc>
          <w:tcPr>
            <w:tcW w:w="1100" w:type="dxa"/>
            <w:vAlign w:val="bottom"/>
            <w:vMerge w:val="continue"/>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1140" w:type="dxa"/>
            <w:vAlign w:val="bottom"/>
            <w:vMerge w:val="continue"/>
            <w:shd w:val="clear" w:color="auto" w:fill="EDEDEE"/>
          </w:tcPr>
          <w:p>
            <w:pPr>
              <w:spacing w:after="0"/>
              <w:rPr>
                <w:sz w:val="18"/>
                <w:szCs w:val="18"/>
                <w:color w:val="auto"/>
              </w:rPr>
            </w:pPr>
          </w:p>
        </w:tc>
        <w:tc>
          <w:tcPr>
            <w:tcW w:w="180" w:type="dxa"/>
            <w:vAlign w:val="bottom"/>
            <w:shd w:val="clear" w:color="auto" w:fill="EDEDEE"/>
          </w:tcPr>
          <w:p>
            <w:pPr>
              <w:spacing w:after="0"/>
              <w:rPr>
                <w:sz w:val="18"/>
                <w:szCs w:val="18"/>
                <w:color w:val="auto"/>
              </w:rPr>
            </w:pPr>
          </w:p>
        </w:tc>
        <w:tc>
          <w:tcPr>
            <w:tcW w:w="120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Other securities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575,257</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8,633</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(12,095)</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571,795</w:t>
            </w:r>
          </w:p>
        </w:tc>
        <w:tc>
          <w:tcPr>
            <w:tcW w:w="0" w:type="dxa"/>
            <w:vAlign w:val="bottom"/>
          </w:tcPr>
          <w:p>
            <w:pPr>
              <w:spacing w:after="0"/>
              <w:rPr>
                <w:sz w:val="1"/>
                <w:szCs w:val="1"/>
                <w:color w:val="auto"/>
              </w:rPr>
            </w:pPr>
          </w:p>
        </w:tc>
      </w:tr>
      <w:tr>
        <w:trPr>
          <w:trHeight w:val="234"/>
        </w:trPr>
        <w:tc>
          <w:tcPr>
            <w:tcW w:w="29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w:t>
            </w: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DEDEE"/>
          </w:tcPr>
          <w:p>
            <w:pPr>
              <w:jc w:val="right"/>
              <w:ind w:right="20"/>
              <w:spacing w:after="0"/>
              <w:rPr>
                <w:sz w:val="20"/>
                <w:szCs w:val="20"/>
                <w:color w:val="auto"/>
              </w:rPr>
            </w:pPr>
            <w:r>
              <w:rPr>
                <w:rFonts w:ascii="Arial" w:cs="Arial" w:eastAsia="Arial" w:hAnsi="Arial"/>
                <w:sz w:val="16"/>
                <w:szCs w:val="16"/>
                <w:color w:val="auto"/>
              </w:rPr>
              <w:t>2,042,473</w:t>
            </w:r>
          </w:p>
        </w:tc>
        <w:tc>
          <w:tcPr>
            <w:tcW w:w="2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DEDEE"/>
          </w:tcPr>
          <w:p>
            <w:pPr>
              <w:ind w:left="9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DEDEE"/>
          </w:tcPr>
          <w:p>
            <w:pPr>
              <w:ind w:lef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8,838</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(118,085)</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1,933,226</w:t>
            </w:r>
          </w:p>
        </w:tc>
        <w:tc>
          <w:tcPr>
            <w:tcW w:w="0" w:type="dxa"/>
            <w:vAlign w:val="bottom"/>
          </w:tcPr>
          <w:p>
            <w:pPr>
              <w:spacing w:after="0"/>
              <w:rPr>
                <w:sz w:val="1"/>
                <w:szCs w:val="1"/>
                <w:color w:val="auto"/>
              </w:rPr>
            </w:pPr>
          </w:p>
        </w:tc>
      </w:tr>
      <w:tr>
        <w:trPr>
          <w:trHeight w:val="20"/>
        </w:trPr>
        <w:tc>
          <w:tcPr>
            <w:tcW w:w="292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1280" w:type="dxa"/>
            <w:vAlign w:val="bottom"/>
            <w:tcBorders>
              <w:top w:val="single" w:sz="8" w:color="EDEDEE"/>
              <w:bottom w:val="single" w:sz="8" w:color="auto"/>
            </w:tcBorders>
          </w:tcPr>
          <w:p>
            <w:pPr>
              <w:spacing w:after="0" w:line="20" w:lineRule="exact"/>
              <w:rPr>
                <w:sz w:val="1"/>
                <w:szCs w:val="1"/>
                <w:color w:val="auto"/>
              </w:rPr>
            </w:pPr>
          </w:p>
        </w:tc>
        <w:tc>
          <w:tcPr>
            <w:tcW w:w="200" w:type="dxa"/>
            <w:vAlign w:val="bottom"/>
            <w:tcBorders>
              <w:top w:val="single" w:sz="8" w:color="EDEDEE"/>
              <w:bottom w:val="single" w:sz="8" w:color="auto"/>
            </w:tcBorders>
          </w:tcPr>
          <w:p>
            <w:pPr>
              <w:spacing w:after="0" w:line="20" w:lineRule="exact"/>
              <w:rPr>
                <w:sz w:val="1"/>
                <w:szCs w:val="1"/>
                <w:color w:val="auto"/>
              </w:rPr>
            </w:pPr>
          </w:p>
        </w:tc>
        <w:tc>
          <w:tcPr>
            <w:tcW w:w="1220" w:type="dxa"/>
            <w:vAlign w:val="bottom"/>
            <w:tcBorders>
              <w:top w:val="single" w:sz="8" w:color="EDEDEE"/>
              <w:bottom w:val="single" w:sz="8" w:color="auto"/>
            </w:tcBorders>
          </w:tcPr>
          <w:p>
            <w:pPr>
              <w:spacing w:after="0" w:line="20" w:lineRule="exact"/>
              <w:rPr>
                <w:sz w:val="1"/>
                <w:szCs w:val="1"/>
                <w:color w:val="auto"/>
              </w:rPr>
            </w:pPr>
          </w:p>
        </w:tc>
        <w:tc>
          <w:tcPr>
            <w:tcW w:w="360" w:type="dxa"/>
            <w:vAlign w:val="bottom"/>
            <w:tcBorders>
              <w:top w:val="single" w:sz="8" w:color="EDEDEE"/>
              <w:bottom w:val="single" w:sz="8" w:color="auto"/>
            </w:tcBorders>
          </w:tcPr>
          <w:p>
            <w:pPr>
              <w:spacing w:after="0" w:line="20" w:lineRule="exact"/>
              <w:rPr>
                <w:sz w:val="1"/>
                <w:szCs w:val="1"/>
                <w:color w:val="auto"/>
              </w:rPr>
            </w:pPr>
          </w:p>
        </w:tc>
        <w:tc>
          <w:tcPr>
            <w:tcW w:w="110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114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12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980" w:right="840" w:hanging="162"/>
        <w:spacing w:after="0" w:line="238" w:lineRule="auto"/>
        <w:tabs>
          <w:tab w:leader="none" w:pos="97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the amount of impairment that has resulted from credit-related factors and that was recognized in the consolidated balance sheets (as a credit loss expense on available-for-sale securities). The amount excludes unrealized losses related to non-credit factors.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34F82"/>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3" w:name="page14"/>
    <w:bookmarkEnd w:id="13"/>
    <w:p>
      <w:pPr>
        <w:ind w:left="380" w:hanging="334"/>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sz w:val="20"/>
          <w:szCs w:val="20"/>
          <w:color w:val="auto"/>
        </w:rPr>
      </w:pPr>
    </w:p>
    <w:p>
      <w:pPr>
        <w:spacing w:after="0" w:line="268"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following table summarizes the amount of gross unrealized losses for our available-for-sale securities and the estimated fair value for securities having gross unrealized loss positions, categorized by length of time the securities have been in an unrealized loss position:</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215"/>
        </w:trPr>
        <w:tc>
          <w:tcPr>
            <w:tcW w:w="27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144F82"/>
              </w:rPr>
              <w:t>Less than 12 months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144F82"/>
              </w:rPr>
              <w:t>12 months or more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144F82"/>
              </w:rPr>
              <w:t>Total</w:t>
            </w:r>
          </w:p>
        </w:tc>
        <w:tc>
          <w:tcPr>
            <w:tcW w:w="10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22"/>
              <w:spacing w:after="0"/>
              <w:rPr>
                <w:sz w:val="20"/>
                <w:szCs w:val="20"/>
                <w:color w:val="auto"/>
              </w:rPr>
            </w:pPr>
            <w:r>
              <w:rPr>
                <w:rFonts w:ascii="Arial" w:cs="Arial" w:eastAsia="Arial" w:hAnsi="Arial"/>
                <w:sz w:val="14"/>
                <w:szCs w:val="14"/>
                <w:b w:val="1"/>
                <w:bCs w:val="1"/>
                <w:color w:val="144F82"/>
              </w:rPr>
              <w:t>Gross</w:t>
            </w:r>
          </w:p>
        </w:tc>
        <w:tc>
          <w:tcPr>
            <w:tcW w:w="240" w:type="dxa"/>
            <w:vAlign w:val="bottom"/>
          </w:tcPr>
          <w:p>
            <w:pPr>
              <w:spacing w:after="0"/>
              <w:rPr>
                <w:sz w:val="15"/>
                <w:szCs w:val="15"/>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144F82"/>
              </w:rPr>
              <w:t>Estimated</w:t>
            </w:r>
          </w:p>
        </w:tc>
        <w:tc>
          <w:tcPr>
            <w:tcW w:w="160" w:type="dxa"/>
            <w:vAlign w:val="bottom"/>
          </w:tcPr>
          <w:p>
            <w:pPr>
              <w:spacing w:after="0"/>
              <w:rPr>
                <w:sz w:val="15"/>
                <w:szCs w:val="15"/>
                <w:color w:val="auto"/>
              </w:rPr>
            </w:pPr>
          </w:p>
        </w:tc>
        <w:tc>
          <w:tcPr>
            <w:tcW w:w="1060" w:type="dxa"/>
            <w:vAlign w:val="bottom"/>
          </w:tcPr>
          <w:p>
            <w:pPr>
              <w:jc w:val="center"/>
              <w:ind w:right="162"/>
              <w:spacing w:after="0"/>
              <w:rPr>
                <w:sz w:val="20"/>
                <w:szCs w:val="20"/>
                <w:color w:val="auto"/>
              </w:rPr>
            </w:pPr>
            <w:r>
              <w:rPr>
                <w:rFonts w:ascii="Arial" w:cs="Arial" w:eastAsia="Arial" w:hAnsi="Arial"/>
                <w:sz w:val="14"/>
                <w:szCs w:val="14"/>
                <w:b w:val="1"/>
                <w:bCs w:val="1"/>
                <w:color w:val="144F82"/>
              </w:rPr>
              <w:t>Gross</w:t>
            </w:r>
          </w:p>
        </w:tc>
        <w:tc>
          <w:tcPr>
            <w:tcW w:w="240" w:type="dxa"/>
            <w:vAlign w:val="bottom"/>
          </w:tcPr>
          <w:p>
            <w:pPr>
              <w:spacing w:after="0"/>
              <w:rPr>
                <w:sz w:val="15"/>
                <w:szCs w:val="15"/>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144F82"/>
              </w:rPr>
              <w:t>Estimated</w:t>
            </w:r>
          </w:p>
        </w:tc>
        <w:tc>
          <w:tcPr>
            <w:tcW w:w="140" w:type="dxa"/>
            <w:vAlign w:val="bottom"/>
          </w:tcPr>
          <w:p>
            <w:pPr>
              <w:spacing w:after="0"/>
              <w:rPr>
                <w:sz w:val="15"/>
                <w:szCs w:val="15"/>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144F82"/>
              </w:rPr>
              <w:t>Gross</w:t>
            </w:r>
          </w:p>
        </w:tc>
        <w:tc>
          <w:tcPr>
            <w:tcW w:w="380" w:type="dxa"/>
            <w:vAlign w:val="bottom"/>
          </w:tcPr>
          <w:p>
            <w:pPr>
              <w:spacing w:after="0"/>
              <w:rPr>
                <w:sz w:val="15"/>
                <w:szCs w:val="15"/>
                <w:color w:val="auto"/>
              </w:rPr>
            </w:pPr>
          </w:p>
        </w:tc>
        <w:tc>
          <w:tcPr>
            <w:tcW w:w="10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144F82"/>
              </w:rPr>
              <w:t>Estimated</w:t>
            </w:r>
          </w:p>
        </w:tc>
        <w:tc>
          <w:tcPr>
            <w:tcW w:w="0" w:type="dxa"/>
            <w:vAlign w:val="bottom"/>
          </w:tcPr>
          <w:p>
            <w:pPr>
              <w:spacing w:after="0"/>
              <w:rPr>
                <w:sz w:val="1"/>
                <w:szCs w:val="1"/>
                <w:color w:val="auto"/>
              </w:rPr>
            </w:pPr>
          </w:p>
        </w:tc>
      </w:tr>
      <w:tr>
        <w:trPr>
          <w:trHeight w:val="149"/>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140" w:type="dxa"/>
            <w:vAlign w:val="bottom"/>
          </w:tcPr>
          <w:p>
            <w:pPr>
              <w:spacing w:after="0"/>
              <w:rPr>
                <w:sz w:val="12"/>
                <w:szCs w:val="12"/>
                <w:color w:val="auto"/>
              </w:rPr>
            </w:pPr>
          </w:p>
        </w:tc>
        <w:tc>
          <w:tcPr>
            <w:tcW w:w="10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144F82"/>
              </w:rPr>
              <w:t>Unrealized</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144F82"/>
              </w:rPr>
              <w:t>Unrealized</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144F82"/>
              </w:rPr>
              <w:t>Unrealized</w:t>
            </w:r>
          </w:p>
        </w:tc>
        <w:tc>
          <w:tcPr>
            <w:tcW w:w="3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144F82"/>
              </w:rPr>
              <w:t>Losses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144F82"/>
              </w:rPr>
              <w:t>Fair Value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144F82"/>
              </w:rPr>
              <w:t>Losses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144F82"/>
              </w:rPr>
              <w:t>Fair Value</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144F82"/>
              </w:rPr>
              <w:t>Losses</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144F82"/>
              </w:rPr>
              <w:t>Fair Value</w:t>
            </w:r>
          </w:p>
        </w:tc>
        <w:tc>
          <w:tcPr>
            <w:tcW w:w="0" w:type="dxa"/>
            <w:vAlign w:val="bottom"/>
          </w:tcPr>
          <w:p>
            <w:pPr>
              <w:spacing w:after="0"/>
              <w:rPr>
                <w:sz w:val="1"/>
                <w:szCs w:val="1"/>
                <w:color w:val="auto"/>
              </w:rPr>
            </w:pPr>
          </w:p>
        </w:tc>
      </w:tr>
      <w:tr>
        <w:trPr>
          <w:trHeight w:val="195"/>
        </w:trPr>
        <w:tc>
          <w:tcPr>
            <w:tcW w:w="2780" w:type="dxa"/>
            <w:vAlign w:val="bottom"/>
          </w:tcPr>
          <w:p>
            <w:pPr>
              <w:ind w:left="20"/>
              <w:spacing w:after="0"/>
              <w:rPr>
                <w:sz w:val="20"/>
                <w:szCs w:val="20"/>
                <w:color w:val="auto"/>
              </w:rPr>
            </w:pPr>
            <w:r>
              <w:rPr>
                <w:rFonts w:ascii="Arial" w:cs="Arial" w:eastAsia="Arial" w:hAnsi="Arial"/>
                <w:sz w:val="14"/>
                <w:szCs w:val="14"/>
                <w:b w:val="1"/>
                <w:bCs w:val="1"/>
                <w:color w:val="144F82"/>
              </w:rPr>
              <w:t>As of March 31, 2025:</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EDEDEE"/>
          </w:tcPr>
          <w:p>
            <w:pPr>
              <w:ind w:left="2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(846)</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96,803</w:t>
            </w:r>
          </w:p>
        </w:tc>
        <w:tc>
          <w:tcPr>
            <w:tcW w:w="120" w:type="dxa"/>
            <w:vAlign w:val="bottom"/>
            <w:shd w:val="clear" w:color="auto" w:fill="EDEDEE"/>
          </w:tcPr>
          <w:p>
            <w:pPr>
              <w:spacing w:after="0"/>
              <w:rPr>
                <w:sz w:val="18"/>
                <w:szCs w:val="18"/>
                <w:color w:val="auto"/>
              </w:rPr>
            </w:pPr>
          </w:p>
        </w:tc>
        <w:tc>
          <w:tcPr>
            <w:tcW w:w="16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(63,774)</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308,278</w:t>
            </w:r>
          </w:p>
        </w:tc>
        <w:tc>
          <w:tcPr>
            <w:tcW w:w="100" w:type="dxa"/>
            <w:vAlign w:val="bottom"/>
            <w:shd w:val="clear" w:color="auto" w:fill="EDEDEE"/>
          </w:tcPr>
          <w:p>
            <w:pPr>
              <w:spacing w:after="0"/>
              <w:rPr>
                <w:sz w:val="18"/>
                <w:szCs w:val="18"/>
                <w:color w:val="auto"/>
              </w:rPr>
            </w:pPr>
          </w:p>
        </w:tc>
        <w:tc>
          <w:tcPr>
            <w:tcW w:w="14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(64,620)</w:t>
            </w:r>
          </w:p>
        </w:tc>
        <w:tc>
          <w:tcPr>
            <w:tcW w:w="380" w:type="dxa"/>
            <w:vAlign w:val="bottom"/>
            <w:shd w:val="clear" w:color="auto" w:fill="EDEDEE"/>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405,081</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Utah Housing Corporation bonds</w:t>
            </w:r>
          </w:p>
        </w:tc>
        <w:tc>
          <w:tcPr>
            <w:tcW w:w="14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(409)</w:t>
            </w:r>
          </w:p>
        </w:tc>
        <w:tc>
          <w:tcPr>
            <w:tcW w:w="2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(409)</w:t>
            </w:r>
          </w:p>
        </w:tc>
        <w:tc>
          <w:tcPr>
            <w:tcW w:w="3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163"/>
        </w:trPr>
        <w:tc>
          <w:tcPr>
            <w:tcW w:w="278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U.S. government-sponsored</w:t>
            </w:r>
          </w:p>
        </w:tc>
        <w:tc>
          <w:tcPr>
            <w:tcW w:w="140" w:type="dxa"/>
            <w:vAlign w:val="bottom"/>
            <w:shd w:val="clear" w:color="auto" w:fill="EDEDEE"/>
          </w:tcPr>
          <w:p>
            <w:pPr>
              <w:spacing w:after="0"/>
              <w:rPr>
                <w:sz w:val="14"/>
                <w:szCs w:val="14"/>
                <w:color w:val="auto"/>
              </w:rPr>
            </w:pPr>
          </w:p>
        </w:tc>
        <w:tc>
          <w:tcPr>
            <w:tcW w:w="1060" w:type="dxa"/>
            <w:vAlign w:val="bottom"/>
            <w:vMerge w:val="restart"/>
            <w:shd w:val="clear" w:color="auto" w:fill="EDEDEE"/>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14"/>
                <w:szCs w:val="14"/>
                <w:color w:val="auto"/>
              </w:rPr>
            </w:pPr>
          </w:p>
        </w:tc>
        <w:tc>
          <w:tcPr>
            <w:tcW w:w="1080" w:type="dxa"/>
            <w:vAlign w:val="bottom"/>
            <w:gridSpan w:val="2"/>
            <w:vMerge w:val="restart"/>
            <w:shd w:val="clear" w:color="auto" w:fill="EDEDEE"/>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DEDEE"/>
          </w:tcPr>
          <w:p>
            <w:pPr>
              <w:spacing w:after="0"/>
              <w:rPr>
                <w:sz w:val="14"/>
                <w:szCs w:val="14"/>
                <w:color w:val="auto"/>
              </w:rPr>
            </w:pPr>
          </w:p>
        </w:tc>
        <w:tc>
          <w:tcPr>
            <w:tcW w:w="1060" w:type="dxa"/>
            <w:vAlign w:val="bottom"/>
            <w:vMerge w:val="restart"/>
            <w:shd w:val="clear" w:color="auto" w:fill="EDEDEE"/>
          </w:tcPr>
          <w:p>
            <w:pPr>
              <w:jc w:val="right"/>
              <w:ind w:right="2"/>
              <w:spacing w:after="0"/>
              <w:rPr>
                <w:sz w:val="20"/>
                <w:szCs w:val="20"/>
                <w:color w:val="auto"/>
              </w:rPr>
            </w:pPr>
            <w:r>
              <w:rPr>
                <w:rFonts w:ascii="Arial" w:cs="Arial" w:eastAsia="Arial" w:hAnsi="Arial"/>
                <w:sz w:val="16"/>
                <w:szCs w:val="16"/>
                <w:color w:val="auto"/>
              </w:rPr>
              <w:t>(24,058)</w:t>
            </w:r>
          </w:p>
        </w:tc>
        <w:tc>
          <w:tcPr>
            <w:tcW w:w="240" w:type="dxa"/>
            <w:vAlign w:val="bottom"/>
            <w:shd w:val="clear" w:color="auto" w:fill="EDEDEE"/>
          </w:tcPr>
          <w:p>
            <w:pPr>
              <w:spacing w:after="0"/>
              <w:rPr>
                <w:sz w:val="14"/>
                <w:szCs w:val="14"/>
                <w:color w:val="auto"/>
              </w:rPr>
            </w:pPr>
          </w:p>
        </w:tc>
        <w:tc>
          <w:tcPr>
            <w:tcW w:w="106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624,355</w:t>
            </w:r>
          </w:p>
        </w:tc>
        <w:tc>
          <w:tcPr>
            <w:tcW w:w="100" w:type="dxa"/>
            <w:vAlign w:val="bottom"/>
            <w:shd w:val="clear" w:color="auto" w:fill="EDEDEE"/>
          </w:tcPr>
          <w:p>
            <w:pPr>
              <w:spacing w:after="0"/>
              <w:rPr>
                <w:sz w:val="14"/>
                <w:szCs w:val="14"/>
                <w:color w:val="auto"/>
              </w:rPr>
            </w:pPr>
          </w:p>
        </w:tc>
        <w:tc>
          <w:tcPr>
            <w:tcW w:w="140" w:type="dxa"/>
            <w:vAlign w:val="bottom"/>
            <w:shd w:val="clear" w:color="auto" w:fill="EDEDEE"/>
          </w:tcPr>
          <w:p>
            <w:pPr>
              <w:spacing w:after="0"/>
              <w:rPr>
                <w:sz w:val="14"/>
                <w:szCs w:val="14"/>
                <w:color w:val="auto"/>
              </w:rPr>
            </w:pPr>
          </w:p>
        </w:tc>
        <w:tc>
          <w:tcPr>
            <w:tcW w:w="9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(24,058)</w:t>
            </w:r>
          </w:p>
        </w:tc>
        <w:tc>
          <w:tcPr>
            <w:tcW w:w="380" w:type="dxa"/>
            <w:vAlign w:val="bottom"/>
            <w:shd w:val="clear" w:color="auto" w:fill="EDEDEE"/>
          </w:tcPr>
          <w:p>
            <w:pPr>
              <w:spacing w:after="0"/>
              <w:rPr>
                <w:sz w:val="14"/>
                <w:szCs w:val="14"/>
                <w:color w:val="auto"/>
              </w:rPr>
            </w:pPr>
          </w:p>
        </w:tc>
        <w:tc>
          <w:tcPr>
            <w:tcW w:w="100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624,355</w:t>
            </w:r>
          </w:p>
        </w:tc>
        <w:tc>
          <w:tcPr>
            <w:tcW w:w="0" w:type="dxa"/>
            <w:vAlign w:val="bottom"/>
          </w:tcPr>
          <w:p>
            <w:pPr>
              <w:spacing w:after="0"/>
              <w:rPr>
                <w:sz w:val="1"/>
                <w:szCs w:val="1"/>
                <w:color w:val="auto"/>
              </w:rPr>
            </w:pPr>
          </w:p>
        </w:tc>
      </w:tr>
      <w:tr>
        <w:trPr>
          <w:trHeight w:val="216"/>
        </w:trPr>
        <w:tc>
          <w:tcPr>
            <w:tcW w:w="2780" w:type="dxa"/>
            <w:vAlign w:val="bottom"/>
            <w:shd w:val="clear" w:color="auto" w:fill="EDEDEE"/>
          </w:tcPr>
          <w:p>
            <w:pPr>
              <w:ind w:left="20"/>
              <w:spacing w:after="0"/>
              <w:rPr>
                <w:sz w:val="20"/>
                <w:szCs w:val="20"/>
                <w:color w:val="auto"/>
              </w:rPr>
            </w:pPr>
            <w:r>
              <w:rPr>
                <w:rFonts w:ascii="Arial" w:cs="Arial" w:eastAsia="Arial" w:hAnsi="Arial"/>
                <w:sz w:val="16"/>
                <w:szCs w:val="16"/>
                <w:color w:val="auto"/>
              </w:rPr>
              <w:t>enterprises and Treasuries</w:t>
            </w:r>
          </w:p>
        </w:tc>
        <w:tc>
          <w:tcPr>
            <w:tcW w:w="140" w:type="dxa"/>
            <w:vAlign w:val="bottom"/>
            <w:shd w:val="clear" w:color="auto" w:fill="EDEDEE"/>
          </w:tcPr>
          <w:p>
            <w:pPr>
              <w:spacing w:after="0"/>
              <w:rPr>
                <w:sz w:val="18"/>
                <w:szCs w:val="18"/>
                <w:color w:val="auto"/>
              </w:rPr>
            </w:pPr>
          </w:p>
        </w:tc>
        <w:tc>
          <w:tcPr>
            <w:tcW w:w="1060" w:type="dxa"/>
            <w:vAlign w:val="bottom"/>
            <w:vMerge w:val="continue"/>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1080" w:type="dxa"/>
            <w:vAlign w:val="bottom"/>
            <w:gridSpan w:val="2"/>
            <w:vMerge w:val="continue"/>
            <w:shd w:val="clear" w:color="auto" w:fill="EDEDEE"/>
          </w:tcPr>
          <w:p>
            <w:pPr>
              <w:spacing w:after="0"/>
              <w:rPr>
                <w:sz w:val="18"/>
                <w:szCs w:val="18"/>
                <w:color w:val="auto"/>
              </w:rPr>
            </w:pPr>
          </w:p>
        </w:tc>
        <w:tc>
          <w:tcPr>
            <w:tcW w:w="160" w:type="dxa"/>
            <w:vAlign w:val="bottom"/>
            <w:shd w:val="clear" w:color="auto" w:fill="EDEDEE"/>
          </w:tcPr>
          <w:p>
            <w:pPr>
              <w:spacing w:after="0"/>
              <w:rPr>
                <w:sz w:val="18"/>
                <w:szCs w:val="18"/>
                <w:color w:val="auto"/>
              </w:rPr>
            </w:pPr>
          </w:p>
        </w:tc>
        <w:tc>
          <w:tcPr>
            <w:tcW w:w="1060" w:type="dxa"/>
            <w:vAlign w:val="bottom"/>
            <w:vMerge w:val="continue"/>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1060" w:type="dxa"/>
            <w:vAlign w:val="bottom"/>
            <w:vMerge w:val="continue"/>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140" w:type="dxa"/>
            <w:vAlign w:val="bottom"/>
            <w:shd w:val="clear" w:color="auto" w:fill="EDEDEE"/>
          </w:tcPr>
          <w:p>
            <w:pPr>
              <w:spacing w:after="0"/>
              <w:rPr>
                <w:sz w:val="18"/>
                <w:szCs w:val="18"/>
                <w:color w:val="auto"/>
              </w:rPr>
            </w:pPr>
          </w:p>
        </w:tc>
        <w:tc>
          <w:tcPr>
            <w:tcW w:w="900" w:type="dxa"/>
            <w:vAlign w:val="bottom"/>
            <w:vMerge w:val="continue"/>
            <w:shd w:val="clear" w:color="auto" w:fill="EDEDEE"/>
          </w:tcPr>
          <w:p>
            <w:pPr>
              <w:spacing w:after="0"/>
              <w:rPr>
                <w:sz w:val="18"/>
                <w:szCs w:val="18"/>
                <w:color w:val="auto"/>
              </w:rPr>
            </w:pPr>
          </w:p>
        </w:tc>
        <w:tc>
          <w:tcPr>
            <w:tcW w:w="380" w:type="dxa"/>
            <w:vAlign w:val="bottom"/>
            <w:shd w:val="clear" w:color="auto" w:fill="EDEDEE"/>
          </w:tcPr>
          <w:p>
            <w:pPr>
              <w:spacing w:after="0"/>
              <w:rPr>
                <w:sz w:val="18"/>
                <w:szCs w:val="18"/>
                <w:color w:val="auto"/>
              </w:rPr>
            </w:pPr>
          </w:p>
        </w:tc>
        <w:tc>
          <w:tcPr>
            <w:tcW w:w="100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Other securities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11,593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(10,794)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140,698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(10,855)</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152,291</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w:t>
            </w:r>
          </w:p>
        </w:tc>
        <w:tc>
          <w:tcPr>
            <w:tcW w:w="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(907)</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108,396</w:t>
            </w:r>
          </w:p>
        </w:tc>
        <w:tc>
          <w:tcPr>
            <w:tcW w:w="120" w:type="dxa"/>
            <w:vAlign w:val="bottom"/>
            <w:tcBorders>
              <w:bottom w:val="single" w:sz="8" w:color="auto"/>
            </w:tcBorders>
            <w:shd w:val="clear" w:color="auto" w:fill="EDEDEE"/>
          </w:tcPr>
          <w:p>
            <w:pPr>
              <w:spacing w:after="0"/>
              <w:rPr>
                <w:sz w:val="20"/>
                <w:szCs w:val="20"/>
                <w:color w:val="auto"/>
              </w:rPr>
            </w:pPr>
          </w:p>
        </w:tc>
        <w:tc>
          <w:tcPr>
            <w:tcW w:w="1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DEDEE"/>
          </w:tcPr>
          <w:p>
            <w:pPr>
              <w:jc w:val="right"/>
              <w:ind w:right="2"/>
              <w:spacing w:after="0"/>
              <w:rPr>
                <w:sz w:val="20"/>
                <w:szCs w:val="20"/>
                <w:color w:val="auto"/>
              </w:rPr>
            </w:pPr>
            <w:r>
              <w:rPr>
                <w:rFonts w:ascii="Arial" w:cs="Arial" w:eastAsia="Arial" w:hAnsi="Arial"/>
                <w:sz w:val="16"/>
                <w:szCs w:val="16"/>
                <w:color w:val="auto"/>
              </w:rPr>
              <w:t>(99,035)</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1,075,581</w:t>
            </w:r>
          </w:p>
        </w:tc>
        <w:tc>
          <w:tcPr>
            <w:tcW w:w="100" w:type="dxa"/>
            <w:vAlign w:val="bottom"/>
            <w:tcBorders>
              <w:bottom w:val="single" w:sz="8" w:color="auto"/>
            </w:tcBorders>
            <w:shd w:val="clear" w:color="auto" w:fill="EDEDEE"/>
          </w:tcPr>
          <w:p>
            <w:pPr>
              <w:spacing w:after="0"/>
              <w:rPr>
                <w:sz w:val="20"/>
                <w:szCs w:val="20"/>
                <w:color w:val="auto"/>
              </w:rPr>
            </w:pPr>
          </w:p>
        </w:tc>
        <w:tc>
          <w:tcPr>
            <w:tcW w:w="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(99,942)</w:t>
            </w:r>
          </w:p>
        </w:tc>
        <w:tc>
          <w:tcPr>
            <w:tcW w:w="380" w:type="dxa"/>
            <w:vAlign w:val="bottom"/>
            <w:tcBorders>
              <w:bottom w:val="single" w:sz="8" w:color="auto"/>
            </w:tcBorders>
            <w:shd w:val="clear" w:color="auto" w:fill="EDEDEE"/>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1,183,977</w:t>
            </w:r>
          </w:p>
        </w:tc>
        <w:tc>
          <w:tcPr>
            <w:tcW w:w="0" w:type="dxa"/>
            <w:vAlign w:val="bottom"/>
          </w:tcPr>
          <w:p>
            <w:pPr>
              <w:spacing w:after="0"/>
              <w:rPr>
                <w:sz w:val="1"/>
                <w:szCs w:val="1"/>
                <w:color w:val="auto"/>
              </w:rPr>
            </w:pPr>
          </w:p>
        </w:tc>
      </w:tr>
      <w:tr>
        <w:trPr>
          <w:trHeight w:val="20"/>
        </w:trPr>
        <w:tc>
          <w:tcPr>
            <w:tcW w:w="2780" w:type="dxa"/>
            <w:vAlign w:val="bottom"/>
            <w:tcBorders>
              <w:top w:val="single" w:sz="8" w:color="EDEDEE"/>
              <w:bottom w:val="single" w:sz="8" w:color="EDEDEE"/>
            </w:tcBorders>
            <w:vMerge w:val="restart"/>
          </w:tcPr>
          <w:p>
            <w:pPr>
              <w:ind w:left="20"/>
              <w:spacing w:after="0"/>
              <w:rPr>
                <w:sz w:val="20"/>
                <w:szCs w:val="20"/>
                <w:color w:val="auto"/>
              </w:rPr>
            </w:pPr>
            <w:r>
              <w:rPr>
                <w:rFonts w:ascii="Arial" w:cs="Arial" w:eastAsia="Arial" w:hAnsi="Arial"/>
                <w:sz w:val="14"/>
                <w:szCs w:val="14"/>
                <w:b w:val="1"/>
                <w:bCs w:val="1"/>
                <w:color w:val="144F82"/>
              </w:rPr>
              <w:t>As of December 31, 2024:</w:t>
            </w: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106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96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160" w:type="dxa"/>
            <w:vAlign w:val="bottom"/>
            <w:tcBorders>
              <w:top w:val="single" w:sz="8" w:color="EDEDEE"/>
              <w:bottom w:val="single" w:sz="8" w:color="auto"/>
            </w:tcBorders>
          </w:tcPr>
          <w:p>
            <w:pPr>
              <w:spacing w:after="0" w:line="20" w:lineRule="exact"/>
              <w:rPr>
                <w:sz w:val="1"/>
                <w:szCs w:val="1"/>
                <w:color w:val="auto"/>
              </w:rPr>
            </w:pPr>
          </w:p>
        </w:tc>
        <w:tc>
          <w:tcPr>
            <w:tcW w:w="106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1060" w:type="dxa"/>
            <w:vAlign w:val="bottom"/>
            <w:tcBorders>
              <w:top w:val="single" w:sz="8" w:color="EDEDEE"/>
              <w:bottom w:val="single" w:sz="8" w:color="auto"/>
            </w:tcBorders>
          </w:tcPr>
          <w:p>
            <w:pPr>
              <w:spacing w:after="0" w:line="20" w:lineRule="exact"/>
              <w:rPr>
                <w:sz w:val="1"/>
                <w:szCs w:val="1"/>
                <w:color w:val="auto"/>
              </w:rPr>
            </w:pPr>
          </w:p>
        </w:tc>
        <w:tc>
          <w:tcPr>
            <w:tcW w:w="100" w:type="dxa"/>
            <w:vAlign w:val="bottom"/>
            <w:tcBorders>
              <w:top w:val="single" w:sz="8" w:color="EDEDEE"/>
              <w:bottom w:val="single" w:sz="8" w:color="auto"/>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38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EDEDEE"/>
          </w:tcPr>
          <w:p>
            <w:pPr>
              <w:ind w:left="2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(2,723)</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137,585</w:t>
            </w:r>
          </w:p>
        </w:tc>
        <w:tc>
          <w:tcPr>
            <w:tcW w:w="120" w:type="dxa"/>
            <w:vAlign w:val="bottom"/>
            <w:shd w:val="clear" w:color="auto" w:fill="EDEDEE"/>
          </w:tcPr>
          <w:p>
            <w:pPr>
              <w:spacing w:after="0"/>
              <w:rPr>
                <w:sz w:val="18"/>
                <w:szCs w:val="18"/>
                <w:color w:val="auto"/>
              </w:rPr>
            </w:pPr>
          </w:p>
        </w:tc>
        <w:tc>
          <w:tcPr>
            <w:tcW w:w="16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(70,512)</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290,257</w:t>
            </w:r>
          </w:p>
        </w:tc>
        <w:tc>
          <w:tcPr>
            <w:tcW w:w="100" w:type="dxa"/>
            <w:vAlign w:val="bottom"/>
            <w:shd w:val="clear" w:color="auto" w:fill="EDEDEE"/>
          </w:tcPr>
          <w:p>
            <w:pPr>
              <w:spacing w:after="0"/>
              <w:rPr>
                <w:sz w:val="18"/>
                <w:szCs w:val="18"/>
                <w:color w:val="auto"/>
              </w:rPr>
            </w:pPr>
          </w:p>
        </w:tc>
        <w:tc>
          <w:tcPr>
            <w:tcW w:w="14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(73,235)</w:t>
            </w:r>
          </w:p>
        </w:tc>
        <w:tc>
          <w:tcPr>
            <w:tcW w:w="380" w:type="dxa"/>
            <w:vAlign w:val="bottom"/>
            <w:shd w:val="clear" w:color="auto" w:fill="EDEDEE"/>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427,842</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Utah Housing Corporation bonds</w:t>
            </w:r>
          </w:p>
        </w:tc>
        <w:tc>
          <w:tcPr>
            <w:tcW w:w="14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(490)</w:t>
            </w:r>
          </w:p>
        </w:tc>
        <w:tc>
          <w:tcPr>
            <w:tcW w:w="2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(490)</w:t>
            </w:r>
          </w:p>
        </w:tc>
        <w:tc>
          <w:tcPr>
            <w:tcW w:w="3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2,359</w:t>
            </w:r>
          </w:p>
        </w:tc>
        <w:tc>
          <w:tcPr>
            <w:tcW w:w="0" w:type="dxa"/>
            <w:vAlign w:val="bottom"/>
          </w:tcPr>
          <w:p>
            <w:pPr>
              <w:spacing w:after="0"/>
              <w:rPr>
                <w:sz w:val="1"/>
                <w:szCs w:val="1"/>
                <w:color w:val="auto"/>
              </w:rPr>
            </w:pPr>
          </w:p>
        </w:tc>
      </w:tr>
      <w:tr>
        <w:trPr>
          <w:trHeight w:val="163"/>
        </w:trPr>
        <w:tc>
          <w:tcPr>
            <w:tcW w:w="278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U.S. government-sponsored</w:t>
            </w:r>
          </w:p>
        </w:tc>
        <w:tc>
          <w:tcPr>
            <w:tcW w:w="140" w:type="dxa"/>
            <w:vAlign w:val="bottom"/>
            <w:shd w:val="clear" w:color="auto" w:fill="EDEDEE"/>
          </w:tcPr>
          <w:p>
            <w:pPr>
              <w:spacing w:after="0"/>
              <w:rPr>
                <w:sz w:val="14"/>
                <w:szCs w:val="14"/>
                <w:color w:val="auto"/>
              </w:rPr>
            </w:pPr>
          </w:p>
        </w:tc>
        <w:tc>
          <w:tcPr>
            <w:tcW w:w="1060" w:type="dxa"/>
            <w:vAlign w:val="bottom"/>
            <w:vMerge w:val="restart"/>
            <w:shd w:val="clear" w:color="auto" w:fill="EDEDEE"/>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14"/>
                <w:szCs w:val="14"/>
                <w:color w:val="auto"/>
              </w:rPr>
            </w:pPr>
          </w:p>
        </w:tc>
        <w:tc>
          <w:tcPr>
            <w:tcW w:w="1080" w:type="dxa"/>
            <w:vAlign w:val="bottom"/>
            <w:gridSpan w:val="2"/>
            <w:vMerge w:val="restart"/>
            <w:shd w:val="clear" w:color="auto" w:fill="EDEDEE"/>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EDEDEE"/>
          </w:tcPr>
          <w:p>
            <w:pPr>
              <w:spacing w:after="0"/>
              <w:rPr>
                <w:sz w:val="14"/>
                <w:szCs w:val="14"/>
                <w:color w:val="auto"/>
              </w:rPr>
            </w:pPr>
          </w:p>
        </w:tc>
        <w:tc>
          <w:tcPr>
            <w:tcW w:w="1060" w:type="dxa"/>
            <w:vAlign w:val="bottom"/>
            <w:vMerge w:val="restart"/>
            <w:shd w:val="clear" w:color="auto" w:fill="EDEDEE"/>
          </w:tcPr>
          <w:p>
            <w:pPr>
              <w:jc w:val="right"/>
              <w:ind w:right="2"/>
              <w:spacing w:after="0"/>
              <w:rPr>
                <w:sz w:val="20"/>
                <w:szCs w:val="20"/>
                <w:color w:val="auto"/>
              </w:rPr>
            </w:pPr>
            <w:r>
              <w:rPr>
                <w:rFonts w:ascii="Arial" w:cs="Arial" w:eastAsia="Arial" w:hAnsi="Arial"/>
                <w:sz w:val="16"/>
                <w:szCs w:val="16"/>
                <w:color w:val="auto"/>
              </w:rPr>
              <w:t>(32,265)</w:t>
            </w:r>
          </w:p>
        </w:tc>
        <w:tc>
          <w:tcPr>
            <w:tcW w:w="240" w:type="dxa"/>
            <w:vAlign w:val="bottom"/>
            <w:shd w:val="clear" w:color="auto" w:fill="EDEDEE"/>
          </w:tcPr>
          <w:p>
            <w:pPr>
              <w:spacing w:after="0"/>
              <w:rPr>
                <w:sz w:val="14"/>
                <w:szCs w:val="14"/>
                <w:color w:val="auto"/>
              </w:rPr>
            </w:pPr>
          </w:p>
        </w:tc>
        <w:tc>
          <w:tcPr>
            <w:tcW w:w="106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915,744</w:t>
            </w:r>
          </w:p>
        </w:tc>
        <w:tc>
          <w:tcPr>
            <w:tcW w:w="100" w:type="dxa"/>
            <w:vAlign w:val="bottom"/>
            <w:shd w:val="clear" w:color="auto" w:fill="EDEDEE"/>
          </w:tcPr>
          <w:p>
            <w:pPr>
              <w:spacing w:after="0"/>
              <w:rPr>
                <w:sz w:val="14"/>
                <w:szCs w:val="14"/>
                <w:color w:val="auto"/>
              </w:rPr>
            </w:pPr>
          </w:p>
        </w:tc>
        <w:tc>
          <w:tcPr>
            <w:tcW w:w="140" w:type="dxa"/>
            <w:vAlign w:val="bottom"/>
            <w:shd w:val="clear" w:color="auto" w:fill="EDEDEE"/>
          </w:tcPr>
          <w:p>
            <w:pPr>
              <w:spacing w:after="0"/>
              <w:rPr>
                <w:sz w:val="14"/>
                <w:szCs w:val="14"/>
                <w:color w:val="auto"/>
              </w:rPr>
            </w:pPr>
          </w:p>
        </w:tc>
        <w:tc>
          <w:tcPr>
            <w:tcW w:w="9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(32,265)</w:t>
            </w:r>
          </w:p>
        </w:tc>
        <w:tc>
          <w:tcPr>
            <w:tcW w:w="380" w:type="dxa"/>
            <w:vAlign w:val="bottom"/>
            <w:shd w:val="clear" w:color="auto" w:fill="EDEDEE"/>
          </w:tcPr>
          <w:p>
            <w:pPr>
              <w:spacing w:after="0"/>
              <w:rPr>
                <w:sz w:val="14"/>
                <w:szCs w:val="14"/>
                <w:color w:val="auto"/>
              </w:rPr>
            </w:pPr>
          </w:p>
        </w:tc>
        <w:tc>
          <w:tcPr>
            <w:tcW w:w="100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915,744</w:t>
            </w:r>
          </w:p>
        </w:tc>
        <w:tc>
          <w:tcPr>
            <w:tcW w:w="0" w:type="dxa"/>
            <w:vAlign w:val="bottom"/>
          </w:tcPr>
          <w:p>
            <w:pPr>
              <w:spacing w:after="0"/>
              <w:rPr>
                <w:sz w:val="1"/>
                <w:szCs w:val="1"/>
                <w:color w:val="auto"/>
              </w:rPr>
            </w:pPr>
          </w:p>
        </w:tc>
      </w:tr>
      <w:tr>
        <w:trPr>
          <w:trHeight w:val="216"/>
        </w:trPr>
        <w:tc>
          <w:tcPr>
            <w:tcW w:w="2780" w:type="dxa"/>
            <w:vAlign w:val="bottom"/>
            <w:shd w:val="clear" w:color="auto" w:fill="EDEDEE"/>
          </w:tcPr>
          <w:p>
            <w:pPr>
              <w:ind w:left="20"/>
              <w:spacing w:after="0"/>
              <w:rPr>
                <w:sz w:val="20"/>
                <w:szCs w:val="20"/>
                <w:color w:val="auto"/>
              </w:rPr>
            </w:pPr>
            <w:r>
              <w:rPr>
                <w:rFonts w:ascii="Arial" w:cs="Arial" w:eastAsia="Arial" w:hAnsi="Arial"/>
                <w:sz w:val="16"/>
                <w:szCs w:val="16"/>
                <w:color w:val="auto"/>
              </w:rPr>
              <w:t>enterprises and Treasuries</w:t>
            </w:r>
          </w:p>
        </w:tc>
        <w:tc>
          <w:tcPr>
            <w:tcW w:w="140" w:type="dxa"/>
            <w:vAlign w:val="bottom"/>
            <w:shd w:val="clear" w:color="auto" w:fill="EDEDEE"/>
          </w:tcPr>
          <w:p>
            <w:pPr>
              <w:spacing w:after="0"/>
              <w:rPr>
                <w:sz w:val="18"/>
                <w:szCs w:val="18"/>
                <w:color w:val="auto"/>
              </w:rPr>
            </w:pPr>
          </w:p>
        </w:tc>
        <w:tc>
          <w:tcPr>
            <w:tcW w:w="1060" w:type="dxa"/>
            <w:vAlign w:val="bottom"/>
            <w:vMerge w:val="continue"/>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1080" w:type="dxa"/>
            <w:vAlign w:val="bottom"/>
            <w:gridSpan w:val="2"/>
            <w:vMerge w:val="continue"/>
            <w:shd w:val="clear" w:color="auto" w:fill="EDEDEE"/>
          </w:tcPr>
          <w:p>
            <w:pPr>
              <w:spacing w:after="0"/>
              <w:rPr>
                <w:sz w:val="18"/>
                <w:szCs w:val="18"/>
                <w:color w:val="auto"/>
              </w:rPr>
            </w:pPr>
          </w:p>
        </w:tc>
        <w:tc>
          <w:tcPr>
            <w:tcW w:w="160" w:type="dxa"/>
            <w:vAlign w:val="bottom"/>
            <w:shd w:val="clear" w:color="auto" w:fill="EDEDEE"/>
          </w:tcPr>
          <w:p>
            <w:pPr>
              <w:spacing w:after="0"/>
              <w:rPr>
                <w:sz w:val="18"/>
                <w:szCs w:val="18"/>
                <w:color w:val="auto"/>
              </w:rPr>
            </w:pPr>
          </w:p>
        </w:tc>
        <w:tc>
          <w:tcPr>
            <w:tcW w:w="1060" w:type="dxa"/>
            <w:vAlign w:val="bottom"/>
            <w:vMerge w:val="continue"/>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1060" w:type="dxa"/>
            <w:vAlign w:val="bottom"/>
            <w:vMerge w:val="continue"/>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140" w:type="dxa"/>
            <w:vAlign w:val="bottom"/>
            <w:shd w:val="clear" w:color="auto" w:fill="EDEDEE"/>
          </w:tcPr>
          <w:p>
            <w:pPr>
              <w:spacing w:after="0"/>
              <w:rPr>
                <w:sz w:val="18"/>
                <w:szCs w:val="18"/>
                <w:color w:val="auto"/>
              </w:rPr>
            </w:pPr>
          </w:p>
        </w:tc>
        <w:tc>
          <w:tcPr>
            <w:tcW w:w="900" w:type="dxa"/>
            <w:vAlign w:val="bottom"/>
            <w:vMerge w:val="continue"/>
            <w:shd w:val="clear" w:color="auto" w:fill="EDEDEE"/>
          </w:tcPr>
          <w:p>
            <w:pPr>
              <w:spacing w:after="0"/>
              <w:rPr>
                <w:sz w:val="18"/>
                <w:szCs w:val="18"/>
                <w:color w:val="auto"/>
              </w:rPr>
            </w:pPr>
          </w:p>
        </w:tc>
        <w:tc>
          <w:tcPr>
            <w:tcW w:w="380" w:type="dxa"/>
            <w:vAlign w:val="bottom"/>
            <w:shd w:val="clear" w:color="auto" w:fill="EDEDEE"/>
          </w:tcPr>
          <w:p>
            <w:pPr>
              <w:spacing w:after="0"/>
              <w:rPr>
                <w:sz w:val="18"/>
                <w:szCs w:val="18"/>
                <w:color w:val="auto"/>
              </w:rPr>
            </w:pPr>
          </w:p>
        </w:tc>
        <w:tc>
          <w:tcPr>
            <w:tcW w:w="100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Other securities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11,579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(12,021)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182,215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(12,095)</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193,794</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w:t>
            </w:r>
          </w:p>
        </w:tc>
        <w:tc>
          <w:tcPr>
            <w:tcW w:w="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(2,797)</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149,164</w:t>
            </w:r>
          </w:p>
        </w:tc>
        <w:tc>
          <w:tcPr>
            <w:tcW w:w="120" w:type="dxa"/>
            <w:vAlign w:val="bottom"/>
            <w:tcBorders>
              <w:bottom w:val="single" w:sz="8" w:color="auto"/>
            </w:tcBorders>
            <w:shd w:val="clear" w:color="auto" w:fill="EDEDEE"/>
          </w:tcPr>
          <w:p>
            <w:pPr>
              <w:spacing w:after="0"/>
              <w:rPr>
                <w:sz w:val="20"/>
                <w:szCs w:val="20"/>
                <w:color w:val="auto"/>
              </w:rPr>
            </w:pPr>
          </w:p>
        </w:tc>
        <w:tc>
          <w:tcPr>
            <w:tcW w:w="1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DEDEE"/>
          </w:tcPr>
          <w:p>
            <w:pPr>
              <w:jc w:val="right"/>
              <w:ind w:right="2"/>
              <w:spacing w:after="0"/>
              <w:rPr>
                <w:sz w:val="20"/>
                <w:szCs w:val="20"/>
                <w:color w:val="auto"/>
              </w:rPr>
            </w:pPr>
            <w:r>
              <w:rPr>
                <w:rFonts w:ascii="Arial" w:cs="Arial" w:eastAsia="Arial" w:hAnsi="Arial"/>
                <w:sz w:val="16"/>
                <w:szCs w:val="16"/>
                <w:color w:val="auto"/>
              </w:rPr>
              <w:t>(115,288)</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1,390,575</w:t>
            </w:r>
          </w:p>
        </w:tc>
        <w:tc>
          <w:tcPr>
            <w:tcW w:w="100" w:type="dxa"/>
            <w:vAlign w:val="bottom"/>
            <w:tcBorders>
              <w:bottom w:val="single" w:sz="8" w:color="auto"/>
            </w:tcBorders>
            <w:shd w:val="clear" w:color="auto" w:fill="EDEDEE"/>
          </w:tcPr>
          <w:p>
            <w:pPr>
              <w:spacing w:after="0"/>
              <w:rPr>
                <w:sz w:val="20"/>
                <w:szCs w:val="20"/>
                <w:color w:val="auto"/>
              </w:rPr>
            </w:pPr>
          </w:p>
        </w:tc>
        <w:tc>
          <w:tcPr>
            <w:tcW w:w="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(118,085)</w:t>
            </w:r>
          </w:p>
        </w:tc>
        <w:tc>
          <w:tcPr>
            <w:tcW w:w="380" w:type="dxa"/>
            <w:vAlign w:val="bottom"/>
            <w:tcBorders>
              <w:bottom w:val="single" w:sz="8" w:color="auto"/>
            </w:tcBorders>
            <w:shd w:val="clear" w:color="auto" w:fill="EDEDEE"/>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1,539,739</w:t>
            </w:r>
          </w:p>
        </w:tc>
        <w:tc>
          <w:tcPr>
            <w:tcW w:w="0" w:type="dxa"/>
            <w:vAlign w:val="bottom"/>
          </w:tcPr>
          <w:p>
            <w:pPr>
              <w:spacing w:after="0"/>
              <w:rPr>
                <w:sz w:val="1"/>
                <w:szCs w:val="1"/>
                <w:color w:val="auto"/>
              </w:rPr>
            </w:pPr>
          </w:p>
        </w:tc>
      </w:tr>
      <w:tr>
        <w:trPr>
          <w:trHeight w:val="20"/>
        </w:trPr>
        <w:tc>
          <w:tcPr>
            <w:tcW w:w="2780" w:type="dxa"/>
            <w:vAlign w:val="bottom"/>
            <w:tcBorders>
              <w:top w:val="single" w:sz="8" w:color="EDEDEE"/>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106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96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160" w:type="dxa"/>
            <w:vAlign w:val="bottom"/>
            <w:tcBorders>
              <w:top w:val="single" w:sz="8" w:color="EDEDEE"/>
              <w:bottom w:val="single" w:sz="8" w:color="auto"/>
            </w:tcBorders>
          </w:tcPr>
          <w:p>
            <w:pPr>
              <w:spacing w:after="0" w:line="20" w:lineRule="exact"/>
              <w:rPr>
                <w:sz w:val="1"/>
                <w:szCs w:val="1"/>
                <w:color w:val="auto"/>
              </w:rPr>
            </w:pPr>
          </w:p>
        </w:tc>
        <w:tc>
          <w:tcPr>
            <w:tcW w:w="106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1060" w:type="dxa"/>
            <w:vAlign w:val="bottom"/>
            <w:tcBorders>
              <w:top w:val="single" w:sz="8" w:color="EDEDEE"/>
              <w:bottom w:val="single" w:sz="8" w:color="auto"/>
            </w:tcBorders>
          </w:tcPr>
          <w:p>
            <w:pPr>
              <w:spacing w:after="0" w:line="20" w:lineRule="exact"/>
              <w:rPr>
                <w:sz w:val="1"/>
                <w:szCs w:val="1"/>
                <w:color w:val="auto"/>
              </w:rPr>
            </w:pPr>
          </w:p>
        </w:tc>
        <w:tc>
          <w:tcPr>
            <w:tcW w:w="100" w:type="dxa"/>
            <w:vAlign w:val="bottom"/>
            <w:tcBorders>
              <w:top w:val="single" w:sz="8" w:color="EDEDEE"/>
              <w:bottom w:val="single" w:sz="8" w:color="auto"/>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38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360" w:firstLine="445"/>
        <w:spacing w:after="0" w:line="271" w:lineRule="auto"/>
        <w:rPr>
          <w:sz w:val="20"/>
          <w:szCs w:val="20"/>
          <w:color w:val="auto"/>
        </w:rPr>
      </w:pPr>
      <w:r>
        <w:rPr>
          <w:rFonts w:ascii="Arial" w:cs="Arial" w:eastAsia="Arial" w:hAnsi="Arial"/>
          <w:sz w:val="18"/>
          <w:szCs w:val="18"/>
          <w:color w:val="auto"/>
        </w:rPr>
        <w:t>At March 31, 2025 and December 31, 2024, 217 of 280 and 236 of 278, respectively, of our available-for-sale securities were in an unrealized loss position.</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w:t>
      </w:r>
    </w:p>
    <w:p>
      <w:pPr>
        <w:spacing w:after="0" w:line="115" w:lineRule="exact"/>
        <w:rPr>
          <w:sz w:val="20"/>
          <w:szCs w:val="20"/>
          <w:color w:val="auto"/>
        </w:rPr>
      </w:pPr>
    </w:p>
    <w:p>
      <w:pPr>
        <w:ind w:right="20" w:firstLine="445"/>
        <w:spacing w:after="0" w:line="246" w:lineRule="auto"/>
        <w:rPr>
          <w:sz w:val="20"/>
          <w:szCs w:val="20"/>
          <w:color w:val="auto"/>
        </w:rPr>
      </w:pPr>
      <w:r>
        <w:rPr>
          <w:rFonts w:ascii="Arial" w:cs="Arial" w:eastAsia="Arial" w:hAnsi="Arial"/>
          <w:sz w:val="18"/>
          <w:szCs w:val="18"/>
          <w:color w:val="auto"/>
        </w:rPr>
        <w:t>For available-for-sale securities in an unrealized loss position, we first assess whether we intend to sell, or it is more likely than not that we will be required to sell, the security before recovery of its amortized cost basis. If either of these criteria are met, the security’s amortized cost basis is written down to fair value through net income. For securities in an unrealized loss position that do not meet these criteria, we evaluate whether the decline in fair value has resulted from credit loss or other factors. In making this assessment, we consider the extent to which fair value is less than amortized cost, any changes to the rating of the security by a rating agency, adverse conditions specifically related to the security, as well as any guarantees (e.g., guarantees by the U.S. Government) that may be applicable to the security. If this assessment indicates a credit loss exists, the credit-related portion of the loss is recorded as an allowance for losses on the security.</w:t>
      </w:r>
    </w:p>
    <w:p>
      <w:pPr>
        <w:spacing w:after="0" w:line="5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investment portfolio contains mortgage-backed securities issued by Ginnie Mae, Fannie Mae, and Freddie Mac, as well as Utah Housing Corporation bonds. We own these securities to meet our requirements under the Community Reinvestment Act (“CRA”). We also invest in other U.S. government-sponsored enterprise securities issued by the Federal Home Loan Banks, Freddie Mac, and the Federal Farm Credit Bank. Our mortgage-backed securities that were issued under Ginnie Mae programs carry a full faith and credit guarantee from the U.S. Government. The remaining mortgage-backed securities in a net loss position carry a principal and interest guarantee by Fannie Mae or Freddie Mac, respectively. Our Treasury and other U.S. government-sponsored enterprise bonds are rated Aaa by Moody’s Investors Service or AA+ by Standard and Poor’s. We have the intent and ability to hold these bonds for a period of time sufficient for the market price to recover to at least the adjusted amortized cost of the security. Based on this qualitative analysis, we have determined that no credit impairment exists.</w:t>
      </w:r>
    </w:p>
    <w:p>
      <w:pPr>
        <w:spacing w:after="0" w:line="46" w:lineRule="exact"/>
        <w:rPr>
          <w:sz w:val="20"/>
          <w:szCs w:val="20"/>
          <w:color w:val="auto"/>
        </w:rPr>
      </w:pPr>
    </w:p>
    <w:p>
      <w:pPr>
        <w:jc w:val="both"/>
        <w:ind w:right="100" w:firstLine="445"/>
        <w:spacing w:after="0" w:line="262" w:lineRule="auto"/>
        <w:rPr>
          <w:sz w:val="20"/>
          <w:szCs w:val="20"/>
          <w:color w:val="auto"/>
        </w:rPr>
      </w:pPr>
      <w:r>
        <w:rPr>
          <w:rFonts w:ascii="Arial" w:cs="Arial" w:eastAsia="Arial" w:hAnsi="Arial"/>
          <w:sz w:val="18"/>
          <w:szCs w:val="18"/>
          <w:color w:val="auto"/>
        </w:rPr>
        <w:t>We periodically sell Private Education Loans through securitization transactions where we are required to retain a five percent vertical risk retention interest. We classify the non-residual vertical risk retention interests as available-for-sale investments. We have the intent and ability to hold each of these bonds for a period of time sufficient for the market price to recover to at least the adjusted amortized cost of the security. We expect to receive all contractual cash flows related to these investments and do not consider a credit impairment to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34F82"/>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20" w:right="399" w:bottom="1440" w:gutter="0" w:footer="0" w:header="0"/>
        </w:sectPr>
      </w:pPr>
    </w:p>
    <w:bookmarkStart w:id="14" w:name="page15"/>
    <w:bookmarkEnd w:id="14"/>
    <w:p>
      <w:pPr>
        <w:ind w:left="380" w:hanging="334"/>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sz w:val="20"/>
          <w:szCs w:val="20"/>
          <w:color w:val="auto"/>
        </w:rPr>
      </w:pPr>
    </w:p>
    <w:p>
      <w:pPr>
        <w:spacing w:after="0" w:line="268"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As of March 31, 2025, the amortized cost and fair value of securities, by contractual maturities, are summarized below. Contractual maturities versus actual maturities may differ due to the effect of prepayments.</w:t>
      </w:r>
    </w:p>
    <w:p>
      <w:pPr>
        <w:spacing w:after="0" w:line="44" w:lineRule="exact"/>
        <w:rPr>
          <w:sz w:val="20"/>
          <w:szCs w:val="20"/>
          <w:color w:val="auto"/>
        </w:rPr>
      </w:pPr>
    </w:p>
    <w:tbl>
      <w:tblPr>
        <w:tblLayout w:type="fixed"/>
        <w:tblInd w:w="3500" w:type="dxa"/>
        <w:tblCellMar>
          <w:top w:w="0" w:type="dxa"/>
          <w:left w:w="0" w:type="dxa"/>
          <w:bottom w:w="0" w:type="dxa"/>
          <w:right w:w="0" w:type="dxa"/>
        </w:tblCellMar>
      </w:tblPr>
      <w:tr>
        <w:trPr>
          <w:trHeight w:val="166"/>
        </w:trPr>
        <w:tc>
          <w:tcPr>
            <w:tcW w:w="21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144F82"/>
              </w:rPr>
              <w:t>As of March 31, 2025</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144F82"/>
              </w:rPr>
              <w:t>Estimated Fair</w:t>
            </w:r>
          </w:p>
        </w:tc>
        <w:tc>
          <w:tcPr>
            <w:tcW w:w="0" w:type="dxa"/>
            <w:vAlign w:val="bottom"/>
          </w:tcPr>
          <w:p>
            <w:pPr>
              <w:spacing w:after="0"/>
              <w:rPr>
                <w:sz w:val="1"/>
                <w:szCs w:val="1"/>
                <w:color w:val="auto"/>
              </w:rPr>
            </w:pPr>
          </w:p>
        </w:tc>
      </w:tr>
      <w:tr>
        <w:trPr>
          <w:trHeight w:val="148"/>
        </w:trPr>
        <w:tc>
          <w:tcPr>
            <w:tcW w:w="2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144F82"/>
              </w:rPr>
              <w:t>Year of Maturity</w:t>
            </w:r>
          </w:p>
        </w:tc>
        <w:tc>
          <w:tcPr>
            <w:tcW w:w="126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144F82"/>
              </w:rPr>
              <w:t>Amortized Cost</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1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144F82"/>
              </w:rPr>
              <w:t>Value</w:t>
            </w:r>
          </w:p>
        </w:tc>
        <w:tc>
          <w:tcPr>
            <w:tcW w:w="0" w:type="dxa"/>
            <w:vAlign w:val="bottom"/>
          </w:tcPr>
          <w:p>
            <w:pPr>
              <w:spacing w:after="0"/>
              <w:rPr>
                <w:sz w:val="1"/>
                <w:szCs w:val="1"/>
                <w:color w:val="auto"/>
              </w:rPr>
            </w:pPr>
          </w:p>
        </w:tc>
      </w:tr>
      <w:tr>
        <w:trPr>
          <w:trHeight w:val="209"/>
        </w:trPr>
        <w:tc>
          <w:tcPr>
            <w:tcW w:w="2040" w:type="dxa"/>
            <w:vAlign w:val="bottom"/>
            <w:tcBorders>
              <w:top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2026</w:t>
            </w:r>
          </w:p>
        </w:tc>
        <w:tc>
          <w:tcPr>
            <w:tcW w:w="120" w:type="dxa"/>
            <w:vAlign w:val="bottom"/>
            <w:tcBorders>
              <w:top w:val="single" w:sz="8" w:color="auto"/>
            </w:tcBorders>
            <w:shd w:val="clear" w:color="auto" w:fill="EDEDEE"/>
          </w:tcPr>
          <w:p>
            <w:pPr>
              <w:spacing w:after="0"/>
              <w:rPr>
                <w:sz w:val="18"/>
                <w:szCs w:val="18"/>
                <w:color w:val="auto"/>
              </w:rPr>
            </w:pPr>
          </w:p>
        </w:tc>
        <w:tc>
          <w:tcPr>
            <w:tcW w:w="260" w:type="dxa"/>
            <w:vAlign w:val="bottom"/>
            <w:tcBorders>
              <w:top w:val="single" w:sz="8" w:color="auto"/>
            </w:tcBorders>
            <w:shd w:val="clear" w:color="auto" w:fill="EDEDEE"/>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549,295</w:t>
            </w:r>
          </w:p>
        </w:tc>
        <w:tc>
          <w:tcPr>
            <w:tcW w:w="340" w:type="dxa"/>
            <w:vAlign w:val="bottom"/>
            <w:tcBorders>
              <w:top w:val="single" w:sz="8" w:color="auto"/>
            </w:tcBorders>
            <w:shd w:val="clear" w:color="auto" w:fill="EDEDEE"/>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526,987</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2027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99,118</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97,369</w:t>
            </w:r>
          </w:p>
        </w:tc>
        <w:tc>
          <w:tcPr>
            <w:tcW w:w="0" w:type="dxa"/>
            <w:vAlign w:val="bottom"/>
          </w:tcPr>
          <w:p>
            <w:pPr>
              <w:spacing w:after="0"/>
              <w:rPr>
                <w:sz w:val="1"/>
                <w:szCs w:val="1"/>
                <w:color w:val="auto"/>
              </w:rPr>
            </w:pPr>
          </w:p>
        </w:tc>
      </w:tr>
      <w:tr>
        <w:trPr>
          <w:trHeight w:val="217"/>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2038</w:t>
            </w:r>
          </w:p>
        </w:tc>
        <w:tc>
          <w:tcPr>
            <w:tcW w:w="1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65</w:t>
            </w:r>
          </w:p>
        </w:tc>
        <w:tc>
          <w:tcPr>
            <w:tcW w:w="34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7"/>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2042</w:t>
            </w:r>
          </w:p>
        </w:tc>
        <w:tc>
          <w:tcPr>
            <w:tcW w:w="1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2,071</w:t>
            </w:r>
          </w:p>
        </w:tc>
        <w:tc>
          <w:tcPr>
            <w:tcW w:w="34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2043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3,709</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17"/>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2044</w:t>
            </w:r>
          </w:p>
        </w:tc>
        <w:tc>
          <w:tcPr>
            <w:tcW w:w="1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4,044</w:t>
            </w:r>
          </w:p>
        </w:tc>
        <w:tc>
          <w:tcPr>
            <w:tcW w:w="34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3,683</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4,465</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3,955</w:t>
            </w:r>
          </w:p>
        </w:tc>
        <w:tc>
          <w:tcPr>
            <w:tcW w:w="0" w:type="dxa"/>
            <w:vAlign w:val="bottom"/>
          </w:tcPr>
          <w:p>
            <w:pPr>
              <w:spacing w:after="0"/>
              <w:rPr>
                <w:sz w:val="1"/>
                <w:szCs w:val="1"/>
                <w:color w:val="auto"/>
              </w:rPr>
            </w:pPr>
          </w:p>
        </w:tc>
      </w:tr>
      <w:tr>
        <w:trPr>
          <w:trHeight w:val="217"/>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2046</w:t>
            </w:r>
          </w:p>
        </w:tc>
        <w:tc>
          <w:tcPr>
            <w:tcW w:w="1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6,894</w:t>
            </w:r>
          </w:p>
        </w:tc>
        <w:tc>
          <w:tcPr>
            <w:tcW w:w="34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6,047</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2047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6,481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5,695</w:t>
            </w:r>
          </w:p>
        </w:tc>
        <w:tc>
          <w:tcPr>
            <w:tcW w:w="0" w:type="dxa"/>
            <w:vAlign w:val="bottom"/>
          </w:tcPr>
          <w:p>
            <w:pPr>
              <w:spacing w:after="0"/>
              <w:rPr>
                <w:sz w:val="1"/>
                <w:szCs w:val="1"/>
                <w:color w:val="auto"/>
              </w:rPr>
            </w:pPr>
          </w:p>
        </w:tc>
      </w:tr>
      <w:tr>
        <w:trPr>
          <w:trHeight w:val="217"/>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2048</w:t>
            </w:r>
          </w:p>
        </w:tc>
        <w:tc>
          <w:tcPr>
            <w:tcW w:w="1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1,682</w:t>
            </w:r>
          </w:p>
        </w:tc>
        <w:tc>
          <w:tcPr>
            <w:tcW w:w="34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2049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14,580</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12,869</w:t>
            </w:r>
          </w:p>
        </w:tc>
        <w:tc>
          <w:tcPr>
            <w:tcW w:w="0" w:type="dxa"/>
            <w:vAlign w:val="bottom"/>
          </w:tcPr>
          <w:p>
            <w:pPr>
              <w:spacing w:after="0"/>
              <w:rPr>
                <w:sz w:val="1"/>
                <w:szCs w:val="1"/>
                <w:color w:val="auto"/>
              </w:rPr>
            </w:pPr>
          </w:p>
        </w:tc>
      </w:tr>
      <w:tr>
        <w:trPr>
          <w:trHeight w:val="217"/>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2050</w:t>
            </w:r>
          </w:p>
        </w:tc>
        <w:tc>
          <w:tcPr>
            <w:tcW w:w="1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99,980</w:t>
            </w:r>
          </w:p>
        </w:tc>
        <w:tc>
          <w:tcPr>
            <w:tcW w:w="34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79,163</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2051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142,312</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111,537</w:t>
            </w:r>
          </w:p>
        </w:tc>
        <w:tc>
          <w:tcPr>
            <w:tcW w:w="0" w:type="dxa"/>
            <w:vAlign w:val="bottom"/>
          </w:tcPr>
          <w:p>
            <w:pPr>
              <w:spacing w:after="0"/>
              <w:rPr>
                <w:sz w:val="1"/>
                <w:szCs w:val="1"/>
                <w:color w:val="auto"/>
              </w:rPr>
            </w:pPr>
          </w:p>
        </w:tc>
      </w:tr>
      <w:tr>
        <w:trPr>
          <w:trHeight w:val="217"/>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2052</w:t>
            </w:r>
          </w:p>
        </w:tc>
        <w:tc>
          <w:tcPr>
            <w:tcW w:w="1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56,137</w:t>
            </w:r>
          </w:p>
        </w:tc>
        <w:tc>
          <w:tcPr>
            <w:tcW w:w="34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49,462</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2053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288,001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286,533</w:t>
            </w:r>
          </w:p>
        </w:tc>
        <w:tc>
          <w:tcPr>
            <w:tcW w:w="0" w:type="dxa"/>
            <w:vAlign w:val="bottom"/>
          </w:tcPr>
          <w:p>
            <w:pPr>
              <w:spacing w:after="0"/>
              <w:rPr>
                <w:sz w:val="1"/>
                <w:szCs w:val="1"/>
                <w:color w:val="auto"/>
              </w:rPr>
            </w:pPr>
          </w:p>
        </w:tc>
      </w:tr>
      <w:tr>
        <w:trPr>
          <w:trHeight w:val="217"/>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2054</w:t>
            </w:r>
          </w:p>
        </w:tc>
        <w:tc>
          <w:tcPr>
            <w:tcW w:w="1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136,475</w:t>
            </w:r>
          </w:p>
        </w:tc>
        <w:tc>
          <w:tcPr>
            <w:tcW w:w="34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131,665</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2055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105,981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105,006</w:t>
            </w:r>
          </w:p>
        </w:tc>
        <w:tc>
          <w:tcPr>
            <w:tcW w:w="0" w:type="dxa"/>
            <w:vAlign w:val="bottom"/>
          </w:tcPr>
          <w:p>
            <w:pPr>
              <w:spacing w:after="0"/>
              <w:rPr>
                <w:sz w:val="1"/>
                <w:szCs w:val="1"/>
                <w:color w:val="auto"/>
              </w:rPr>
            </w:pPr>
          </w:p>
        </w:tc>
      </w:tr>
      <w:tr>
        <w:trPr>
          <w:trHeight w:val="217"/>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2056</w:t>
            </w:r>
          </w:p>
        </w:tc>
        <w:tc>
          <w:tcPr>
            <w:tcW w:w="1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187,742</w:t>
            </w:r>
          </w:p>
        </w:tc>
        <w:tc>
          <w:tcPr>
            <w:tcW w:w="34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191,280</w:t>
            </w:r>
          </w:p>
        </w:tc>
        <w:tc>
          <w:tcPr>
            <w:tcW w:w="0" w:type="dxa"/>
            <w:vAlign w:val="bottom"/>
          </w:tcPr>
          <w:p>
            <w:pPr>
              <w:spacing w:after="0"/>
              <w:rPr>
                <w:sz w:val="1"/>
                <w:szCs w:val="1"/>
                <w:color w:val="auto"/>
              </w:rPr>
            </w:pPr>
          </w:p>
        </w:tc>
      </w:tr>
      <w:tr>
        <w:trPr>
          <w:trHeight w:val="215"/>
        </w:trPr>
        <w:tc>
          <w:tcPr>
            <w:tcW w:w="204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2058</w:t>
            </w:r>
          </w:p>
        </w:tc>
        <w:tc>
          <w:tcPr>
            <w:tcW w:w="120" w:type="dxa"/>
            <w:vAlign w:val="bottom"/>
            <w:tcBorders>
              <w:bottom w:val="single" w:sz="8" w:color="EDEDEE"/>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37,491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38,519</w:t>
            </w:r>
          </w:p>
        </w:tc>
        <w:tc>
          <w:tcPr>
            <w:tcW w:w="0" w:type="dxa"/>
            <w:vAlign w:val="bottom"/>
          </w:tcPr>
          <w:p>
            <w:pPr>
              <w:spacing w:after="0"/>
              <w:rPr>
                <w:sz w:val="1"/>
                <w:szCs w:val="1"/>
                <w:color w:val="auto"/>
              </w:rPr>
            </w:pPr>
          </w:p>
        </w:tc>
      </w:tr>
      <w:tr>
        <w:trPr>
          <w:trHeight w:val="235"/>
        </w:trPr>
        <w:tc>
          <w:tcPr>
            <w:tcW w:w="2160" w:type="dxa"/>
            <w:vAlign w:val="bottom"/>
            <w:tcBorders>
              <w:bottom w:val="single" w:sz="8" w:color="EDEDEE"/>
            </w:tcBorders>
            <w:gridSpan w:val="2"/>
            <w:shd w:val="clear" w:color="auto" w:fill="EDEDEE"/>
          </w:tcPr>
          <w:p>
            <w:pPr>
              <w:ind w:left="20"/>
              <w:spacing w:after="0"/>
              <w:rPr>
                <w:sz w:val="20"/>
                <w:szCs w:val="20"/>
                <w:color w:val="auto"/>
              </w:rPr>
            </w:pPr>
            <w:r>
              <w:rPr>
                <w:rFonts w:ascii="Arial" w:cs="Arial" w:eastAsia="Arial" w:hAnsi="Arial"/>
                <w:sz w:val="16"/>
                <w:szCs w:val="16"/>
                <w:b w:val="1"/>
                <w:bCs w:val="1"/>
                <w:color w:val="144F82"/>
              </w:rPr>
              <w:t>Total</w:t>
            </w:r>
          </w:p>
        </w:tc>
        <w:tc>
          <w:tcPr>
            <w:tcW w:w="260" w:type="dxa"/>
            <w:vAlign w:val="bottom"/>
            <w:tcBorders>
              <w:bottom w:val="single" w:sz="8" w:color="auto"/>
            </w:tcBorders>
            <w:shd w:val="clear" w:color="auto" w:fill="EDEDEE"/>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1,747,064</w:t>
            </w:r>
          </w:p>
        </w:tc>
        <w:tc>
          <w:tcPr>
            <w:tcW w:w="340" w:type="dxa"/>
            <w:vAlign w:val="bottom"/>
            <w:tcBorders>
              <w:bottom w:val="single" w:sz="8" w:color="auto"/>
            </w:tcBorders>
            <w:shd w:val="clear" w:color="auto" w:fill="EDEDEE"/>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1,656,977</w:t>
            </w:r>
          </w:p>
        </w:tc>
        <w:tc>
          <w:tcPr>
            <w:tcW w:w="0" w:type="dxa"/>
            <w:vAlign w:val="bottom"/>
          </w:tcPr>
          <w:p>
            <w:pPr>
              <w:spacing w:after="0"/>
              <w:rPr>
                <w:sz w:val="1"/>
                <w:szCs w:val="1"/>
                <w:color w:val="auto"/>
              </w:rPr>
            </w:pPr>
          </w:p>
        </w:tc>
      </w:tr>
      <w:tr>
        <w:trPr>
          <w:trHeight w:val="20"/>
        </w:trPr>
        <w:tc>
          <w:tcPr>
            <w:tcW w:w="204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340" w:type="dxa"/>
            <w:vAlign w:val="bottom"/>
            <w:tcBorders>
              <w:top w:val="single" w:sz="8" w:color="EDEDEE"/>
              <w:bottom w:val="single" w:sz="8" w:color="auto"/>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Some of the mortgage-backed securities and a portion of the government securities have been pledged to the Federal Reserve Bank (the “FRB”) as collateral against any advances and accrued interest under the Primary Credit lending program sponsored by the FRB. We had $639 million and $610 million par value of securities pledged to this borrowing facility at March 31, 2025 and December 31, 2024, respectively, as discussed further in Note 7, “Borrowings” in this Form 10-Q.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 in Non-Marketable Securities</w:t>
      </w:r>
    </w:p>
    <w:p>
      <w:pPr>
        <w:spacing w:after="0" w:line="10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hold investments in non-marketable securities and account for these investments at cost, less impairment, plus or minus observable price changes of identical or similar securities of the same issuer. Changes in market value are recorded through earnings. Because these are non-marketable securities, we use observable price changes of identical or similar securities of the same issuer, or when observable prices are not available, use market data of similar entities, in determining any changes in the value of the securities. In the third quarter of 2024, we funded a new investment in non-marketable securities of an issuer whose securities we had not previously purchased. In the first quarter of 2025, we recognized an impairment on certain of our other non-marketable equity securities, related to our former credit card platform, resulting in a loss of $10 million, which is net of a valuation adjustment on a trading investment with the same issuer. As of March 31, 2025 and December 31, 2024, our total investment in non-marketable securities was $12 million and $24 million,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34F82"/>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0" w:right="379" w:bottom="1440" w:gutter="0" w:footer="0" w:header="0"/>
        </w:sectPr>
      </w:pPr>
    </w:p>
    <w:bookmarkStart w:id="15" w:name="page16"/>
    <w:bookmarkEnd w:id="15"/>
    <w:p>
      <w:pPr>
        <w:ind w:left="380" w:hanging="334"/>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Low Income Housing Tax Credit Investments</w:t>
      </w:r>
    </w:p>
    <w:p>
      <w:pPr>
        <w:spacing w:after="0" w:line="10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invest in affordable housing projects that qualify for the low-income housing tax credit (“LIHTC”), which is designed to promote private development of low-income housing. These investments generate a return mostly through realization of federal tax credits and tax benefits from net operating losses on the underlying properties. Total carrying value of the LIHTC investments was $79 million at March 31, 2025 and $ 82 million at December 31, 2024. We are periodically required to provide additional financial support during the investment period. Our liability for these unfunded commitments was $28 million at March 31, 2025 and $30 million at December 31, 2024.</w:t>
      </w:r>
    </w:p>
    <w:p>
      <w:pPr>
        <w:spacing w:after="0" w:line="44"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Related to these investments, we recognized tax credits and other tax benefits through tax expense of $1 million at March 31, 2025 and $13 million at December 31, 2024. Tax credits and other tax benefits are recognized as part of our annual effective tax rate used to determine tax expense in a given quarter. Accordingly, the portion of a year’s expected tax benefits recognized in any given quarter may differ from 25 percent.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Held for Investment</w:t>
      </w:r>
    </w:p>
    <w:p>
      <w:pPr>
        <w:spacing w:after="0" w:line="171"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Loans held for investment consist solely of Private Education Loans as of March 31, 2025. We use “Private Education Loans” to mean education loans to students or their families that are not made, insured, or guaranteed by any state or federal government. Private Education Loans do not include loans insured or guaranteed under the previously existing Federal Family Education Loan Program (“FFELP”). During the third quarter of 2024, we transferred our then-remaining FFELP Loan portfolio to loans held for sale and subsequently sold the FFELP Loan portfolio to an unaffiliated third party during the fourth quarter of 2024.</w:t>
      </w:r>
    </w:p>
    <w:p>
      <w:pPr>
        <w:spacing w:after="0" w:line="58"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Our Private Education Loans are made largely to bridge the gap between the cost of higher education and the amount funded through financial aid, government loans, and customers’ resources. Private Education Loans bear the full credit risk of the customer. We manage this risk through risk-performance underwriting strategies and qualified cosigners. Private Education Loans may be fixed-rate or may carry a variable interest rate indexed to SOFR. As of March 31, 2025 and December 31, 2024, 22 percent and 23 percent, respectively, of all our Private Education Loans were indexed to SOFR. We provide incentives for customers to include a cosigner on the loan, and the vast majority of Private Education Loans in our portfolio are cosigned. We also encourage customers to make payments while in school.</w:t>
      </w:r>
    </w:p>
    <w:p>
      <w:pPr>
        <w:spacing w:after="0" w:line="4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FFELP Loans are insured as to their principal and accrued interest in the event of default, subject to a risk-sharing level based on the date of loan disbursement. These insurance obligations are supported by contractual rights against the United States. For loans disbursed on or after July 1, 2006, owners receive 97 percent reimbursement on all qualifying claims. For loans disbursed after October 1, 1993 and before July 1, 2006, owners receive 98 percent reimbursement on all qualifying claims. For loans disbursed prior to October 1, 1993, owners receive 100 percent reimbursement on all qualifying claims.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Private Education Loan sales to unaffiliated third parties for the periods presented.</w:t>
      </w:r>
    </w:p>
    <w:p>
      <w:pPr>
        <w:spacing w:after="0" w:line="129"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134F82"/>
              </w:rPr>
              <w:t>Three Months Ended March 31,</w:t>
            </w:r>
          </w:p>
        </w:tc>
        <w:tc>
          <w:tcPr>
            <w:tcW w:w="3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ind w:right="620"/>
              <w:spacing w:after="0"/>
              <w:rPr>
                <w:sz w:val="20"/>
                <w:szCs w:val="20"/>
                <w:color w:val="auto"/>
              </w:rPr>
            </w:pPr>
            <w:r>
              <w:rPr>
                <w:rFonts w:ascii="Arial" w:cs="Arial" w:eastAsia="Arial" w:hAnsi="Arial"/>
                <w:sz w:val="15"/>
                <w:szCs w:val="15"/>
                <w:b w:val="1"/>
                <w:bCs w:val="1"/>
                <w:color w:val="134F82"/>
              </w:rPr>
              <w:t>2025</w:t>
            </w:r>
          </w:p>
        </w:tc>
        <w:tc>
          <w:tcPr>
            <w:tcW w:w="5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540"/>
              <w:spacing w:after="0"/>
              <w:rPr>
                <w:sz w:val="20"/>
                <w:szCs w:val="20"/>
                <w:color w:val="auto"/>
              </w:rPr>
            </w:pPr>
            <w:r>
              <w:rPr>
                <w:rFonts w:ascii="Arial" w:cs="Arial" w:eastAsia="Arial" w:hAnsi="Arial"/>
                <w:sz w:val="15"/>
                <w:szCs w:val="15"/>
                <w:b w:val="1"/>
                <w:bCs w:val="1"/>
                <w:color w:val="134F82"/>
              </w:rPr>
              <w:t>2024</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34F82"/>
              </w:rPr>
              <w:t>(dollars in millions)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EDEDEE"/>
          </w:tcPr>
          <w:p>
            <w:pPr>
              <w:ind w:left="20"/>
              <w:spacing w:after="0"/>
              <w:rPr>
                <w:sz w:val="20"/>
                <w:szCs w:val="20"/>
                <w:color w:val="auto"/>
              </w:rPr>
            </w:pPr>
            <w:r>
              <w:rPr>
                <w:rFonts w:ascii="Arial" w:cs="Arial" w:eastAsia="Arial" w:hAnsi="Arial"/>
                <w:sz w:val="16"/>
                <w:szCs w:val="16"/>
                <w:color w:val="auto"/>
              </w:rPr>
              <w:t>Loan principal</w:t>
            </w:r>
          </w:p>
        </w:tc>
        <w:tc>
          <w:tcPr>
            <w:tcW w:w="360" w:type="dxa"/>
            <w:vAlign w:val="bottom"/>
            <w:shd w:val="clear" w:color="auto" w:fill="EDEDEE"/>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jc w:val="right"/>
              <w:ind w:right="60"/>
              <w:spacing w:after="0"/>
              <w:rPr>
                <w:sz w:val="20"/>
                <w:szCs w:val="20"/>
                <w:color w:val="auto"/>
              </w:rPr>
            </w:pPr>
            <w:r>
              <w:rPr>
                <w:rFonts w:ascii="Arial" w:cs="Arial" w:eastAsia="Arial" w:hAnsi="Arial"/>
                <w:sz w:val="16"/>
                <w:szCs w:val="16"/>
                <w:color w:val="auto"/>
              </w:rPr>
              <w:t>1,840</w:t>
            </w:r>
          </w:p>
        </w:tc>
        <w:tc>
          <w:tcPr>
            <w:tcW w:w="500" w:type="dxa"/>
            <w:vAlign w:val="bottom"/>
            <w:shd w:val="clear" w:color="auto" w:fill="EDEDEE"/>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1,952</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Capitalized interest</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163</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Total Private Education Loans sold</w:t>
            </w:r>
          </w:p>
        </w:tc>
        <w:tc>
          <w:tcPr>
            <w:tcW w:w="360" w:type="dxa"/>
            <w:vAlign w:val="bottom"/>
            <w:tcBorders>
              <w:bottom w:val="single" w:sz="8" w:color="auto"/>
            </w:tcBorders>
            <w:shd w:val="clear" w:color="auto" w:fill="EDEDEE"/>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DEDEE"/>
          </w:tcPr>
          <w:p>
            <w:pPr>
              <w:jc w:val="right"/>
              <w:ind w:right="60"/>
              <w:spacing w:after="0"/>
              <w:rPr>
                <w:sz w:val="20"/>
                <w:szCs w:val="20"/>
                <w:color w:val="auto"/>
              </w:rPr>
            </w:pPr>
            <w:r>
              <w:rPr>
                <w:rFonts w:ascii="Arial" w:cs="Arial" w:eastAsia="Arial" w:hAnsi="Arial"/>
                <w:sz w:val="16"/>
                <w:szCs w:val="16"/>
                <w:color w:val="auto"/>
              </w:rPr>
              <w:t>2,003</w:t>
            </w:r>
          </w:p>
        </w:tc>
        <w:tc>
          <w:tcPr>
            <w:tcW w:w="500" w:type="dxa"/>
            <w:vAlign w:val="bottom"/>
            <w:tcBorders>
              <w:bottom w:val="single" w:sz="8" w:color="auto"/>
            </w:tcBorders>
            <w:shd w:val="clear" w:color="auto" w:fill="EDEDEE"/>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0"/>
        </w:trPr>
        <w:tc>
          <w:tcPr>
            <w:tcW w:w="4860" w:type="dxa"/>
            <w:vAlign w:val="bottom"/>
            <w:tcBorders>
              <w:top w:val="single" w:sz="8" w:color="EDEDEE"/>
            </w:tcBorders>
          </w:tcPr>
          <w:p>
            <w:pPr>
              <w:spacing w:after="0" w:line="20" w:lineRule="exact"/>
              <w:rPr>
                <w:sz w:val="1"/>
                <w:szCs w:val="1"/>
                <w:color w:val="auto"/>
              </w:rPr>
            </w:pPr>
          </w:p>
        </w:tc>
        <w:tc>
          <w:tcPr>
            <w:tcW w:w="360" w:type="dxa"/>
            <w:vAlign w:val="bottom"/>
            <w:tcBorders>
              <w:top w:val="single" w:sz="8" w:color="EDEDEE"/>
              <w:bottom w:val="single" w:sz="8" w:color="auto"/>
            </w:tcBorders>
          </w:tcPr>
          <w:p>
            <w:pPr>
              <w:spacing w:after="0" w:line="20" w:lineRule="exact"/>
              <w:rPr>
                <w:sz w:val="1"/>
                <w:szCs w:val="1"/>
                <w:color w:val="auto"/>
              </w:rPr>
            </w:pPr>
          </w:p>
        </w:tc>
        <w:tc>
          <w:tcPr>
            <w:tcW w:w="1280" w:type="dxa"/>
            <w:vAlign w:val="bottom"/>
            <w:tcBorders>
              <w:top w:val="single" w:sz="8" w:color="EDEDEE"/>
              <w:bottom w:val="single" w:sz="8" w:color="auto"/>
            </w:tcBorders>
          </w:tcPr>
          <w:p>
            <w:pPr>
              <w:spacing w:after="0" w:line="20" w:lineRule="exact"/>
              <w:rPr>
                <w:sz w:val="1"/>
                <w:szCs w:val="1"/>
                <w:color w:val="auto"/>
              </w:rPr>
            </w:pPr>
          </w:p>
        </w:tc>
        <w:tc>
          <w:tcPr>
            <w:tcW w:w="500" w:type="dxa"/>
            <w:vAlign w:val="bottom"/>
            <w:tcBorders>
              <w:top w:val="single" w:sz="8" w:color="EDEDEE"/>
              <w:bottom w:val="single" w:sz="8" w:color="auto"/>
            </w:tcBorders>
          </w:tcPr>
          <w:p>
            <w:pPr>
              <w:spacing w:after="0" w:line="20" w:lineRule="exact"/>
              <w:rPr>
                <w:sz w:val="1"/>
                <w:szCs w:val="1"/>
                <w:color w:val="auto"/>
              </w:rPr>
            </w:pPr>
          </w:p>
        </w:tc>
        <w:tc>
          <w:tcPr>
            <w:tcW w:w="122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6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Gain on sale of loans, net</w:t>
            </w:r>
          </w:p>
        </w:tc>
        <w:tc>
          <w:tcPr>
            <w:tcW w:w="360" w:type="dxa"/>
            <w:vAlign w:val="bottom"/>
            <w:tcBorders>
              <w:bottom w:val="single" w:sz="8" w:color="auto"/>
            </w:tcBorders>
            <w:shd w:val="clear" w:color="auto" w:fill="EDEDEE"/>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DEDEE"/>
          </w:tcPr>
          <w:p>
            <w:pPr>
              <w:jc w:val="right"/>
              <w:ind w:right="60"/>
              <w:spacing w:after="0"/>
              <w:rPr>
                <w:sz w:val="20"/>
                <w:szCs w:val="20"/>
                <w:color w:val="auto"/>
              </w:rPr>
            </w:pPr>
            <w:r>
              <w:rPr>
                <w:rFonts w:ascii="Arial" w:cs="Arial" w:eastAsia="Arial" w:hAnsi="Arial"/>
                <w:sz w:val="16"/>
                <w:szCs w:val="16"/>
                <w:color w:val="auto"/>
              </w:rPr>
              <w:t>188</w:t>
            </w:r>
          </w:p>
        </w:tc>
        <w:tc>
          <w:tcPr>
            <w:tcW w:w="500" w:type="dxa"/>
            <w:vAlign w:val="bottom"/>
            <w:tcBorders>
              <w:bottom w:val="single" w:sz="8" w:color="auto"/>
            </w:tcBorders>
            <w:shd w:val="clear" w:color="auto" w:fill="EDEDEE"/>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
        </w:trPr>
        <w:tc>
          <w:tcPr>
            <w:tcW w:w="4860" w:type="dxa"/>
            <w:vAlign w:val="bottom"/>
            <w:tcBorders>
              <w:top w:val="single" w:sz="8" w:color="EDEDEE"/>
            </w:tcBorders>
          </w:tcPr>
          <w:p>
            <w:pPr>
              <w:spacing w:after="0" w:line="20" w:lineRule="exact"/>
              <w:rPr>
                <w:sz w:val="1"/>
                <w:szCs w:val="1"/>
                <w:color w:val="auto"/>
              </w:rPr>
            </w:pPr>
          </w:p>
        </w:tc>
        <w:tc>
          <w:tcPr>
            <w:tcW w:w="360" w:type="dxa"/>
            <w:vAlign w:val="bottom"/>
            <w:tcBorders>
              <w:top w:val="single" w:sz="8" w:color="EDEDEE"/>
              <w:bottom w:val="single" w:sz="8" w:color="auto"/>
            </w:tcBorders>
          </w:tcPr>
          <w:p>
            <w:pPr>
              <w:spacing w:after="0" w:line="20" w:lineRule="exact"/>
              <w:rPr>
                <w:sz w:val="1"/>
                <w:szCs w:val="1"/>
                <w:color w:val="auto"/>
              </w:rPr>
            </w:pPr>
          </w:p>
        </w:tc>
        <w:tc>
          <w:tcPr>
            <w:tcW w:w="1280" w:type="dxa"/>
            <w:vAlign w:val="bottom"/>
            <w:tcBorders>
              <w:top w:val="single" w:sz="8" w:color="EDEDEE"/>
              <w:bottom w:val="single" w:sz="8" w:color="auto"/>
            </w:tcBorders>
          </w:tcPr>
          <w:p>
            <w:pPr>
              <w:spacing w:after="0" w:line="20" w:lineRule="exact"/>
              <w:rPr>
                <w:sz w:val="1"/>
                <w:szCs w:val="1"/>
                <w:color w:val="auto"/>
              </w:rPr>
            </w:pPr>
          </w:p>
        </w:tc>
        <w:tc>
          <w:tcPr>
            <w:tcW w:w="500" w:type="dxa"/>
            <w:vAlign w:val="bottom"/>
            <w:tcBorders>
              <w:top w:val="single" w:sz="8" w:color="EDEDEE"/>
              <w:bottom w:val="single" w:sz="8" w:color="auto"/>
            </w:tcBorders>
          </w:tcPr>
          <w:p>
            <w:pPr>
              <w:spacing w:after="0" w:line="20" w:lineRule="exact"/>
              <w:rPr>
                <w:sz w:val="1"/>
                <w:szCs w:val="1"/>
                <w:color w:val="auto"/>
              </w:rPr>
            </w:pPr>
          </w:p>
        </w:tc>
        <w:tc>
          <w:tcPr>
            <w:tcW w:w="122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There were VIEs created in the execution of certain of these loan sales; however, based on our consolidation analysis, we are not the primary beneficiary of those VIEs. These transactions qualified for sale treatment and removed the balance of the loans from our balance sheet on the respective settlement dates. We remained the servicer of these loans pursuant to applicable servicing agreements executed in connection with the sales. For additional information, see Note 7, “Borrowings - Unconsolidated Funding Vehicles”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16" w:name="page17"/>
    <w:bookmarkEnd w:id="16"/>
    <w:p>
      <w:pPr>
        <w:ind w:left="40"/>
        <w:spacing w:after="0"/>
        <w:tabs>
          <w:tab w:leader="none" w:pos="3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Loans Held for Investment (Continued)</w:t>
      </w: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Loans held for investment are summarized as follows:</w:t>
      </w:r>
    </w:p>
    <w:p>
      <w:pPr>
        <w:spacing w:after="0" w:line="143" w:lineRule="exact"/>
        <w:rPr>
          <w:sz w:val="20"/>
          <w:szCs w:val="20"/>
          <w:color w:val="auto"/>
        </w:rPr>
      </w:pPr>
    </w:p>
    <w:tbl>
      <w:tblPr>
        <w:tblLayout w:type="fixed"/>
        <w:tblInd w:w="2620" w:type="dxa"/>
        <w:tblCellMar>
          <w:top w:w="0" w:type="dxa"/>
          <w:left w:w="0" w:type="dxa"/>
          <w:bottom w:w="0" w:type="dxa"/>
          <w:right w:w="0" w:type="dxa"/>
        </w:tblCellMar>
      </w:tblPr>
      <w:tr>
        <w:trPr>
          <w:trHeight w:val="214"/>
        </w:trPr>
        <w:tc>
          <w:tcPr>
            <w:tcW w:w="3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b w:val="1"/>
                <w:bCs w:val="1"/>
                <w:color w:val="144F82"/>
              </w:rPr>
              <w:t>March 31,</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b w:val="1"/>
                <w:bCs w:val="1"/>
                <w:color w:val="144F82"/>
              </w:rPr>
              <w:t>December 31,</w:t>
            </w:r>
          </w:p>
        </w:tc>
        <w:tc>
          <w:tcPr>
            <w:tcW w:w="0" w:type="dxa"/>
            <w:vAlign w:val="bottom"/>
          </w:tcPr>
          <w:p>
            <w:pPr>
              <w:spacing w:after="0"/>
              <w:rPr>
                <w:sz w:val="1"/>
                <w:szCs w:val="1"/>
                <w:color w:val="auto"/>
              </w:rPr>
            </w:pPr>
          </w:p>
        </w:tc>
      </w:tr>
      <w:tr>
        <w:trPr>
          <w:trHeight w:val="204"/>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44F82"/>
              </w:rPr>
              <w:t>(Dollars in thousands)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144F82"/>
              </w:rPr>
              <w:t>2025</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144F82"/>
              </w:rPr>
              <w:t>2024</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6"/>
                <w:szCs w:val="16"/>
                <w:b w:val="1"/>
                <w:bCs w:val="1"/>
                <w:color w:val="144F82"/>
              </w:rPr>
              <w:t>Loans Held for Investment,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EDEDEE"/>
          </w:tcPr>
          <w:p>
            <w:pPr>
              <w:ind w:left="120"/>
              <w:spacing w:after="0"/>
              <w:rPr>
                <w:sz w:val="20"/>
                <w:szCs w:val="20"/>
                <w:color w:val="auto"/>
              </w:rPr>
            </w:pPr>
            <w:r>
              <w:rPr>
                <w:rFonts w:ascii="Arial" w:cs="Arial" w:eastAsia="Arial" w:hAnsi="Arial"/>
                <w:sz w:val="16"/>
                <w:szCs w:val="16"/>
                <w:color w:val="auto"/>
              </w:rPr>
              <w:t>Fixed-rate</w:t>
            </w:r>
          </w:p>
        </w:tc>
        <w:tc>
          <w:tcPr>
            <w:tcW w:w="240" w:type="dxa"/>
            <w:vAlign w:val="bottom"/>
            <w:shd w:val="clear" w:color="auto" w:fill="EDEDEE"/>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DEDEE"/>
          </w:tcPr>
          <w:p>
            <w:pPr>
              <w:jc w:val="right"/>
              <w:ind w:right="41"/>
              <w:spacing w:after="0"/>
              <w:rPr>
                <w:sz w:val="20"/>
                <w:szCs w:val="20"/>
                <w:color w:val="auto"/>
              </w:rPr>
            </w:pPr>
            <w:r>
              <w:rPr>
                <w:rFonts w:ascii="Arial" w:cs="Arial" w:eastAsia="Arial" w:hAnsi="Arial"/>
                <w:sz w:val="16"/>
                <w:szCs w:val="16"/>
                <w:color w:val="auto"/>
              </w:rPr>
              <w:t>17,463,708</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17,093,382</w:t>
            </w:r>
          </w:p>
        </w:tc>
        <w:tc>
          <w:tcPr>
            <w:tcW w:w="0" w:type="dxa"/>
            <w:vAlign w:val="bottom"/>
          </w:tcPr>
          <w:p>
            <w:pPr>
              <w:spacing w:after="0"/>
              <w:rPr>
                <w:sz w:val="1"/>
                <w:szCs w:val="1"/>
                <w:color w:val="auto"/>
              </w:rPr>
            </w:pPr>
          </w:p>
        </w:tc>
      </w:tr>
      <w:tr>
        <w:trPr>
          <w:trHeight w:val="215"/>
        </w:trPr>
        <w:tc>
          <w:tcPr>
            <w:tcW w:w="3520" w:type="dxa"/>
            <w:vAlign w:val="bottom"/>
            <w:tcBorders>
              <w:bottom w:val="single" w:sz="8" w:color="EDEDEE"/>
            </w:tcBorders>
          </w:tcPr>
          <w:p>
            <w:pPr>
              <w:ind w:left="120"/>
              <w:spacing w:after="0"/>
              <w:rPr>
                <w:sz w:val="20"/>
                <w:szCs w:val="20"/>
                <w:color w:val="auto"/>
              </w:rPr>
            </w:pPr>
            <w:r>
              <w:rPr>
                <w:rFonts w:ascii="Arial" w:cs="Arial" w:eastAsia="Arial" w:hAnsi="Arial"/>
                <w:sz w:val="16"/>
                <w:szCs w:val="16"/>
                <w:color w:val="auto"/>
              </w:rPr>
              <w:t>Variable-rate</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4,968,417</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5,141,626</w:t>
            </w:r>
          </w:p>
        </w:tc>
        <w:tc>
          <w:tcPr>
            <w:tcW w:w="0" w:type="dxa"/>
            <w:vAlign w:val="bottom"/>
          </w:tcPr>
          <w:p>
            <w:pPr>
              <w:spacing w:after="0"/>
              <w:rPr>
                <w:sz w:val="1"/>
                <w:szCs w:val="1"/>
                <w:color w:val="auto"/>
              </w:rPr>
            </w:pPr>
          </w:p>
        </w:tc>
      </w:tr>
      <w:tr>
        <w:trPr>
          <w:trHeight w:val="210"/>
        </w:trPr>
        <w:tc>
          <w:tcPr>
            <w:tcW w:w="3520" w:type="dxa"/>
            <w:vAlign w:val="bottom"/>
            <w:shd w:val="clear" w:color="auto" w:fill="EDEDEE"/>
          </w:tcPr>
          <w:p>
            <w:pPr>
              <w:spacing w:after="0"/>
              <w:rPr>
                <w:sz w:val="20"/>
                <w:szCs w:val="20"/>
                <w:color w:val="auto"/>
              </w:rPr>
            </w:pPr>
            <w:r>
              <w:rPr>
                <w:rFonts w:ascii="Arial" w:cs="Arial" w:eastAsia="Arial" w:hAnsi="Arial"/>
                <w:sz w:val="16"/>
                <w:szCs w:val="16"/>
                <w:color w:val="auto"/>
              </w:rPr>
              <w:t>Total Private Education Loans, gross</w:t>
            </w:r>
          </w:p>
        </w:tc>
        <w:tc>
          <w:tcPr>
            <w:tcW w:w="240" w:type="dxa"/>
            <w:vAlign w:val="bottom"/>
            <w:shd w:val="clear" w:color="auto" w:fill="EDEDEE"/>
          </w:tcPr>
          <w:p>
            <w:pPr>
              <w:spacing w:after="0"/>
              <w:rPr>
                <w:sz w:val="18"/>
                <w:szCs w:val="18"/>
                <w:color w:val="auto"/>
              </w:rPr>
            </w:pPr>
          </w:p>
        </w:tc>
        <w:tc>
          <w:tcPr>
            <w:tcW w:w="1220" w:type="dxa"/>
            <w:vAlign w:val="bottom"/>
            <w:shd w:val="clear" w:color="auto" w:fill="EDEDEE"/>
          </w:tcPr>
          <w:p>
            <w:pPr>
              <w:jc w:val="right"/>
              <w:ind w:right="41"/>
              <w:spacing w:after="0"/>
              <w:rPr>
                <w:sz w:val="20"/>
                <w:szCs w:val="20"/>
                <w:color w:val="auto"/>
              </w:rPr>
            </w:pPr>
            <w:r>
              <w:rPr>
                <w:rFonts w:ascii="Arial" w:cs="Arial" w:eastAsia="Arial" w:hAnsi="Arial"/>
                <w:sz w:val="16"/>
                <w:szCs w:val="16"/>
                <w:color w:val="auto"/>
              </w:rPr>
              <w:t>22,432,125</w:t>
            </w:r>
          </w:p>
        </w:tc>
        <w:tc>
          <w:tcPr>
            <w:tcW w:w="240" w:type="dxa"/>
            <w:vAlign w:val="bottom"/>
            <w:shd w:val="clear" w:color="auto" w:fill="EDEDEE"/>
          </w:tcPr>
          <w:p>
            <w:pPr>
              <w:spacing w:after="0"/>
              <w:rPr>
                <w:sz w:val="18"/>
                <w:szCs w:val="18"/>
                <w:color w:val="auto"/>
              </w:rPr>
            </w:pPr>
          </w:p>
        </w:tc>
        <w:tc>
          <w:tcPr>
            <w:tcW w:w="126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22,235,008</w:t>
            </w:r>
          </w:p>
        </w:tc>
        <w:tc>
          <w:tcPr>
            <w:tcW w:w="0" w:type="dxa"/>
            <w:vAlign w:val="bottom"/>
          </w:tcPr>
          <w:p>
            <w:pPr>
              <w:spacing w:after="0"/>
              <w:rPr>
                <w:sz w:val="1"/>
                <w:szCs w:val="1"/>
                <w:color w:val="auto"/>
              </w:rPr>
            </w:pPr>
          </w:p>
        </w:tc>
      </w:tr>
      <w:tr>
        <w:trPr>
          <w:trHeight w:val="162"/>
        </w:trPr>
        <w:tc>
          <w:tcPr>
            <w:tcW w:w="3520" w:type="dxa"/>
            <w:vAlign w:val="bottom"/>
          </w:tcPr>
          <w:p>
            <w:pPr>
              <w:spacing w:after="0" w:line="162" w:lineRule="exact"/>
              <w:rPr>
                <w:sz w:val="20"/>
                <w:szCs w:val="20"/>
                <w:color w:val="auto"/>
              </w:rPr>
            </w:pPr>
            <w:r>
              <w:rPr>
                <w:rFonts w:ascii="Arial" w:cs="Arial" w:eastAsia="Arial" w:hAnsi="Arial"/>
                <w:sz w:val="16"/>
                <w:szCs w:val="16"/>
                <w:color w:val="auto"/>
              </w:rPr>
              <w:t>Deferred origination costs and unamortized</w:t>
            </w:r>
          </w:p>
        </w:tc>
        <w:tc>
          <w:tcPr>
            <w:tcW w:w="240" w:type="dxa"/>
            <w:vAlign w:val="bottom"/>
          </w:tcPr>
          <w:p>
            <w:pPr>
              <w:spacing w:after="0"/>
              <w:rPr>
                <w:sz w:val="14"/>
                <w:szCs w:val="14"/>
                <w:color w:val="auto"/>
              </w:rPr>
            </w:pPr>
          </w:p>
        </w:tc>
        <w:tc>
          <w:tcPr>
            <w:tcW w:w="1220" w:type="dxa"/>
            <w:vAlign w:val="bottom"/>
            <w:vMerge w:val="restart"/>
          </w:tcPr>
          <w:p>
            <w:pPr>
              <w:jc w:val="right"/>
              <w:ind w:right="41"/>
              <w:spacing w:after="0"/>
              <w:rPr>
                <w:sz w:val="20"/>
                <w:szCs w:val="20"/>
                <w:color w:val="auto"/>
              </w:rPr>
            </w:pPr>
            <w:r>
              <w:rPr>
                <w:rFonts w:ascii="Arial" w:cs="Arial" w:eastAsia="Arial" w:hAnsi="Arial"/>
                <w:sz w:val="16"/>
                <w:szCs w:val="16"/>
                <w:color w:val="auto"/>
              </w:rPr>
              <w:t>102,794</w:t>
            </w:r>
          </w:p>
        </w:tc>
        <w:tc>
          <w:tcPr>
            <w:tcW w:w="240" w:type="dxa"/>
            <w:vAlign w:val="bottom"/>
          </w:tcPr>
          <w:p>
            <w:pPr>
              <w:spacing w:after="0"/>
              <w:rPr>
                <w:sz w:val="14"/>
                <w:szCs w:val="14"/>
                <w:color w:val="auto"/>
              </w:rPr>
            </w:pPr>
          </w:p>
        </w:tc>
        <w:tc>
          <w:tcPr>
            <w:tcW w:w="1260" w:type="dxa"/>
            <w:vAlign w:val="bottom"/>
            <w:vMerge w:val="restart"/>
          </w:tcPr>
          <w:p>
            <w:pPr>
              <w:jc w:val="right"/>
              <w:ind w:right="1"/>
              <w:spacing w:after="0"/>
              <w:rPr>
                <w:sz w:val="20"/>
                <w:szCs w:val="20"/>
                <w:color w:val="auto"/>
              </w:rPr>
            </w:pPr>
            <w:r>
              <w:rPr>
                <w:rFonts w:ascii="Arial" w:cs="Arial" w:eastAsia="Arial" w:hAnsi="Arial"/>
                <w:sz w:val="16"/>
                <w:szCs w:val="16"/>
                <w:color w:val="auto"/>
              </w:rPr>
              <w:t>103,070</w:t>
            </w: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6"/>
                <w:szCs w:val="16"/>
                <w:color w:val="auto"/>
              </w:rPr>
              <w:t>premium/(discount)</w:t>
            </w:r>
          </w:p>
        </w:tc>
        <w:tc>
          <w:tcPr>
            <w:tcW w:w="2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EDEDEE"/>
          </w:tcPr>
          <w:p>
            <w:pPr>
              <w:spacing w:after="0"/>
              <w:rPr>
                <w:sz w:val="20"/>
                <w:szCs w:val="20"/>
                <w:color w:val="auto"/>
              </w:rPr>
            </w:pPr>
            <w:r>
              <w:rPr>
                <w:rFonts w:ascii="Arial" w:cs="Arial" w:eastAsia="Arial" w:hAnsi="Arial"/>
                <w:sz w:val="16"/>
                <w:szCs w:val="16"/>
                <w:color w:val="auto"/>
              </w:rPr>
              <w:t>Allowance for credit losses</w:t>
            </w:r>
          </w:p>
        </w:tc>
        <w:tc>
          <w:tcPr>
            <w:tcW w:w="240" w:type="dxa"/>
            <w:vAlign w:val="bottom"/>
            <w:tcBorders>
              <w:bottom w:val="single" w:sz="8" w:color="auto"/>
            </w:tcBorders>
            <w:shd w:val="clear" w:color="auto" w:fill="EDEDEE"/>
          </w:tcPr>
          <w:p>
            <w:pPr>
              <w:spacing w:after="0"/>
              <w:rPr>
                <w:sz w:val="18"/>
                <w:szCs w:val="18"/>
                <w:color w:val="auto"/>
              </w:rPr>
            </w:pPr>
          </w:p>
        </w:tc>
        <w:tc>
          <w:tcPr>
            <w:tcW w:w="122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(1,443,715)</w:t>
            </w:r>
          </w:p>
        </w:tc>
        <w:tc>
          <w:tcPr>
            <w:tcW w:w="240" w:type="dxa"/>
            <w:vAlign w:val="bottom"/>
            <w:tcBorders>
              <w:bottom w:val="single" w:sz="8" w:color="auto"/>
            </w:tcBorders>
            <w:shd w:val="clear" w:color="auto" w:fill="EDEDEE"/>
          </w:tcPr>
          <w:p>
            <w:pPr>
              <w:spacing w:after="0"/>
              <w:rPr>
                <w:sz w:val="18"/>
                <w:szCs w:val="18"/>
                <w:color w:val="auto"/>
              </w:rPr>
            </w:pPr>
          </w:p>
        </w:tc>
        <w:tc>
          <w:tcPr>
            <w:tcW w:w="12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(1,435,920)</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6"/>
                <w:szCs w:val="16"/>
                <w:b w:val="1"/>
                <w:bCs w:val="1"/>
                <w:color w:val="144F82"/>
              </w:rPr>
              <w:t>Loans held for investment, net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21,091,204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20,902,158</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The estimated weighted average life of education loans in our portfolio was approximately 5.6 years and 5.6 years at March 31, 2025 and December 31, 2024, respectively.</w:t>
      </w:r>
    </w:p>
    <w:p>
      <w:pPr>
        <w:spacing w:after="0" w:line="31"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color w:val="auto"/>
        </w:rPr>
        <w:t>The average balance (net of unamortized premium/(discount)) and the respective weighted average interest rates of loans held for investment in our portfolio are summarized as follows:</w:t>
      </w:r>
    </w:p>
    <w:p>
      <w:pPr>
        <w:spacing w:after="0" w:line="314"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9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144F82"/>
              </w:rPr>
              <w:t>2025</w:t>
            </w:r>
          </w:p>
        </w:tc>
        <w:tc>
          <w:tcPr>
            <w:tcW w:w="1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b w:val="1"/>
                <w:bCs w:val="1"/>
                <w:color w:val="144F82"/>
              </w:rPr>
              <w:t>2024</w:t>
            </w:r>
          </w:p>
        </w:tc>
        <w:tc>
          <w:tcPr>
            <w:tcW w:w="1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920" w:type="dxa"/>
            <w:vAlign w:val="bottom"/>
            <w:vMerge w:val="restart"/>
          </w:tcPr>
          <w:p>
            <w:pPr>
              <w:ind w:left="20"/>
              <w:spacing w:after="0"/>
              <w:rPr>
                <w:sz w:val="20"/>
                <w:szCs w:val="20"/>
                <w:color w:val="auto"/>
              </w:rPr>
            </w:pPr>
            <w:r>
              <w:rPr>
                <w:rFonts w:ascii="Arial" w:cs="Arial" w:eastAsia="Arial" w:hAnsi="Arial"/>
                <w:sz w:val="15"/>
                <w:szCs w:val="15"/>
                <w:b w:val="1"/>
                <w:bCs w:val="1"/>
                <w:color w:val="144F82"/>
              </w:rPr>
              <w:t>Three Months Ended March 31,</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5"/>
                <w:szCs w:val="15"/>
                <w:b w:val="1"/>
                <w:bCs w:val="1"/>
                <w:color w:val="144F82"/>
              </w:rPr>
              <w:t>Weighted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5"/>
                <w:szCs w:val="15"/>
                <w:b w:val="1"/>
                <w:bCs w:val="1"/>
                <w:color w:val="144F82"/>
              </w:rPr>
              <w:t>Weighted</w:t>
            </w:r>
          </w:p>
        </w:tc>
        <w:tc>
          <w:tcPr>
            <w:tcW w:w="0" w:type="dxa"/>
            <w:vAlign w:val="bottom"/>
          </w:tcPr>
          <w:p>
            <w:pPr>
              <w:spacing w:after="0"/>
              <w:rPr>
                <w:sz w:val="1"/>
                <w:szCs w:val="1"/>
                <w:color w:val="auto"/>
              </w:rPr>
            </w:pPr>
          </w:p>
        </w:tc>
      </w:tr>
      <w:tr>
        <w:trPr>
          <w:trHeight w:val="148"/>
        </w:trPr>
        <w:tc>
          <w:tcPr>
            <w:tcW w:w="2920" w:type="dxa"/>
            <w:vAlign w:val="bottom"/>
            <w:vMerge w:val="continue"/>
          </w:tcPr>
          <w:p>
            <w:pPr>
              <w:spacing w:after="0"/>
              <w:rPr>
                <w:sz w:val="12"/>
                <w:szCs w:val="12"/>
                <w:color w:val="auto"/>
              </w:rPr>
            </w:pPr>
          </w:p>
        </w:tc>
        <w:tc>
          <w:tcPr>
            <w:tcW w:w="1560" w:type="dxa"/>
            <w:vAlign w:val="bottom"/>
            <w:gridSpan w:val="3"/>
            <w:vMerge w:val="restart"/>
          </w:tcPr>
          <w:p>
            <w:pPr>
              <w:jc w:val="right"/>
              <w:ind w:right="240"/>
              <w:spacing w:after="0"/>
              <w:rPr>
                <w:sz w:val="20"/>
                <w:szCs w:val="20"/>
                <w:color w:val="auto"/>
              </w:rPr>
            </w:pPr>
            <w:r>
              <w:rPr>
                <w:rFonts w:ascii="Arial" w:cs="Arial" w:eastAsia="Arial" w:hAnsi="Arial"/>
                <w:sz w:val="15"/>
                <w:szCs w:val="15"/>
                <w:b w:val="1"/>
                <w:bCs w:val="1"/>
                <w:color w:val="144F82"/>
              </w:rPr>
              <w:t>Average Balance</w:t>
            </w: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5"/>
                <w:szCs w:val="15"/>
                <w:b w:val="1"/>
                <w:bCs w:val="1"/>
                <w:color w:val="144F82"/>
                <w:w w:val="97"/>
              </w:rPr>
              <w:t>Average</w:t>
            </w:r>
          </w:p>
        </w:tc>
        <w:tc>
          <w:tcPr>
            <w:tcW w:w="1580" w:type="dxa"/>
            <w:vAlign w:val="bottom"/>
            <w:gridSpan w:val="3"/>
            <w:vMerge w:val="restart"/>
          </w:tcPr>
          <w:p>
            <w:pPr>
              <w:jc w:val="right"/>
              <w:ind w:right="260"/>
              <w:spacing w:after="0"/>
              <w:rPr>
                <w:sz w:val="20"/>
                <w:szCs w:val="20"/>
                <w:color w:val="auto"/>
              </w:rPr>
            </w:pPr>
            <w:r>
              <w:rPr>
                <w:rFonts w:ascii="Arial" w:cs="Arial" w:eastAsia="Arial" w:hAnsi="Arial"/>
                <w:sz w:val="15"/>
                <w:szCs w:val="15"/>
                <w:b w:val="1"/>
                <w:bCs w:val="1"/>
                <w:color w:val="144F82"/>
              </w:rPr>
              <w:t>Average Balance</w:t>
            </w:r>
          </w:p>
        </w:tc>
        <w:tc>
          <w:tcPr>
            <w:tcW w:w="1100" w:type="dxa"/>
            <w:vAlign w:val="bottom"/>
          </w:tcPr>
          <w:p>
            <w:pPr>
              <w:jc w:val="center"/>
              <w:spacing w:after="0" w:line="149" w:lineRule="exact"/>
              <w:rPr>
                <w:sz w:val="20"/>
                <w:szCs w:val="20"/>
                <w:color w:val="auto"/>
              </w:rPr>
            </w:pPr>
            <w:r>
              <w:rPr>
                <w:rFonts w:ascii="Arial" w:cs="Arial" w:eastAsia="Arial" w:hAnsi="Arial"/>
                <w:sz w:val="15"/>
                <w:szCs w:val="15"/>
                <w:b w:val="1"/>
                <w:bCs w:val="1"/>
                <w:color w:val="144F82"/>
              </w:rPr>
              <w:t>Average</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144F82"/>
              </w:rPr>
              <w:t>(dollars in thousands)</w:t>
            </w:r>
          </w:p>
        </w:tc>
        <w:tc>
          <w:tcPr>
            <w:tcW w:w="1560" w:type="dxa"/>
            <w:vAlign w:val="bottom"/>
            <w:tcBorders>
              <w:bottom w:val="single" w:sz="8" w:color="auto"/>
            </w:tcBorders>
            <w:gridSpan w:val="3"/>
            <w:vMerge w:val="continue"/>
          </w:tcPr>
          <w:p>
            <w:pPr>
              <w:spacing w:after="0"/>
              <w:rPr>
                <w:sz w:val="18"/>
                <w:szCs w:val="18"/>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144F82"/>
              </w:rPr>
              <w:t>Interest Rate</w:t>
            </w:r>
          </w:p>
        </w:tc>
        <w:tc>
          <w:tcPr>
            <w:tcW w:w="158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144F82"/>
              </w:rPr>
              <w:t>Interest Rate</w:t>
            </w:r>
          </w:p>
        </w:tc>
        <w:tc>
          <w:tcPr>
            <w:tcW w:w="0" w:type="dxa"/>
            <w:vAlign w:val="bottom"/>
          </w:tcPr>
          <w:p>
            <w:pPr>
              <w:spacing w:after="0"/>
              <w:rPr>
                <w:sz w:val="1"/>
                <w:szCs w:val="1"/>
                <w:color w:val="auto"/>
              </w:rPr>
            </w:pPr>
          </w:p>
        </w:tc>
      </w:tr>
      <w:tr>
        <w:trPr>
          <w:trHeight w:val="209"/>
        </w:trPr>
        <w:tc>
          <w:tcPr>
            <w:tcW w:w="2920" w:type="dxa"/>
            <w:vAlign w:val="bottom"/>
            <w:shd w:val="clear" w:color="auto" w:fill="EDEDEE"/>
          </w:tcPr>
          <w:p>
            <w:pPr>
              <w:ind w:left="20"/>
              <w:spacing w:after="0"/>
              <w:rPr>
                <w:sz w:val="20"/>
                <w:szCs w:val="20"/>
                <w:color w:val="auto"/>
              </w:rPr>
            </w:pPr>
            <w:r>
              <w:rPr>
                <w:rFonts w:ascii="Arial" w:cs="Arial" w:eastAsia="Arial" w:hAnsi="Arial"/>
                <w:sz w:val="16"/>
                <w:szCs w:val="16"/>
                <w:color w:val="auto"/>
              </w:rPr>
              <w:t>Private Education Loans</w:t>
            </w:r>
          </w:p>
        </w:tc>
        <w:tc>
          <w:tcPr>
            <w:tcW w:w="320" w:type="dxa"/>
            <w:vAlign w:val="bottom"/>
            <w:shd w:val="clear" w:color="auto" w:fill="EDEDEE"/>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22,916,916</w:t>
            </w:r>
          </w:p>
        </w:tc>
        <w:tc>
          <w:tcPr>
            <w:tcW w:w="160" w:type="dxa"/>
            <w:vAlign w:val="bottom"/>
            <w:shd w:val="clear" w:color="auto" w:fill="EDEDEE"/>
          </w:tcPr>
          <w:p>
            <w:pPr>
              <w:spacing w:after="0"/>
              <w:rPr>
                <w:sz w:val="18"/>
                <w:szCs w:val="18"/>
                <w:color w:val="auto"/>
              </w:rPr>
            </w:pPr>
          </w:p>
        </w:tc>
        <w:tc>
          <w:tcPr>
            <w:tcW w:w="11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10.59 %</w:t>
            </w:r>
          </w:p>
        </w:tc>
        <w:tc>
          <w:tcPr>
            <w:tcW w:w="120" w:type="dxa"/>
            <w:vAlign w:val="bottom"/>
            <w:shd w:val="clear" w:color="auto" w:fill="EDEDEE"/>
          </w:tcPr>
          <w:p>
            <w:pPr>
              <w:spacing w:after="0"/>
              <w:rPr>
                <w:sz w:val="18"/>
                <w:szCs w:val="18"/>
                <w:color w:val="auto"/>
              </w:rPr>
            </w:pPr>
          </w:p>
        </w:tc>
        <w:tc>
          <w:tcPr>
            <w:tcW w:w="320" w:type="dxa"/>
            <w:vAlign w:val="bottom"/>
            <w:shd w:val="clear" w:color="auto" w:fill="EDEDEE"/>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21,442,744</w:t>
            </w:r>
          </w:p>
        </w:tc>
        <w:tc>
          <w:tcPr>
            <w:tcW w:w="180" w:type="dxa"/>
            <w:vAlign w:val="bottom"/>
            <w:shd w:val="clear" w:color="auto" w:fill="EDEDEE"/>
          </w:tcPr>
          <w:p>
            <w:pPr>
              <w:spacing w:after="0"/>
              <w:rPr>
                <w:sz w:val="18"/>
                <w:szCs w:val="18"/>
                <w:color w:val="auto"/>
              </w:rPr>
            </w:pPr>
          </w:p>
        </w:tc>
        <w:tc>
          <w:tcPr>
            <w:tcW w:w="11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11.01 %</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line="216" w:lineRule="exact"/>
              <w:rPr>
                <w:sz w:val="20"/>
                <w:szCs w:val="20"/>
                <w:color w:val="auto"/>
              </w:rPr>
            </w:pPr>
            <w:r>
              <w:rPr>
                <w:rFonts w:ascii="Arial" w:cs="Arial" w:eastAsia="Arial" w:hAnsi="Arial"/>
                <w:sz w:val="16"/>
                <w:szCs w:val="16"/>
                <w:color w:val="auto"/>
              </w:rPr>
              <w:t>FFELP Loans</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527,012</w:t>
            </w:r>
          </w:p>
        </w:tc>
        <w:tc>
          <w:tcPr>
            <w:tcW w:w="18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35"/>
        </w:trPr>
        <w:tc>
          <w:tcPr>
            <w:tcW w:w="2920" w:type="dxa"/>
            <w:vAlign w:val="bottom"/>
            <w:tcBorders>
              <w:top w:val="single" w:sz="8" w:color="EDEDEE"/>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 portfolio</w:t>
            </w:r>
          </w:p>
        </w:tc>
        <w:tc>
          <w:tcPr>
            <w:tcW w:w="320" w:type="dxa"/>
            <w:vAlign w:val="bottom"/>
            <w:tcBorders>
              <w:top w:val="single" w:sz="8" w:color="auto"/>
              <w:bottom w:val="single" w:sz="8" w:color="auto"/>
            </w:tcBorders>
            <w:shd w:val="clear" w:color="auto" w:fill="EDEDEE"/>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22,916,916</w:t>
            </w:r>
          </w:p>
        </w:tc>
        <w:tc>
          <w:tcPr>
            <w:tcW w:w="160" w:type="dxa"/>
            <w:vAlign w:val="bottom"/>
            <w:tcBorders>
              <w:top w:val="single" w:sz="8" w:color="EDEDEE"/>
              <w:bottom w:val="single" w:sz="8" w:color="EDEDEE"/>
            </w:tcBorders>
            <w:shd w:val="clear" w:color="auto" w:fill="EDEDEE"/>
          </w:tcPr>
          <w:p>
            <w:pPr>
              <w:spacing w:after="0"/>
              <w:rPr>
                <w:sz w:val="19"/>
                <w:szCs w:val="19"/>
                <w:color w:val="auto"/>
              </w:rPr>
            </w:pPr>
          </w:p>
        </w:tc>
        <w:tc>
          <w:tcPr>
            <w:tcW w:w="1100" w:type="dxa"/>
            <w:vAlign w:val="bottom"/>
            <w:tcBorders>
              <w:top w:val="single" w:sz="8" w:color="EDEDEE"/>
              <w:bottom w:val="single" w:sz="8" w:color="EDEDEE"/>
            </w:tcBorders>
            <w:shd w:val="clear" w:color="auto" w:fill="EDEDEE"/>
          </w:tcPr>
          <w:p>
            <w:pPr>
              <w:spacing w:after="0"/>
              <w:rPr>
                <w:sz w:val="19"/>
                <w:szCs w:val="19"/>
                <w:color w:val="auto"/>
              </w:rPr>
            </w:pPr>
          </w:p>
        </w:tc>
        <w:tc>
          <w:tcPr>
            <w:tcW w:w="120" w:type="dxa"/>
            <w:vAlign w:val="bottom"/>
            <w:tcBorders>
              <w:top w:val="single" w:sz="8" w:color="EDEDEE"/>
              <w:bottom w:val="single" w:sz="8" w:color="EDEDEE"/>
            </w:tcBorders>
            <w:shd w:val="clear" w:color="auto" w:fill="EDEDEE"/>
          </w:tcPr>
          <w:p>
            <w:pPr>
              <w:spacing w:after="0"/>
              <w:rPr>
                <w:sz w:val="19"/>
                <w:szCs w:val="19"/>
                <w:color w:val="auto"/>
              </w:rPr>
            </w:pPr>
          </w:p>
        </w:tc>
        <w:tc>
          <w:tcPr>
            <w:tcW w:w="320" w:type="dxa"/>
            <w:vAlign w:val="bottom"/>
            <w:tcBorders>
              <w:top w:val="single" w:sz="8" w:color="auto"/>
              <w:bottom w:val="single" w:sz="8" w:color="auto"/>
            </w:tcBorders>
            <w:shd w:val="clear" w:color="auto" w:fill="EDEDEE"/>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21,969,756</w:t>
            </w:r>
          </w:p>
        </w:tc>
        <w:tc>
          <w:tcPr>
            <w:tcW w:w="180" w:type="dxa"/>
            <w:vAlign w:val="bottom"/>
            <w:tcBorders>
              <w:top w:val="single" w:sz="8" w:color="EDEDEE"/>
              <w:bottom w:val="single" w:sz="8" w:color="EDEDEE"/>
            </w:tcBorders>
            <w:shd w:val="clear" w:color="auto" w:fill="EDEDEE"/>
          </w:tcPr>
          <w:p>
            <w:pPr>
              <w:spacing w:after="0"/>
              <w:rPr>
                <w:sz w:val="19"/>
                <w:szCs w:val="19"/>
                <w:color w:val="auto"/>
              </w:rPr>
            </w:pPr>
          </w:p>
        </w:tc>
        <w:tc>
          <w:tcPr>
            <w:tcW w:w="1100" w:type="dxa"/>
            <w:vAlign w:val="bottom"/>
            <w:tcBorders>
              <w:top w:val="single" w:sz="8" w:color="EDEDEE"/>
              <w:bottom w:val="single" w:sz="8" w:color="EDEDEE"/>
            </w:tcBorders>
            <w:shd w:val="clear" w:color="auto" w:fill="EDED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EDEDEE"/>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1080" w:type="dxa"/>
            <w:vAlign w:val="bottom"/>
            <w:tcBorders>
              <w:top w:val="single" w:sz="8" w:color="EDEDEE"/>
              <w:bottom w:val="single" w:sz="8" w:color="auto"/>
            </w:tcBorders>
          </w:tcPr>
          <w:p>
            <w:pPr>
              <w:spacing w:after="0" w:line="20" w:lineRule="exact"/>
              <w:rPr>
                <w:sz w:val="1"/>
                <w:szCs w:val="1"/>
                <w:color w:val="auto"/>
              </w:rPr>
            </w:pPr>
          </w:p>
        </w:tc>
        <w:tc>
          <w:tcPr>
            <w:tcW w:w="160" w:type="dxa"/>
            <w:vAlign w:val="bottom"/>
            <w:tcBorders>
              <w:top w:val="single" w:sz="8" w:color="EDEDEE"/>
            </w:tcBorders>
          </w:tcPr>
          <w:p>
            <w:pPr>
              <w:spacing w:after="0" w:line="20" w:lineRule="exact"/>
              <w:rPr>
                <w:sz w:val="1"/>
                <w:szCs w:val="1"/>
                <w:color w:val="auto"/>
              </w:rPr>
            </w:pPr>
          </w:p>
        </w:tc>
        <w:tc>
          <w:tcPr>
            <w:tcW w:w="110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108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tcBorders>
          </w:tcPr>
          <w:p>
            <w:pPr>
              <w:spacing w:after="0" w:line="20" w:lineRule="exact"/>
              <w:rPr>
                <w:sz w:val="1"/>
                <w:szCs w:val="1"/>
                <w:color w:val="auto"/>
              </w:rPr>
            </w:pPr>
          </w:p>
        </w:tc>
        <w:tc>
          <w:tcPr>
            <w:tcW w:w="1100" w:type="dxa"/>
            <w:vAlign w:val="bottom"/>
            <w:tcBorders>
              <w:top w:val="single" w:sz="8" w:color="EDED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1620" w:right="1500" w:hanging="154"/>
        <w:spacing w:after="0"/>
        <w:tabs>
          <w:tab w:leader="none" w:pos="1593"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FFELP Loans were transferred to loans held for sale during the third quarter of 2024 and subsequently sold to a third-party in the fourth quarter of 2024.</w:t>
      </w:r>
    </w:p>
    <w:p>
      <w:pPr>
        <w:spacing w:after="0" w:line="200" w:lineRule="exact"/>
        <w:rPr>
          <w:sz w:val="20"/>
          <w:szCs w:val="20"/>
          <w:color w:val="auto"/>
        </w:rPr>
      </w:pPr>
    </w:p>
    <w:p>
      <w:pPr>
        <w:spacing w:after="0" w:line="261" w:lineRule="exact"/>
        <w:rPr>
          <w:sz w:val="20"/>
          <w:szCs w:val="20"/>
          <w:color w:val="auto"/>
        </w:rPr>
      </w:pPr>
    </w:p>
    <w:p>
      <w:pPr>
        <w:ind w:right="1700" w:firstLine="445"/>
        <w:spacing w:after="0" w:line="287" w:lineRule="auto"/>
        <w:rPr>
          <w:sz w:val="20"/>
          <w:szCs w:val="20"/>
          <w:color w:val="auto"/>
        </w:rPr>
      </w:pPr>
      <w:r>
        <w:rPr>
          <w:rFonts w:ascii="Arial" w:cs="Arial" w:eastAsia="Arial" w:hAnsi="Arial"/>
          <w:sz w:val="18"/>
          <w:szCs w:val="18"/>
          <w:color w:val="auto"/>
        </w:rPr>
        <w:t>See Note 5, “Loans Held for Investment — Certain Collection Tools — Private Education Loans” in our 2024 Form 10-K for additional information.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Allowance for Credit Losses and Unfunded Loan Commitments</w:t>
      </w:r>
    </w:p>
    <w:p>
      <w:pPr>
        <w:spacing w:after="0" w:line="171"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Our provision for credit losses represents the periodic expense of maintaining an allowance sufficient to absorb lifetime expected credit losses in the held for investment loan portfolio. The evaluation of the allowance for credit losses is inherently subjective, as it requires material estimates that may be susceptible to significant changes. We believe the allowance for credit losses is appropriate to cover lifetime expected losses to be incurred in the loan portfolio.</w:t>
      </w:r>
    </w:p>
    <w:p>
      <w:pPr>
        <w:spacing w:after="0" w:line="122" w:lineRule="exact"/>
        <w:rPr>
          <w:sz w:val="20"/>
          <w:szCs w:val="20"/>
          <w:color w:val="auto"/>
        </w:rPr>
      </w:pPr>
    </w:p>
    <w:p>
      <w:pPr>
        <w:ind w:right="220" w:firstLine="445"/>
        <w:spacing w:after="0" w:line="268" w:lineRule="auto"/>
        <w:rPr>
          <w:sz w:val="20"/>
          <w:szCs w:val="20"/>
          <w:color w:val="auto"/>
        </w:rPr>
      </w:pPr>
      <w:r>
        <w:rPr>
          <w:rFonts w:ascii="Arial" w:cs="Arial" w:eastAsia="Arial" w:hAnsi="Arial"/>
          <w:sz w:val="18"/>
          <w:szCs w:val="18"/>
          <w:color w:val="auto"/>
        </w:rPr>
        <w:t>When a new loan commitment is made, we record the CECL allowance as a liability for unfunded loan commitments by recording a provision for credit losses. The allowance is recorded in “Other Liabilities” on the consolidated balance sheet. When the loan is funded, we transfer that liability to the allowance for loan losses.</w:t>
      </w:r>
    </w:p>
    <w:p>
      <w:pPr>
        <w:spacing w:after="0" w:line="6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majority of the total accrued interest receivable on our Private Education Loan portfolio represents accrued interest on deferred loans where no payments are due while the borrower is in school and on fixed-pay loans where the borrower makes a $25 monthly payment that is smaller than the interest accrued on the loan in that month. The allowance for credit losses considers the collectability of both principal and accrued interest. The allowance for uncollectible interest estimates the additional uncollectible interest that is not captured in the allowance for credit losses. See “— Accrued Interest Receivable” in this Note 4 for further discussion.</w:t>
      </w:r>
    </w:p>
    <w:p>
      <w:pPr>
        <w:spacing w:after="0" w:line="125" w:lineRule="exact"/>
        <w:rPr>
          <w:sz w:val="20"/>
          <w:szCs w:val="20"/>
          <w:color w:val="auto"/>
        </w:rPr>
      </w:pPr>
    </w:p>
    <w:p>
      <w:pPr>
        <w:ind w:right="140" w:firstLine="445"/>
        <w:spacing w:after="0" w:line="287" w:lineRule="auto"/>
        <w:rPr>
          <w:sz w:val="20"/>
          <w:szCs w:val="20"/>
          <w:color w:val="auto"/>
        </w:rPr>
      </w:pPr>
      <w:r>
        <w:rPr>
          <w:rFonts w:ascii="Arial" w:cs="Arial" w:eastAsia="Arial" w:hAnsi="Arial"/>
          <w:sz w:val="18"/>
          <w:szCs w:val="18"/>
          <w:color w:val="auto"/>
        </w:rPr>
        <w:t>See Note 2, “Significant Accounting Policies — Allowance for Credit Losses” in our 2024 Form 10-K for a more detailed discussion on our allowance for credit losses accounting policies.</w:t>
      </w:r>
    </w:p>
    <w:p>
      <w:pPr>
        <w:sectPr>
          <w:pgSz w:w="11900" w:h="16838" w:orient="portrait"/>
          <w:cols w:equalWidth="0" w:num="1">
            <w:col w:w="11200"/>
          </w:cols>
          <w:pgMar w:left="320" w:top="5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134F82"/>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2" w:right="379" w:bottom="1440" w:gutter="0" w:footer="0" w:header="0"/>
          <w:type w:val="continuous"/>
        </w:sectPr>
      </w:pPr>
    </w:p>
    <w:bookmarkStart w:id="17" w:name="page18"/>
    <w:bookmarkEnd w:id="17"/>
    <w:p>
      <w:pPr>
        <w:ind w:left="380" w:hanging="334"/>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Allowance for Credit Losses Metrics</w:t>
      </w:r>
    </w:p>
    <w:p>
      <w:pPr>
        <w:spacing w:after="0" w:line="169" w:lineRule="exact"/>
        <w:rPr>
          <w:sz w:val="20"/>
          <w:szCs w:val="20"/>
          <w:color w:val="auto"/>
        </w:rPr>
      </w:pPr>
    </w:p>
    <w:p>
      <w:pPr>
        <w:ind w:firstLine="202"/>
        <w:spacing w:after="0" w:line="287" w:lineRule="auto"/>
        <w:rPr>
          <w:sz w:val="20"/>
          <w:szCs w:val="20"/>
          <w:color w:val="auto"/>
        </w:rPr>
      </w:pPr>
      <w:r>
        <w:rPr>
          <w:rFonts w:ascii="Arial" w:cs="Arial" w:eastAsia="Arial" w:hAnsi="Arial"/>
          <w:sz w:val="18"/>
          <w:szCs w:val="18"/>
          <w:color w:val="auto"/>
        </w:rPr>
        <w:t>The following tables provide a summary of the activity in the allowance for loan losses and the allowance for unfunded loan commitments during the three months ended March 31, 2025 and 2024.</w:t>
      </w:r>
    </w:p>
    <w:p>
      <w:pPr>
        <w:spacing w:after="0" w:line="125" w:lineRule="exact"/>
        <w:rPr>
          <w:sz w:val="20"/>
          <w:szCs w:val="20"/>
          <w:color w:val="auto"/>
        </w:rPr>
      </w:pPr>
    </w:p>
    <w:tbl>
      <w:tblPr>
        <w:tblLayout w:type="fixed"/>
        <w:tblInd w:w="1300" w:type="dxa"/>
        <w:tblCellMar>
          <w:top w:w="0" w:type="dxa"/>
          <w:left w:w="0" w:type="dxa"/>
          <w:bottom w:w="0" w:type="dxa"/>
          <w:right w:w="0" w:type="dxa"/>
        </w:tblCellMar>
      </w:tblPr>
      <w:tr>
        <w:trPr>
          <w:trHeight w:val="166"/>
        </w:trPr>
        <w:tc>
          <w:tcPr>
            <w:tcW w:w="70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144F82"/>
              </w:rPr>
              <w:t>Three Months Ended March 31, 2025</w:t>
            </w: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144F82"/>
              </w:rPr>
              <w:t>Private Education</w:t>
            </w:r>
          </w:p>
        </w:tc>
      </w:tr>
      <w:tr>
        <w:trPr>
          <w:trHeight w:val="185"/>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144F82"/>
              </w:rPr>
              <w:t>Loans</w:t>
            </w:r>
          </w:p>
        </w:tc>
      </w:tr>
      <w:tr>
        <w:trPr>
          <w:trHeight w:val="196"/>
        </w:trPr>
        <w:tc>
          <w:tcPr>
            <w:tcW w:w="7060" w:type="dxa"/>
            <w:vAlign w:val="bottom"/>
            <w:shd w:val="clear" w:color="auto" w:fill="EDEDEE"/>
          </w:tcPr>
          <w:p>
            <w:pPr>
              <w:ind w:left="20"/>
              <w:spacing w:after="0"/>
              <w:rPr>
                <w:sz w:val="20"/>
                <w:szCs w:val="20"/>
                <w:color w:val="auto"/>
              </w:rPr>
            </w:pPr>
            <w:r>
              <w:rPr>
                <w:rFonts w:ascii="Arial" w:cs="Arial" w:eastAsia="Arial" w:hAnsi="Arial"/>
                <w:sz w:val="14"/>
                <w:szCs w:val="14"/>
                <w:b w:val="1"/>
                <w:bCs w:val="1"/>
                <w:color w:val="144F82"/>
              </w:rPr>
              <w:t>Allowance for loan losses, beginning balance</w:t>
            </w:r>
          </w:p>
        </w:tc>
        <w:tc>
          <w:tcPr>
            <w:tcW w:w="140" w:type="dxa"/>
            <w:vAlign w:val="bottom"/>
            <w:shd w:val="clear" w:color="auto" w:fill="EDEDEE"/>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EDEDEE"/>
          </w:tcPr>
          <w:p>
            <w:pPr>
              <w:jc w:val="right"/>
              <w:ind w:right="108"/>
              <w:spacing w:after="0"/>
              <w:rPr>
                <w:sz w:val="20"/>
                <w:szCs w:val="20"/>
                <w:color w:val="auto"/>
              </w:rPr>
            </w:pPr>
            <w:r>
              <w:rPr>
                <w:rFonts w:ascii="Arial" w:cs="Arial" w:eastAsia="Arial" w:hAnsi="Arial"/>
                <w:sz w:val="14"/>
                <w:szCs w:val="14"/>
                <w:color w:val="auto"/>
              </w:rPr>
              <w:t>1,435,920</w:t>
            </w:r>
          </w:p>
        </w:tc>
      </w:tr>
      <w:tr>
        <w:trPr>
          <w:trHeight w:val="198"/>
        </w:trPr>
        <w:tc>
          <w:tcPr>
            <w:tcW w:w="7060" w:type="dxa"/>
            <w:vAlign w:val="bottom"/>
          </w:tcPr>
          <w:p>
            <w:pPr>
              <w:ind w:left="140"/>
              <w:spacing w:after="0"/>
              <w:rPr>
                <w:sz w:val="20"/>
                <w:szCs w:val="20"/>
                <w:color w:val="auto"/>
              </w:rPr>
            </w:pPr>
            <w:r>
              <w:rPr>
                <w:rFonts w:ascii="Arial" w:cs="Arial" w:eastAsia="Arial" w:hAnsi="Arial"/>
                <w:sz w:val="14"/>
                <w:szCs w:val="14"/>
                <w:color w:val="auto"/>
              </w:rPr>
              <w:t>Transfer from allowance for unfunded loan commitments</w:t>
            </w:r>
          </w:p>
        </w:tc>
        <w:tc>
          <w:tcPr>
            <w:tcW w:w="140" w:type="dxa"/>
            <w:vAlign w:val="bottom"/>
          </w:tcPr>
          <w:p>
            <w:pPr>
              <w:spacing w:after="0"/>
              <w:rPr>
                <w:sz w:val="17"/>
                <w:szCs w:val="17"/>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105,134</w:t>
            </w:r>
          </w:p>
        </w:tc>
      </w:tr>
      <w:tr>
        <w:trPr>
          <w:trHeight w:val="207"/>
        </w:trPr>
        <w:tc>
          <w:tcPr>
            <w:tcW w:w="7060" w:type="dxa"/>
            <w:vAlign w:val="bottom"/>
            <w:shd w:val="clear" w:color="auto" w:fill="EDEDEE"/>
          </w:tcPr>
          <w:p>
            <w:pPr>
              <w:ind w:left="140"/>
              <w:spacing w:after="0"/>
              <w:rPr>
                <w:sz w:val="20"/>
                <w:szCs w:val="20"/>
                <w:color w:val="auto"/>
              </w:rPr>
            </w:pPr>
            <w:r>
              <w:rPr>
                <w:rFonts w:ascii="Arial" w:cs="Arial" w:eastAsia="Arial" w:hAnsi="Arial"/>
                <w:sz w:val="14"/>
                <w:szCs w:val="14"/>
                <w:color w:val="auto"/>
              </w:rPr>
              <w:t>Provisions:</w:t>
            </w:r>
          </w:p>
        </w:tc>
        <w:tc>
          <w:tcPr>
            <w:tcW w:w="140" w:type="dxa"/>
            <w:vAlign w:val="bottom"/>
            <w:shd w:val="clear" w:color="auto" w:fill="EDEDEE"/>
          </w:tcPr>
          <w:p>
            <w:pPr>
              <w:spacing w:after="0"/>
              <w:rPr>
                <w:sz w:val="17"/>
                <w:szCs w:val="17"/>
                <w:color w:val="auto"/>
              </w:rPr>
            </w:pPr>
          </w:p>
        </w:tc>
        <w:tc>
          <w:tcPr>
            <w:tcW w:w="1440" w:type="dxa"/>
            <w:vAlign w:val="bottom"/>
            <w:shd w:val="clear" w:color="auto" w:fill="EDEDEE"/>
          </w:tcPr>
          <w:p>
            <w:pPr>
              <w:spacing w:after="0"/>
              <w:rPr>
                <w:sz w:val="17"/>
                <w:szCs w:val="17"/>
                <w:color w:val="auto"/>
              </w:rPr>
            </w:pPr>
          </w:p>
        </w:tc>
      </w:tr>
      <w:tr>
        <w:trPr>
          <w:trHeight w:val="198"/>
        </w:trPr>
        <w:tc>
          <w:tcPr>
            <w:tcW w:w="7060" w:type="dxa"/>
            <w:vAlign w:val="bottom"/>
          </w:tcPr>
          <w:p>
            <w:pPr>
              <w:ind w:left="260"/>
              <w:spacing w:after="0"/>
              <w:rPr>
                <w:sz w:val="20"/>
                <w:szCs w:val="20"/>
                <w:color w:val="auto"/>
              </w:rPr>
            </w:pPr>
            <w:r>
              <w:rPr>
                <w:rFonts w:ascii="Arial" w:cs="Arial" w:eastAsia="Arial" w:hAnsi="Arial"/>
                <w:sz w:val="14"/>
                <w:szCs w:val="14"/>
                <w:color w:val="auto"/>
              </w:rPr>
              <w:t>Provision for current period</w:t>
            </w:r>
          </w:p>
        </w:tc>
        <w:tc>
          <w:tcPr>
            <w:tcW w:w="140" w:type="dxa"/>
            <w:vAlign w:val="bottom"/>
          </w:tcPr>
          <w:p>
            <w:pPr>
              <w:spacing w:after="0"/>
              <w:rPr>
                <w:sz w:val="17"/>
                <w:szCs w:val="17"/>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95,289</w:t>
            </w:r>
          </w:p>
        </w:tc>
      </w:tr>
      <w:tr>
        <w:trPr>
          <w:trHeight w:val="203"/>
        </w:trPr>
        <w:tc>
          <w:tcPr>
            <w:tcW w:w="7060" w:type="dxa"/>
            <w:vAlign w:val="bottom"/>
            <w:tcBorders>
              <w:bottom w:val="single" w:sz="8" w:color="auto"/>
            </w:tcBorders>
            <w:shd w:val="clear" w:color="auto" w:fill="EDEDEE"/>
          </w:tcPr>
          <w:p>
            <w:pPr>
              <w:ind w:left="260"/>
              <w:spacing w:after="0"/>
              <w:rPr>
                <w:sz w:val="20"/>
                <w:szCs w:val="20"/>
                <w:color w:val="auto"/>
              </w:rPr>
            </w:pPr>
            <w:r>
              <w:rPr>
                <w:rFonts w:ascii="Arial" w:cs="Arial" w:eastAsia="Arial" w:hAnsi="Arial"/>
                <w:sz w:val="14"/>
                <w:szCs w:val="14"/>
                <w:color w:val="auto"/>
              </w:rPr>
              <w:t>Loan sale reduction to provision</w:t>
            </w:r>
          </w:p>
        </w:tc>
        <w:tc>
          <w:tcPr>
            <w:tcW w:w="140" w:type="dxa"/>
            <w:vAlign w:val="bottom"/>
            <w:tcBorders>
              <w:bottom w:val="single" w:sz="8" w:color="auto"/>
            </w:tcBorders>
            <w:shd w:val="clear" w:color="auto" w:fill="EDEDEE"/>
          </w:tcPr>
          <w:p>
            <w:pPr>
              <w:spacing w:after="0"/>
              <w:rPr>
                <w:sz w:val="17"/>
                <w:szCs w:val="17"/>
                <w:color w:val="auto"/>
              </w:rPr>
            </w:pPr>
          </w:p>
        </w:tc>
        <w:tc>
          <w:tcPr>
            <w:tcW w:w="1440" w:type="dxa"/>
            <w:vAlign w:val="bottom"/>
            <w:tcBorders>
              <w:bottom w:val="single" w:sz="8" w:color="auto"/>
            </w:tcBorders>
            <w:shd w:val="clear" w:color="auto" w:fill="EDEDEE"/>
          </w:tcPr>
          <w:p>
            <w:pPr>
              <w:jc w:val="right"/>
              <w:ind w:right="68"/>
              <w:spacing w:after="0"/>
              <w:rPr>
                <w:sz w:val="20"/>
                <w:szCs w:val="20"/>
                <w:color w:val="auto"/>
              </w:rPr>
            </w:pPr>
            <w:r>
              <w:rPr>
                <w:rFonts w:ascii="Arial" w:cs="Arial" w:eastAsia="Arial" w:hAnsi="Arial"/>
                <w:sz w:val="14"/>
                <w:szCs w:val="14"/>
                <w:color w:val="auto"/>
              </w:rPr>
              <w:t>(116,459)</w:t>
            </w:r>
          </w:p>
        </w:tc>
      </w:tr>
      <w:tr>
        <w:trPr>
          <w:trHeight w:val="200"/>
        </w:trPr>
        <w:tc>
          <w:tcPr>
            <w:tcW w:w="7060" w:type="dxa"/>
            <w:vAlign w:val="bottom"/>
          </w:tcPr>
          <w:p>
            <w:pPr>
              <w:ind w:left="140"/>
              <w:spacing w:after="0" w:line="200" w:lineRule="exact"/>
              <w:rPr>
                <w:sz w:val="20"/>
                <w:szCs w:val="20"/>
                <w:color w:val="auto"/>
              </w:rPr>
            </w:pPr>
            <w:r>
              <w:rPr>
                <w:rFonts w:ascii="Arial" w:cs="Arial" w:eastAsia="Arial" w:hAnsi="Arial"/>
                <w:sz w:val="14"/>
                <w:szCs w:val="14"/>
                <w:color w:val="auto"/>
              </w:rPr>
              <w:t>Total provisions</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(21,170)</w:t>
            </w:r>
          </w:p>
        </w:tc>
      </w:tr>
      <w:tr>
        <w:trPr>
          <w:trHeight w:val="203"/>
        </w:trPr>
        <w:tc>
          <w:tcPr>
            <w:tcW w:w="7060" w:type="dxa"/>
            <w:vAlign w:val="bottom"/>
            <w:shd w:val="clear" w:color="auto" w:fill="EDEDEE"/>
          </w:tcPr>
          <w:p>
            <w:pPr>
              <w:ind w:left="140"/>
              <w:spacing w:after="0"/>
              <w:rPr>
                <w:sz w:val="20"/>
                <w:szCs w:val="20"/>
                <w:color w:val="auto"/>
              </w:rPr>
            </w:pPr>
            <w:r>
              <w:rPr>
                <w:rFonts w:ascii="Arial" w:cs="Arial" w:eastAsia="Arial" w:hAnsi="Arial"/>
                <w:sz w:val="14"/>
                <w:szCs w:val="14"/>
                <w:color w:val="auto"/>
              </w:rPr>
              <w:t>Net charge-offs:</w:t>
            </w:r>
          </w:p>
        </w:tc>
        <w:tc>
          <w:tcPr>
            <w:tcW w:w="140" w:type="dxa"/>
            <w:vAlign w:val="bottom"/>
            <w:shd w:val="clear" w:color="auto" w:fill="EDEDEE"/>
          </w:tcPr>
          <w:p>
            <w:pPr>
              <w:spacing w:after="0"/>
              <w:rPr>
                <w:sz w:val="17"/>
                <w:szCs w:val="17"/>
                <w:color w:val="auto"/>
              </w:rPr>
            </w:pPr>
          </w:p>
        </w:tc>
        <w:tc>
          <w:tcPr>
            <w:tcW w:w="1440" w:type="dxa"/>
            <w:vAlign w:val="bottom"/>
            <w:shd w:val="clear" w:color="auto" w:fill="EDEDEE"/>
          </w:tcPr>
          <w:p>
            <w:pPr>
              <w:spacing w:after="0"/>
              <w:rPr>
                <w:sz w:val="17"/>
                <w:szCs w:val="17"/>
                <w:color w:val="auto"/>
              </w:rPr>
            </w:pPr>
          </w:p>
        </w:tc>
      </w:tr>
      <w:tr>
        <w:trPr>
          <w:trHeight w:val="198"/>
        </w:trPr>
        <w:tc>
          <w:tcPr>
            <w:tcW w:w="7060" w:type="dxa"/>
            <w:vAlign w:val="bottom"/>
          </w:tcPr>
          <w:p>
            <w:pPr>
              <w:ind w:left="220"/>
              <w:spacing w:after="0"/>
              <w:rPr>
                <w:sz w:val="20"/>
                <w:szCs w:val="20"/>
                <w:color w:val="auto"/>
              </w:rPr>
            </w:pPr>
            <w:r>
              <w:rPr>
                <w:rFonts w:ascii="Arial" w:cs="Arial" w:eastAsia="Arial" w:hAnsi="Arial"/>
                <w:sz w:val="14"/>
                <w:szCs w:val="14"/>
                <w:color w:val="auto"/>
              </w:rPr>
              <w:t>Charge-offs</w:t>
            </w:r>
          </w:p>
        </w:tc>
        <w:tc>
          <w:tcPr>
            <w:tcW w:w="140" w:type="dxa"/>
            <w:vAlign w:val="bottom"/>
          </w:tcPr>
          <w:p>
            <w:pPr>
              <w:spacing w:after="0"/>
              <w:rPr>
                <w:sz w:val="17"/>
                <w:szCs w:val="17"/>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(86,903)</w:t>
            </w:r>
          </w:p>
        </w:tc>
      </w:tr>
      <w:tr>
        <w:trPr>
          <w:trHeight w:val="203"/>
        </w:trPr>
        <w:tc>
          <w:tcPr>
            <w:tcW w:w="7060" w:type="dxa"/>
            <w:vAlign w:val="bottom"/>
            <w:tcBorders>
              <w:bottom w:val="single" w:sz="8" w:color="auto"/>
            </w:tcBorders>
            <w:shd w:val="clear" w:color="auto" w:fill="EDEDEE"/>
          </w:tcPr>
          <w:p>
            <w:pPr>
              <w:ind w:left="220"/>
              <w:spacing w:after="0"/>
              <w:rPr>
                <w:sz w:val="20"/>
                <w:szCs w:val="20"/>
                <w:color w:val="auto"/>
              </w:rPr>
            </w:pPr>
            <w:r>
              <w:rPr>
                <w:rFonts w:ascii="Arial" w:cs="Arial" w:eastAsia="Arial" w:hAnsi="Arial"/>
                <w:sz w:val="14"/>
                <w:szCs w:val="14"/>
                <w:color w:val="auto"/>
              </w:rPr>
              <w:t>Recoveries</w:t>
            </w:r>
          </w:p>
        </w:tc>
        <w:tc>
          <w:tcPr>
            <w:tcW w:w="140" w:type="dxa"/>
            <w:vAlign w:val="bottom"/>
            <w:tcBorders>
              <w:bottom w:val="single" w:sz="8" w:color="auto"/>
            </w:tcBorders>
            <w:shd w:val="clear" w:color="auto" w:fill="EDEDEE"/>
          </w:tcPr>
          <w:p>
            <w:pPr>
              <w:spacing w:after="0"/>
              <w:rPr>
                <w:sz w:val="17"/>
                <w:szCs w:val="17"/>
                <w:color w:val="auto"/>
              </w:rPr>
            </w:pPr>
          </w:p>
        </w:tc>
        <w:tc>
          <w:tcPr>
            <w:tcW w:w="1440" w:type="dxa"/>
            <w:vAlign w:val="bottom"/>
            <w:tcBorders>
              <w:bottom w:val="single" w:sz="8" w:color="auto"/>
            </w:tcBorders>
            <w:shd w:val="clear" w:color="auto" w:fill="EDEDEE"/>
          </w:tcPr>
          <w:p>
            <w:pPr>
              <w:jc w:val="right"/>
              <w:ind w:right="108"/>
              <w:spacing w:after="0"/>
              <w:rPr>
                <w:sz w:val="20"/>
                <w:szCs w:val="20"/>
                <w:color w:val="auto"/>
              </w:rPr>
            </w:pPr>
            <w:r>
              <w:rPr>
                <w:rFonts w:ascii="Arial" w:cs="Arial" w:eastAsia="Arial" w:hAnsi="Arial"/>
                <w:sz w:val="14"/>
                <w:szCs w:val="14"/>
                <w:color w:val="auto"/>
              </w:rPr>
              <w:t>10,734</w:t>
            </w:r>
          </w:p>
        </w:tc>
      </w:tr>
      <w:tr>
        <w:trPr>
          <w:trHeight w:val="196"/>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charge-offs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(76,169)</w:t>
            </w:r>
          </w:p>
        </w:tc>
      </w:tr>
      <w:tr>
        <w:trPr>
          <w:trHeight w:val="199"/>
        </w:trPr>
        <w:tc>
          <w:tcPr>
            <w:tcW w:w="7060" w:type="dxa"/>
            <w:vAlign w:val="bottom"/>
            <w:tcBorders>
              <w:bottom w:val="single" w:sz="8" w:color="auto"/>
            </w:tcBorders>
            <w:shd w:val="clear" w:color="auto" w:fill="EDEDEE"/>
          </w:tcPr>
          <w:p>
            <w:pPr>
              <w:ind w:left="20"/>
              <w:spacing w:after="0"/>
              <w:rPr>
                <w:sz w:val="20"/>
                <w:szCs w:val="20"/>
                <w:color w:val="auto"/>
              </w:rPr>
            </w:pPr>
            <w:r>
              <w:rPr>
                <w:rFonts w:ascii="Arial" w:cs="Arial" w:eastAsia="Arial" w:hAnsi="Arial"/>
                <w:sz w:val="14"/>
                <w:szCs w:val="14"/>
                <w:b w:val="1"/>
                <w:bCs w:val="1"/>
                <w:color w:val="144F82"/>
              </w:rPr>
              <w:t>Allowance for loan losses, ending balance</w:t>
            </w:r>
          </w:p>
        </w:tc>
        <w:tc>
          <w:tcPr>
            <w:tcW w:w="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EDEDEE"/>
          </w:tcPr>
          <w:p>
            <w:pPr>
              <w:jc w:val="right"/>
              <w:ind w:right="108"/>
              <w:spacing w:after="0"/>
              <w:rPr>
                <w:sz w:val="20"/>
                <w:szCs w:val="20"/>
                <w:color w:val="auto"/>
              </w:rPr>
            </w:pPr>
            <w:r>
              <w:rPr>
                <w:rFonts w:ascii="Arial" w:cs="Arial" w:eastAsia="Arial" w:hAnsi="Arial"/>
                <w:sz w:val="14"/>
                <w:szCs w:val="14"/>
                <w:color w:val="auto"/>
              </w:rPr>
              <w:t>1,443,715</w:t>
            </w:r>
          </w:p>
        </w:tc>
      </w:tr>
      <w:tr>
        <w:trPr>
          <w:trHeight w:val="197"/>
        </w:trPr>
        <w:tc>
          <w:tcPr>
            <w:tcW w:w="7060" w:type="dxa"/>
            <w:vAlign w:val="bottom"/>
          </w:tcPr>
          <w:p>
            <w:pPr>
              <w:ind w:left="20"/>
              <w:spacing w:after="0" w:line="197" w:lineRule="exact"/>
              <w:rPr>
                <w:sz w:val="20"/>
                <w:szCs w:val="20"/>
                <w:color w:val="auto"/>
              </w:rPr>
            </w:pPr>
            <w:r>
              <w:rPr>
                <w:rFonts w:ascii="Arial" w:cs="Arial" w:eastAsia="Arial" w:hAnsi="Arial"/>
                <w:sz w:val="14"/>
                <w:szCs w:val="14"/>
                <w:b w:val="1"/>
                <w:bCs w:val="1"/>
                <w:color w:val="144F82"/>
              </w:rPr>
              <w:t>Allowance for unfunded loan commitments, beginning balance</w:t>
            </w:r>
            <w:r>
              <w:rPr>
                <w:rFonts w:ascii="Arial" w:cs="Arial" w:eastAsia="Arial" w:hAnsi="Arial"/>
                <w:sz w:val="18"/>
                <w:szCs w:val="18"/>
                <w:b w:val="1"/>
                <w:bCs w:val="1"/>
                <w:color w:val="144F82"/>
                <w:vertAlign w:val="superscript"/>
              </w:rPr>
              <w:t>(2)</w:t>
            </w:r>
          </w:p>
        </w:tc>
        <w:tc>
          <w:tcPr>
            <w:tcW w:w="140" w:type="dxa"/>
            <w:vAlign w:val="bottom"/>
          </w:tcPr>
          <w:p>
            <w:pPr>
              <w:spacing w:after="0"/>
              <w:rPr>
                <w:sz w:val="17"/>
                <w:szCs w:val="17"/>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84,568</w:t>
            </w:r>
          </w:p>
        </w:tc>
      </w:tr>
      <w:tr>
        <w:trPr>
          <w:trHeight w:val="203"/>
        </w:trPr>
        <w:tc>
          <w:tcPr>
            <w:tcW w:w="7060" w:type="dxa"/>
            <w:vAlign w:val="bottom"/>
            <w:shd w:val="clear" w:color="auto" w:fill="EDEDEE"/>
          </w:tcPr>
          <w:p>
            <w:pPr>
              <w:ind w:left="140"/>
              <w:spacing w:after="0" w:line="202" w:lineRule="exact"/>
              <w:rPr>
                <w:sz w:val="20"/>
                <w:szCs w:val="20"/>
                <w:color w:val="auto"/>
              </w:rPr>
            </w:pPr>
            <w:r>
              <w:rPr>
                <w:rFonts w:ascii="Arial" w:cs="Arial" w:eastAsia="Arial" w:hAnsi="Arial"/>
                <w:sz w:val="14"/>
                <w:szCs w:val="14"/>
                <w:color w:val="auto"/>
              </w:rPr>
              <w:t>Provision</w:t>
            </w:r>
            <w:r>
              <w:rPr>
                <w:rFonts w:ascii="Arial" w:cs="Arial" w:eastAsia="Arial" w:hAnsi="Arial"/>
                <w:sz w:val="18"/>
                <w:szCs w:val="18"/>
                <w:color w:val="auto"/>
                <w:vertAlign w:val="superscript"/>
              </w:rPr>
              <w:t>(1)(3)</w:t>
            </w:r>
          </w:p>
        </w:tc>
        <w:tc>
          <w:tcPr>
            <w:tcW w:w="140" w:type="dxa"/>
            <w:vAlign w:val="bottom"/>
            <w:shd w:val="clear" w:color="auto" w:fill="EDEDEE"/>
          </w:tcPr>
          <w:p>
            <w:pPr>
              <w:spacing w:after="0"/>
              <w:rPr>
                <w:sz w:val="17"/>
                <w:szCs w:val="17"/>
                <w:color w:val="auto"/>
              </w:rPr>
            </w:pPr>
          </w:p>
        </w:tc>
        <w:tc>
          <w:tcPr>
            <w:tcW w:w="1440" w:type="dxa"/>
            <w:vAlign w:val="bottom"/>
            <w:shd w:val="clear" w:color="auto" w:fill="EDEDEE"/>
          </w:tcPr>
          <w:p>
            <w:pPr>
              <w:jc w:val="right"/>
              <w:ind w:right="108"/>
              <w:spacing w:after="0"/>
              <w:rPr>
                <w:sz w:val="20"/>
                <w:szCs w:val="20"/>
                <w:color w:val="auto"/>
              </w:rPr>
            </w:pPr>
            <w:r>
              <w:rPr>
                <w:rFonts w:ascii="Arial" w:cs="Arial" w:eastAsia="Arial" w:hAnsi="Arial"/>
                <w:sz w:val="14"/>
                <w:szCs w:val="14"/>
                <w:color w:val="auto"/>
              </w:rPr>
              <w:t>44,456</w:t>
            </w:r>
          </w:p>
        </w:tc>
      </w:tr>
      <w:tr>
        <w:trPr>
          <w:trHeight w:val="198"/>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Transfer to allowance for loan losses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(105,134)</w:t>
            </w:r>
          </w:p>
        </w:tc>
      </w:tr>
      <w:tr>
        <w:trPr>
          <w:trHeight w:val="200"/>
        </w:trPr>
        <w:tc>
          <w:tcPr>
            <w:tcW w:w="7060" w:type="dxa"/>
            <w:vAlign w:val="bottom"/>
            <w:tcBorders>
              <w:bottom w:val="single" w:sz="8" w:color="auto"/>
            </w:tcBorders>
            <w:shd w:val="clear" w:color="auto" w:fill="EDEDEE"/>
          </w:tcPr>
          <w:p>
            <w:pPr>
              <w:ind w:left="20"/>
              <w:spacing w:after="0" w:line="200" w:lineRule="exact"/>
              <w:rPr>
                <w:sz w:val="20"/>
                <w:szCs w:val="20"/>
                <w:color w:val="auto"/>
              </w:rPr>
            </w:pPr>
            <w:r>
              <w:rPr>
                <w:rFonts w:ascii="Arial" w:cs="Arial" w:eastAsia="Arial" w:hAnsi="Arial"/>
                <w:sz w:val="14"/>
                <w:szCs w:val="14"/>
                <w:b w:val="1"/>
                <w:bCs w:val="1"/>
                <w:color w:val="144F82"/>
              </w:rPr>
              <w:t>Allowance for unfunded loan commitments, ending balance</w:t>
            </w:r>
            <w:r>
              <w:rPr>
                <w:rFonts w:ascii="Arial" w:cs="Arial" w:eastAsia="Arial" w:hAnsi="Arial"/>
                <w:sz w:val="18"/>
                <w:szCs w:val="18"/>
                <w:b w:val="1"/>
                <w:bCs w:val="1"/>
                <w:color w:val="144F82"/>
                <w:vertAlign w:val="superscript"/>
              </w:rPr>
              <w:t>(2)</w:t>
            </w:r>
          </w:p>
        </w:tc>
        <w:tc>
          <w:tcPr>
            <w:tcW w:w="140" w:type="dxa"/>
            <w:vAlign w:val="bottom"/>
            <w:tcBorders>
              <w:bottom w:val="single" w:sz="8" w:color="auto"/>
            </w:tcBorders>
            <w:shd w:val="clear" w:color="auto" w:fill="EDEDEE"/>
          </w:tcPr>
          <w:p>
            <w:pPr>
              <w:spacing w:after="0"/>
              <w:rPr>
                <w:sz w:val="17"/>
                <w:szCs w:val="17"/>
                <w:color w:val="auto"/>
              </w:rPr>
            </w:pPr>
          </w:p>
        </w:tc>
        <w:tc>
          <w:tcPr>
            <w:tcW w:w="1440" w:type="dxa"/>
            <w:vAlign w:val="bottom"/>
            <w:tcBorders>
              <w:bottom w:val="single" w:sz="8" w:color="auto"/>
            </w:tcBorders>
            <w:shd w:val="clear" w:color="auto" w:fill="EDEDEE"/>
          </w:tcPr>
          <w:p>
            <w:pPr>
              <w:jc w:val="right"/>
              <w:ind w:right="108"/>
              <w:spacing w:after="0"/>
              <w:rPr>
                <w:sz w:val="20"/>
                <w:szCs w:val="20"/>
                <w:color w:val="auto"/>
              </w:rPr>
            </w:pPr>
            <w:r>
              <w:rPr>
                <w:rFonts w:ascii="Arial" w:cs="Arial" w:eastAsia="Arial" w:hAnsi="Arial"/>
                <w:sz w:val="14"/>
                <w:szCs w:val="14"/>
                <w:color w:val="auto"/>
              </w:rPr>
              <w:t>23,890</w:t>
            </w:r>
          </w:p>
        </w:tc>
      </w:tr>
      <w:tr>
        <w:trPr>
          <w:trHeight w:val="169"/>
        </w:trPr>
        <w:tc>
          <w:tcPr>
            <w:tcW w:w="7060" w:type="dxa"/>
            <w:vAlign w:val="bottom"/>
          </w:tcPr>
          <w:p>
            <w:pPr>
              <w:ind w:left="20"/>
              <w:spacing w:after="0"/>
              <w:rPr>
                <w:sz w:val="20"/>
                <w:szCs w:val="20"/>
                <w:color w:val="auto"/>
              </w:rPr>
            </w:pPr>
            <w:r>
              <w:rPr>
                <w:rFonts w:ascii="Arial" w:cs="Arial" w:eastAsia="Arial" w:hAnsi="Arial"/>
                <w:sz w:val="14"/>
                <w:szCs w:val="14"/>
                <w:b w:val="1"/>
                <w:bCs w:val="1"/>
                <w:color w:val="144F82"/>
              </w:rPr>
              <w:t>Total allowance for credit losses, 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1,467,605</w:t>
            </w:r>
          </w:p>
        </w:tc>
      </w:tr>
      <w:tr>
        <w:trPr>
          <w:trHeight w:val="45"/>
        </w:trPr>
        <w:tc>
          <w:tcPr>
            <w:tcW w:w="7060" w:type="dxa"/>
            <w:vAlign w:val="bottom"/>
            <w:tcBorders>
              <w:bottom w:val="single" w:sz="8" w:color="auto"/>
            </w:tcBorders>
          </w:tcPr>
          <w:p>
            <w:pPr>
              <w:spacing w:after="0"/>
              <w:rPr>
                <w:sz w:val="3"/>
                <w:szCs w:val="3"/>
                <w:color w:val="auto"/>
              </w:rPr>
            </w:pPr>
          </w:p>
        </w:tc>
        <w:tc>
          <w:tcPr>
            <w:tcW w:w="140" w:type="dxa"/>
            <w:vAlign w:val="bottom"/>
            <w:tcBorders>
              <w:bottom w:val="single" w:sz="8" w:color="EDEDEE"/>
            </w:tcBorders>
          </w:tcPr>
          <w:p>
            <w:pPr>
              <w:spacing w:after="0"/>
              <w:rPr>
                <w:sz w:val="3"/>
                <w:szCs w:val="3"/>
                <w:color w:val="auto"/>
              </w:rPr>
            </w:pPr>
          </w:p>
        </w:tc>
        <w:tc>
          <w:tcPr>
            <w:tcW w:w="1440" w:type="dxa"/>
            <w:vAlign w:val="bottom"/>
            <w:tcBorders>
              <w:bottom w:val="single" w:sz="8" w:color="EDEDEE"/>
            </w:tcBorders>
          </w:tcPr>
          <w:p>
            <w:pPr>
              <w:spacing w:after="0"/>
              <w:rPr>
                <w:sz w:val="3"/>
                <w:szCs w:val="3"/>
                <w:color w:val="auto"/>
              </w:rPr>
            </w:pPr>
          </w:p>
        </w:tc>
      </w:tr>
      <w:tr>
        <w:trPr>
          <w:trHeight w:val="177"/>
        </w:trPr>
        <w:tc>
          <w:tcPr>
            <w:tcW w:w="7060" w:type="dxa"/>
            <w:vAlign w:val="bottom"/>
            <w:tcBorders>
              <w:top w:val="single" w:sz="8" w:color="EDEDEE"/>
            </w:tcBorders>
            <w:shd w:val="clear" w:color="auto" w:fill="EDEDEE"/>
          </w:tcPr>
          <w:p>
            <w:pPr>
              <w:ind w:left="20"/>
              <w:spacing w:after="0" w:line="176" w:lineRule="exact"/>
              <w:rPr>
                <w:sz w:val="20"/>
                <w:szCs w:val="20"/>
                <w:color w:val="auto"/>
              </w:rPr>
            </w:pPr>
            <w:r>
              <w:rPr>
                <w:rFonts w:ascii="Arial" w:cs="Arial" w:eastAsia="Arial" w:hAnsi="Arial"/>
                <w:sz w:val="14"/>
                <w:szCs w:val="14"/>
                <w:color w:val="auto"/>
              </w:rPr>
              <w:t>Net charge-offs as a percentage of average loans in repayment (annualized)</w:t>
            </w:r>
            <w:r>
              <w:rPr>
                <w:rFonts w:ascii="Arial" w:cs="Arial" w:eastAsia="Arial" w:hAnsi="Arial"/>
                <w:sz w:val="18"/>
                <w:szCs w:val="18"/>
                <w:color w:val="auto"/>
                <w:vertAlign w:val="superscript"/>
              </w:rPr>
              <w:t>(4)</w:t>
            </w:r>
          </w:p>
        </w:tc>
        <w:tc>
          <w:tcPr>
            <w:tcW w:w="140" w:type="dxa"/>
            <w:vAlign w:val="bottom"/>
            <w:tcBorders>
              <w:top w:val="single" w:sz="8" w:color="auto"/>
            </w:tcBorders>
            <w:shd w:val="clear" w:color="auto" w:fill="EDEDEE"/>
          </w:tcPr>
          <w:p>
            <w:pPr>
              <w:spacing w:after="0"/>
              <w:rPr>
                <w:sz w:val="15"/>
                <w:szCs w:val="15"/>
                <w:color w:val="auto"/>
              </w:rPr>
            </w:pPr>
          </w:p>
        </w:tc>
        <w:tc>
          <w:tcPr>
            <w:tcW w:w="1440" w:type="dxa"/>
            <w:vAlign w:val="bottom"/>
            <w:tcBorders>
              <w:top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rPr>
              <w:t>1.88 %</w:t>
            </w: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Allowance for loan losses coverage of net charge-offs (annualized)</w:t>
            </w:r>
          </w:p>
        </w:tc>
        <w:tc>
          <w:tcPr>
            <w:tcW w:w="140" w:type="dxa"/>
            <w:vAlign w:val="bottom"/>
          </w:tcPr>
          <w:p>
            <w:pPr>
              <w:spacing w:after="0"/>
              <w:rPr>
                <w:sz w:val="17"/>
                <w:szCs w:val="17"/>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4.74</w:t>
            </w:r>
          </w:p>
        </w:tc>
      </w:tr>
      <w:tr>
        <w:trPr>
          <w:trHeight w:val="207"/>
        </w:trPr>
        <w:tc>
          <w:tcPr>
            <w:tcW w:w="7060" w:type="dxa"/>
            <w:vAlign w:val="bottom"/>
            <w:shd w:val="clear" w:color="auto" w:fill="EDEDEE"/>
          </w:tcPr>
          <w:p>
            <w:pPr>
              <w:ind w:left="20"/>
              <w:spacing w:after="0"/>
              <w:rPr>
                <w:sz w:val="20"/>
                <w:szCs w:val="20"/>
                <w:color w:val="auto"/>
              </w:rPr>
            </w:pPr>
            <w:r>
              <w:rPr>
                <w:rFonts w:ascii="Arial" w:cs="Arial" w:eastAsia="Arial" w:hAnsi="Arial"/>
                <w:sz w:val="14"/>
                <w:szCs w:val="14"/>
                <w:color w:val="auto"/>
              </w:rPr>
              <w:t>Total Allowance Percentage of Private Education Loan Exposure</w:t>
            </w:r>
            <w:r>
              <w:rPr>
                <w:rFonts w:ascii="Arial" w:cs="Arial" w:eastAsia="Arial" w:hAnsi="Arial"/>
                <w:sz w:val="18"/>
                <w:szCs w:val="18"/>
                <w:color w:val="auto"/>
                <w:vertAlign w:val="superscript"/>
              </w:rPr>
              <w:t>(5)</w:t>
            </w:r>
          </w:p>
        </w:tc>
        <w:tc>
          <w:tcPr>
            <w:tcW w:w="140" w:type="dxa"/>
            <w:vAlign w:val="bottom"/>
            <w:shd w:val="clear" w:color="auto" w:fill="EDEDEE"/>
          </w:tcPr>
          <w:p>
            <w:pPr>
              <w:spacing w:after="0"/>
              <w:rPr>
                <w:sz w:val="17"/>
                <w:szCs w:val="17"/>
                <w:color w:val="auto"/>
              </w:rPr>
            </w:pPr>
          </w:p>
        </w:tc>
        <w:tc>
          <w:tcPr>
            <w:tcW w:w="1440" w:type="dxa"/>
            <w:vAlign w:val="bottom"/>
            <w:shd w:val="clear" w:color="auto" w:fill="EDEDEE"/>
          </w:tcPr>
          <w:p>
            <w:pPr>
              <w:jc w:val="right"/>
              <w:spacing w:after="0"/>
              <w:rPr>
                <w:sz w:val="20"/>
                <w:szCs w:val="20"/>
                <w:color w:val="auto"/>
              </w:rPr>
            </w:pPr>
            <w:r>
              <w:rPr>
                <w:rFonts w:ascii="Arial" w:cs="Arial" w:eastAsia="Arial" w:hAnsi="Arial"/>
                <w:sz w:val="14"/>
                <w:szCs w:val="14"/>
                <w:color w:val="auto"/>
              </w:rPr>
              <w:t>5.97 %</w:t>
            </w: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Ending total loans, gross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22,432,125</w:t>
            </w:r>
          </w:p>
        </w:tc>
      </w:tr>
      <w:tr>
        <w:trPr>
          <w:trHeight w:val="207"/>
        </w:trPr>
        <w:tc>
          <w:tcPr>
            <w:tcW w:w="7060" w:type="dxa"/>
            <w:vAlign w:val="bottom"/>
            <w:shd w:val="clear" w:color="auto" w:fill="EDEDEE"/>
          </w:tcPr>
          <w:p>
            <w:pPr>
              <w:ind w:left="20"/>
              <w:spacing w:after="0"/>
              <w:rPr>
                <w:sz w:val="20"/>
                <w:szCs w:val="20"/>
                <w:color w:val="auto"/>
              </w:rPr>
            </w:pPr>
            <w:r>
              <w:rPr>
                <w:rFonts w:ascii="Arial" w:cs="Arial" w:eastAsia="Arial" w:hAnsi="Arial"/>
                <w:sz w:val="14"/>
                <w:szCs w:val="14"/>
                <w:color w:val="auto"/>
              </w:rPr>
              <w:t>Average loans in repayment</w:t>
            </w:r>
            <w:r>
              <w:rPr>
                <w:rFonts w:ascii="Arial" w:cs="Arial" w:eastAsia="Arial" w:hAnsi="Arial"/>
                <w:sz w:val="18"/>
                <w:szCs w:val="18"/>
                <w:color w:val="auto"/>
                <w:vertAlign w:val="superscript"/>
              </w:rPr>
              <w:t>(4)</w:t>
            </w:r>
          </w:p>
        </w:tc>
        <w:tc>
          <w:tcPr>
            <w:tcW w:w="140" w:type="dxa"/>
            <w:vAlign w:val="bottom"/>
            <w:shd w:val="clear" w:color="auto" w:fill="EDEDEE"/>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EDEDEE"/>
          </w:tcPr>
          <w:p>
            <w:pPr>
              <w:jc w:val="right"/>
              <w:ind w:right="108"/>
              <w:spacing w:after="0"/>
              <w:rPr>
                <w:sz w:val="20"/>
                <w:szCs w:val="20"/>
                <w:color w:val="auto"/>
              </w:rPr>
            </w:pPr>
            <w:r>
              <w:rPr>
                <w:rFonts w:ascii="Arial" w:cs="Arial" w:eastAsia="Arial" w:hAnsi="Arial"/>
                <w:sz w:val="14"/>
                <w:szCs w:val="14"/>
                <w:color w:val="auto"/>
              </w:rPr>
              <w:t>16,240,511</w:t>
            </w:r>
          </w:p>
        </w:tc>
      </w:tr>
      <w:tr>
        <w:trPr>
          <w:trHeight w:val="202"/>
        </w:trPr>
        <w:tc>
          <w:tcPr>
            <w:tcW w:w="7060" w:type="dxa"/>
            <w:vAlign w:val="bottom"/>
          </w:tcPr>
          <w:p>
            <w:pPr>
              <w:ind w:left="20"/>
              <w:spacing w:after="0" w:line="202" w:lineRule="exact"/>
              <w:rPr>
                <w:sz w:val="20"/>
                <w:szCs w:val="20"/>
                <w:color w:val="auto"/>
              </w:rPr>
            </w:pPr>
            <w:r>
              <w:rPr>
                <w:rFonts w:ascii="Arial" w:cs="Arial" w:eastAsia="Arial" w:hAnsi="Arial"/>
                <w:sz w:val="14"/>
                <w:szCs w:val="14"/>
                <w:color w:val="auto"/>
              </w:rPr>
              <w:t>Ending loans in repayment</w:t>
            </w:r>
            <w:r>
              <w:rPr>
                <w:rFonts w:ascii="Arial" w:cs="Arial" w:eastAsia="Arial" w:hAnsi="Arial"/>
                <w:sz w:val="18"/>
                <w:szCs w:val="18"/>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15,903,797</w:t>
            </w:r>
          </w:p>
        </w:tc>
      </w:tr>
      <w:tr>
        <w:trPr>
          <w:trHeight w:val="203"/>
        </w:trPr>
        <w:tc>
          <w:tcPr>
            <w:tcW w:w="7060" w:type="dxa"/>
            <w:vAlign w:val="bottom"/>
            <w:shd w:val="clear" w:color="auto" w:fill="EDEDEE"/>
          </w:tcPr>
          <w:p>
            <w:pPr>
              <w:ind w:left="20"/>
              <w:spacing w:after="0"/>
              <w:rPr>
                <w:sz w:val="20"/>
                <w:szCs w:val="20"/>
                <w:color w:val="auto"/>
              </w:rPr>
            </w:pPr>
            <w:r>
              <w:rPr>
                <w:rFonts w:ascii="Arial" w:cs="Arial" w:eastAsia="Arial" w:hAnsi="Arial"/>
                <w:sz w:val="14"/>
                <w:szCs w:val="14"/>
                <w:color w:val="auto"/>
              </w:rPr>
              <w:t>Unfunded loan commitments</w:t>
            </w:r>
          </w:p>
        </w:tc>
        <w:tc>
          <w:tcPr>
            <w:tcW w:w="140" w:type="dxa"/>
            <w:vAlign w:val="bottom"/>
            <w:shd w:val="clear" w:color="auto" w:fill="EDEDEE"/>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EDEDEE"/>
          </w:tcPr>
          <w:p>
            <w:pPr>
              <w:jc w:val="right"/>
              <w:ind w:right="108"/>
              <w:spacing w:after="0"/>
              <w:rPr>
                <w:sz w:val="20"/>
                <w:szCs w:val="20"/>
                <w:color w:val="auto"/>
              </w:rPr>
            </w:pPr>
            <w:r>
              <w:rPr>
                <w:rFonts w:ascii="Arial" w:cs="Arial" w:eastAsia="Arial" w:hAnsi="Arial"/>
                <w:sz w:val="14"/>
                <w:szCs w:val="14"/>
                <w:color w:val="auto"/>
              </w:rPr>
              <w:t>584,140</w:t>
            </w:r>
          </w:p>
        </w:tc>
      </w:tr>
      <w:tr>
        <w:trPr>
          <w:trHeight w:val="195"/>
        </w:trPr>
        <w:tc>
          <w:tcPr>
            <w:tcW w:w="7060" w:type="dxa"/>
            <w:vAlign w:val="bottom"/>
          </w:tcPr>
          <w:p>
            <w:pPr>
              <w:ind w:left="20"/>
              <w:spacing w:after="0"/>
              <w:rPr>
                <w:sz w:val="20"/>
                <w:szCs w:val="20"/>
                <w:color w:val="auto"/>
              </w:rPr>
            </w:pPr>
            <w:r>
              <w:rPr>
                <w:rFonts w:ascii="Arial" w:cs="Arial" w:eastAsia="Arial" w:hAnsi="Arial"/>
                <w:sz w:val="14"/>
                <w:szCs w:val="14"/>
                <w:color w:val="auto"/>
              </w:rPr>
              <w:t>Total accrued interest receivable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1,558,465</w:t>
            </w:r>
          </w:p>
        </w:tc>
      </w:tr>
    </w:tbl>
    <w:p>
      <w:pPr>
        <w:spacing w:after="0" w:line="166" w:lineRule="exact"/>
        <w:rPr>
          <w:sz w:val="20"/>
          <w:szCs w:val="20"/>
          <w:color w:val="auto"/>
        </w:rPr>
      </w:pPr>
    </w:p>
    <w:p>
      <w:pPr>
        <w:ind w:left="1300" w:right="1360" w:hanging="158"/>
        <w:spacing w:after="0" w:line="244" w:lineRule="auto"/>
        <w:tabs>
          <w:tab w:leader="none" w:pos="1260"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See “—Provisions for Credit Losses” below in this Note 4 for a reconciliation of the provisions for credit losses reported in the consolidated statements of income.</w:t>
      </w:r>
    </w:p>
    <w:p>
      <w:pPr>
        <w:spacing w:after="0" w:line="227" w:lineRule="exact"/>
        <w:rPr>
          <w:rFonts w:ascii="Arial" w:cs="Arial" w:eastAsia="Arial" w:hAnsi="Arial"/>
          <w:sz w:val="14"/>
          <w:szCs w:val="14"/>
          <w:color w:val="auto"/>
          <w:vertAlign w:val="superscript"/>
        </w:rPr>
      </w:pPr>
    </w:p>
    <w:p>
      <w:pPr>
        <w:ind w:left="1300" w:right="1160" w:hanging="158"/>
        <w:spacing w:after="0" w:line="236" w:lineRule="auto"/>
        <w:tabs>
          <w:tab w:leader="none" w:pos="1273"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When a new loan commitment is made, we record an allowance to cover lifetime expected credit losses on the unfunded commitments, which is recorded in “Other Liabilities” on the consolidated balance sheet. See “—Unfunded Loan Commitments” in this Note 4 for further discussion.</w:t>
      </w:r>
    </w:p>
    <w:p>
      <w:pPr>
        <w:spacing w:after="0" w:line="64" w:lineRule="exact"/>
        <w:rPr>
          <w:sz w:val="20"/>
          <w:szCs w:val="20"/>
          <w:color w:val="auto"/>
        </w:rPr>
      </w:pPr>
    </w:p>
    <w:p>
      <w:pPr>
        <w:ind w:left="1140"/>
        <w:spacing w:after="0"/>
        <w:rPr>
          <w:sz w:val="20"/>
          <w:szCs w:val="20"/>
          <w:color w:val="auto"/>
        </w:rPr>
      </w:pPr>
      <w:r>
        <w:rPr>
          <w:rFonts w:ascii="Arial" w:cs="Arial" w:eastAsia="Arial" w:hAnsi="Arial"/>
          <w:sz w:val="16"/>
          <w:szCs w:val="16"/>
          <w:color w:val="auto"/>
          <w:vertAlign w:val="superscript"/>
        </w:rPr>
        <w:t>(3 )</w:t>
      </w:r>
      <w:r>
        <w:rPr>
          <w:rFonts w:ascii="Arial" w:cs="Arial" w:eastAsia="Arial" w:hAnsi="Arial"/>
          <w:sz w:val="13"/>
          <w:szCs w:val="13"/>
          <w:color w:val="auto"/>
        </w:rPr>
        <w:t xml:space="preserve"> Includes incremental provision for new commitments and changes to provision for existing commitments.</w:t>
      </w:r>
    </w:p>
    <w:p>
      <w:pPr>
        <w:spacing w:after="0" w:line="59" w:lineRule="exact"/>
        <w:rPr>
          <w:sz w:val="20"/>
          <w:szCs w:val="20"/>
          <w:color w:val="auto"/>
        </w:rPr>
      </w:pPr>
    </w:p>
    <w:p>
      <w:pPr>
        <w:ind w:left="1300" w:right="1060" w:hanging="158"/>
        <w:spacing w:after="0" w:line="291" w:lineRule="auto"/>
        <w:tabs>
          <w:tab w:leader="none" w:pos="1260"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w:t>
      </w:r>
    </w:p>
    <w:p>
      <w:pPr>
        <w:spacing w:after="0" w:line="42" w:lineRule="exact"/>
        <w:rPr>
          <w:rFonts w:ascii="Arial" w:cs="Arial" w:eastAsia="Arial" w:hAnsi="Arial"/>
          <w:sz w:val="14"/>
          <w:szCs w:val="14"/>
          <w:color w:val="auto"/>
          <w:vertAlign w:val="superscript"/>
        </w:rPr>
      </w:pPr>
    </w:p>
    <w:p>
      <w:pPr>
        <w:ind w:left="1300" w:right="940" w:hanging="158"/>
        <w:spacing w:after="0" w:line="291" w:lineRule="auto"/>
        <w:tabs>
          <w:tab w:leader="none" w:pos="1260"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The Total Allowance Percentage of Private Education Loan Exposure is the total allowance for credit losses as a percentage of ending total loans plus unfunded loan commitments and total accrued interest receivable on Private Education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134F82"/>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20" w:right="479" w:bottom="1440" w:gutter="0" w:footer="0" w:header="0"/>
        </w:sectPr>
      </w:pPr>
    </w:p>
    <w:bookmarkStart w:id="18" w:name="page19"/>
    <w:bookmarkEnd w:id="18"/>
    <w:p>
      <w:pPr>
        <w:ind w:left="334" w:hanging="334"/>
        <w:spacing w:after="0"/>
        <w:tabs>
          <w:tab w:leader="none" w:pos="33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294" w:type="dxa"/>
        <w:tblCellMar>
          <w:top w:w="0" w:type="dxa"/>
          <w:left w:w="0" w:type="dxa"/>
          <w:bottom w:w="0" w:type="dxa"/>
          <w:right w:w="0" w:type="dxa"/>
        </w:tblCellMar>
      </w:tblPr>
      <w:tr>
        <w:trPr>
          <w:trHeight w:val="166"/>
        </w:trPr>
        <w:tc>
          <w:tcPr>
            <w:tcW w:w="4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144F82"/>
              </w:rPr>
              <w:t>Three Months Ended March 31, 2024</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144F82"/>
              </w:rPr>
              <w:t>FFELP</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228"/>
              <w:spacing w:after="0"/>
              <w:rPr>
                <w:sz w:val="20"/>
                <w:szCs w:val="20"/>
                <w:color w:val="auto"/>
              </w:rPr>
            </w:pPr>
            <w:r>
              <w:rPr>
                <w:rFonts w:ascii="Arial" w:cs="Arial" w:eastAsia="Arial" w:hAnsi="Arial"/>
                <w:sz w:val="14"/>
                <w:szCs w:val="14"/>
                <w:b w:val="1"/>
                <w:bCs w:val="1"/>
                <w:color w:val="144F82"/>
              </w:rPr>
              <w:t>Private</w:t>
            </w: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144F82"/>
              </w:rPr>
              <w:t>Education</w:t>
            </w:r>
          </w:p>
        </w:tc>
        <w:tc>
          <w:tcPr>
            <w:tcW w:w="26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144F82"/>
              </w:rPr>
              <w:t>Total</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144F82"/>
              </w:rPr>
              <w:t>Loans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144F82"/>
              </w:rPr>
              <w:t>Loans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EDEDEE"/>
          </w:tcPr>
          <w:p>
            <w:pPr>
              <w:ind w:left="20"/>
              <w:spacing w:after="0"/>
              <w:rPr>
                <w:sz w:val="20"/>
                <w:szCs w:val="20"/>
                <w:color w:val="auto"/>
              </w:rPr>
            </w:pPr>
            <w:r>
              <w:rPr>
                <w:rFonts w:ascii="Arial" w:cs="Arial" w:eastAsia="Arial" w:hAnsi="Arial"/>
                <w:sz w:val="14"/>
                <w:szCs w:val="14"/>
                <w:b w:val="1"/>
                <w:bCs w:val="1"/>
                <w:color w:val="144F82"/>
              </w:rPr>
              <w:t>Allowance for loan losses, beginning balance</w:t>
            </w:r>
          </w:p>
        </w:tc>
        <w:tc>
          <w:tcPr>
            <w:tcW w:w="260" w:type="dxa"/>
            <w:vAlign w:val="bottom"/>
            <w:shd w:val="clear" w:color="auto" w:fill="EDEDEE"/>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DEDEE"/>
          </w:tcPr>
          <w:p>
            <w:pPr>
              <w:jc w:val="right"/>
              <w:ind w:right="168"/>
              <w:spacing w:after="0"/>
              <w:rPr>
                <w:sz w:val="20"/>
                <w:szCs w:val="20"/>
                <w:color w:val="auto"/>
              </w:rPr>
            </w:pPr>
            <w:r>
              <w:rPr>
                <w:rFonts w:ascii="Arial" w:cs="Arial" w:eastAsia="Arial" w:hAnsi="Arial"/>
                <w:sz w:val="14"/>
                <w:szCs w:val="14"/>
                <w:color w:val="auto"/>
              </w:rPr>
              <w:t>4,667</w:t>
            </w:r>
          </w:p>
        </w:tc>
        <w:tc>
          <w:tcPr>
            <w:tcW w:w="280" w:type="dxa"/>
            <w:vAlign w:val="bottom"/>
            <w:shd w:val="clear" w:color="auto" w:fill="EDEDEE"/>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DEDEE"/>
          </w:tcPr>
          <w:p>
            <w:pPr>
              <w:jc w:val="right"/>
              <w:ind w:right="168"/>
              <w:spacing w:after="0"/>
              <w:rPr>
                <w:sz w:val="20"/>
                <w:szCs w:val="20"/>
                <w:color w:val="auto"/>
              </w:rPr>
            </w:pPr>
            <w:r>
              <w:rPr>
                <w:rFonts w:ascii="Arial" w:cs="Arial" w:eastAsia="Arial" w:hAnsi="Arial"/>
                <w:sz w:val="14"/>
                <w:szCs w:val="14"/>
                <w:color w:val="auto"/>
              </w:rPr>
              <w:t>1,335,105</w:t>
            </w:r>
          </w:p>
        </w:tc>
        <w:tc>
          <w:tcPr>
            <w:tcW w:w="260" w:type="dxa"/>
            <w:vAlign w:val="bottom"/>
            <w:shd w:val="clear" w:color="auto" w:fill="EDEDEE"/>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DEDEE"/>
          </w:tcPr>
          <w:p>
            <w:pPr>
              <w:jc w:val="right"/>
              <w:spacing w:after="0"/>
              <w:rPr>
                <w:sz w:val="20"/>
                <w:szCs w:val="20"/>
                <w:color w:val="auto"/>
              </w:rPr>
            </w:pPr>
            <w:r>
              <w:rPr>
                <w:rFonts w:ascii="Arial" w:cs="Arial" w:eastAsia="Arial" w:hAnsi="Arial"/>
                <w:sz w:val="14"/>
                <w:szCs w:val="14"/>
                <w:color w:val="auto"/>
              </w:rPr>
              <w:t>1,339,772</w:t>
            </w:r>
          </w:p>
        </w:tc>
        <w:tc>
          <w:tcPr>
            <w:tcW w:w="0" w:type="dxa"/>
            <w:vAlign w:val="bottom"/>
          </w:tcPr>
          <w:p>
            <w:pPr>
              <w:spacing w:after="0"/>
              <w:rPr>
                <w:sz w:val="1"/>
                <w:szCs w:val="1"/>
                <w:color w:val="auto"/>
              </w:rPr>
            </w:pPr>
          </w:p>
        </w:tc>
      </w:tr>
      <w:tr>
        <w:trPr>
          <w:trHeight w:val="198"/>
        </w:trPr>
        <w:tc>
          <w:tcPr>
            <w:tcW w:w="4480" w:type="dxa"/>
            <w:vAlign w:val="bottom"/>
          </w:tcPr>
          <w:p>
            <w:pPr>
              <w:ind w:left="140"/>
              <w:spacing w:after="0"/>
              <w:rPr>
                <w:sz w:val="20"/>
                <w:szCs w:val="20"/>
                <w:color w:val="auto"/>
              </w:rPr>
            </w:pPr>
            <w:r>
              <w:rPr>
                <w:rFonts w:ascii="Arial" w:cs="Arial" w:eastAsia="Arial" w:hAnsi="Arial"/>
                <w:sz w:val="14"/>
                <w:szCs w:val="14"/>
                <w:color w:val="auto"/>
              </w:rPr>
              <w:t>Transfer from allowance for unfunded loan commitments</w:t>
            </w:r>
          </w:p>
        </w:tc>
        <w:tc>
          <w:tcPr>
            <w:tcW w:w="260" w:type="dxa"/>
            <w:vAlign w:val="bottom"/>
          </w:tcPr>
          <w:p>
            <w:pPr>
              <w:spacing w:after="0"/>
              <w:rPr>
                <w:sz w:val="17"/>
                <w:szCs w:val="17"/>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131,614</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131,614</w:t>
            </w:r>
          </w:p>
        </w:tc>
        <w:tc>
          <w:tcPr>
            <w:tcW w:w="0" w:type="dxa"/>
            <w:vAlign w:val="bottom"/>
          </w:tcPr>
          <w:p>
            <w:pPr>
              <w:spacing w:after="0"/>
              <w:rPr>
                <w:sz w:val="1"/>
                <w:szCs w:val="1"/>
                <w:color w:val="auto"/>
              </w:rPr>
            </w:pPr>
          </w:p>
        </w:tc>
      </w:tr>
      <w:tr>
        <w:trPr>
          <w:trHeight w:val="207"/>
        </w:trPr>
        <w:tc>
          <w:tcPr>
            <w:tcW w:w="4480" w:type="dxa"/>
            <w:vAlign w:val="bottom"/>
            <w:shd w:val="clear" w:color="auto" w:fill="EDEDEE"/>
          </w:tcPr>
          <w:p>
            <w:pPr>
              <w:ind w:left="140"/>
              <w:spacing w:after="0"/>
              <w:rPr>
                <w:sz w:val="20"/>
                <w:szCs w:val="20"/>
                <w:color w:val="auto"/>
              </w:rPr>
            </w:pPr>
            <w:r>
              <w:rPr>
                <w:rFonts w:ascii="Arial" w:cs="Arial" w:eastAsia="Arial" w:hAnsi="Arial"/>
                <w:sz w:val="14"/>
                <w:szCs w:val="14"/>
                <w:color w:val="auto"/>
              </w:rPr>
              <w:t>Provisions:</w:t>
            </w:r>
          </w:p>
        </w:tc>
        <w:tc>
          <w:tcPr>
            <w:tcW w:w="260" w:type="dxa"/>
            <w:vAlign w:val="bottom"/>
            <w:shd w:val="clear" w:color="auto" w:fill="EDEDEE"/>
          </w:tcPr>
          <w:p>
            <w:pPr>
              <w:spacing w:after="0"/>
              <w:rPr>
                <w:sz w:val="17"/>
                <w:szCs w:val="17"/>
                <w:color w:val="auto"/>
              </w:rPr>
            </w:pPr>
          </w:p>
        </w:tc>
        <w:tc>
          <w:tcPr>
            <w:tcW w:w="1080" w:type="dxa"/>
            <w:vAlign w:val="bottom"/>
            <w:shd w:val="clear" w:color="auto" w:fill="EDEDEE"/>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220" w:type="dxa"/>
            <w:vAlign w:val="bottom"/>
            <w:shd w:val="clear" w:color="auto" w:fill="EDEDEE"/>
          </w:tcPr>
          <w:p>
            <w:pPr>
              <w:spacing w:after="0"/>
              <w:rPr>
                <w:sz w:val="17"/>
                <w:szCs w:val="17"/>
                <w:color w:val="auto"/>
              </w:rPr>
            </w:pPr>
          </w:p>
        </w:tc>
        <w:tc>
          <w:tcPr>
            <w:tcW w:w="260" w:type="dxa"/>
            <w:vAlign w:val="bottom"/>
            <w:shd w:val="clear" w:color="auto" w:fill="EDEDEE"/>
          </w:tcPr>
          <w:p>
            <w:pPr>
              <w:spacing w:after="0"/>
              <w:rPr>
                <w:sz w:val="17"/>
                <w:szCs w:val="17"/>
                <w:color w:val="auto"/>
              </w:rPr>
            </w:pPr>
          </w:p>
        </w:tc>
        <w:tc>
          <w:tcPr>
            <w:tcW w:w="820" w:type="dxa"/>
            <w:vAlign w:val="bottom"/>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60"/>
              <w:spacing w:after="0"/>
              <w:rPr>
                <w:sz w:val="20"/>
                <w:szCs w:val="20"/>
                <w:color w:val="auto"/>
              </w:rPr>
            </w:pPr>
            <w:r>
              <w:rPr>
                <w:rFonts w:ascii="Arial" w:cs="Arial" w:eastAsia="Arial" w:hAnsi="Arial"/>
                <w:sz w:val="14"/>
                <w:szCs w:val="14"/>
                <w:color w:val="auto"/>
              </w:rPr>
              <w:t>Provision for current period</w:t>
            </w:r>
          </w:p>
        </w:tc>
        <w:tc>
          <w:tcPr>
            <w:tcW w:w="260" w:type="dxa"/>
            <w:vAlign w:val="bottom"/>
          </w:tcPr>
          <w:p>
            <w:pPr>
              <w:spacing w:after="0"/>
              <w:rPr>
                <w:sz w:val="17"/>
                <w:szCs w:val="17"/>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83</w:t>
            </w:r>
          </w:p>
        </w:tc>
        <w:tc>
          <w:tcPr>
            <w:tcW w:w="28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94,476</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94,559</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auto"/>
            </w:tcBorders>
            <w:shd w:val="clear" w:color="auto" w:fill="EDEDEE"/>
          </w:tcPr>
          <w:p>
            <w:pPr>
              <w:ind w:left="260"/>
              <w:spacing w:after="0"/>
              <w:rPr>
                <w:sz w:val="20"/>
                <w:szCs w:val="20"/>
                <w:color w:val="auto"/>
              </w:rPr>
            </w:pPr>
            <w:r>
              <w:rPr>
                <w:rFonts w:ascii="Arial" w:cs="Arial" w:eastAsia="Arial" w:hAnsi="Arial"/>
                <w:sz w:val="14"/>
                <w:szCs w:val="14"/>
                <w:color w:val="auto"/>
              </w:rPr>
              <w:t>Loan sale reduction to provision</w:t>
            </w:r>
          </w:p>
        </w:tc>
        <w:tc>
          <w:tcPr>
            <w:tcW w:w="260" w:type="dxa"/>
            <w:vAlign w:val="bottom"/>
            <w:tcBorders>
              <w:bottom w:val="single" w:sz="8" w:color="auto"/>
            </w:tcBorders>
            <w:shd w:val="clear" w:color="auto" w:fill="EDEDEE"/>
          </w:tcPr>
          <w:p>
            <w:pPr>
              <w:spacing w:after="0"/>
              <w:rPr>
                <w:sz w:val="17"/>
                <w:szCs w:val="17"/>
                <w:color w:val="auto"/>
              </w:rPr>
            </w:pPr>
          </w:p>
        </w:tc>
        <w:tc>
          <w:tcPr>
            <w:tcW w:w="1080" w:type="dxa"/>
            <w:vAlign w:val="bottom"/>
            <w:tcBorders>
              <w:bottom w:val="single" w:sz="8" w:color="auto"/>
            </w:tcBorders>
            <w:shd w:val="clear" w:color="auto" w:fill="EDEDEE"/>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DEDEE"/>
          </w:tcPr>
          <w:p>
            <w:pPr>
              <w:spacing w:after="0"/>
              <w:rPr>
                <w:sz w:val="17"/>
                <w:szCs w:val="17"/>
                <w:color w:val="auto"/>
              </w:rPr>
            </w:pPr>
          </w:p>
        </w:tc>
        <w:tc>
          <w:tcPr>
            <w:tcW w:w="1220" w:type="dxa"/>
            <w:vAlign w:val="bottom"/>
            <w:tcBorders>
              <w:bottom w:val="single" w:sz="8" w:color="auto"/>
            </w:tcBorders>
            <w:shd w:val="clear" w:color="auto" w:fill="EDEDEE"/>
          </w:tcPr>
          <w:p>
            <w:pPr>
              <w:jc w:val="right"/>
              <w:ind w:right="128"/>
              <w:spacing w:after="0"/>
              <w:rPr>
                <w:sz w:val="20"/>
                <w:szCs w:val="20"/>
                <w:color w:val="auto"/>
              </w:rPr>
            </w:pPr>
            <w:r>
              <w:rPr>
                <w:rFonts w:ascii="Arial" w:cs="Arial" w:eastAsia="Arial" w:hAnsi="Arial"/>
                <w:sz w:val="14"/>
                <w:szCs w:val="14"/>
                <w:color w:val="auto"/>
              </w:rPr>
              <w:t>(133,204)</w:t>
            </w:r>
          </w:p>
        </w:tc>
        <w:tc>
          <w:tcPr>
            <w:tcW w:w="260" w:type="dxa"/>
            <w:vAlign w:val="bottom"/>
            <w:tcBorders>
              <w:bottom w:val="single" w:sz="8" w:color="auto"/>
            </w:tcBorders>
            <w:shd w:val="clear" w:color="auto" w:fill="EDEDEE"/>
          </w:tcPr>
          <w:p>
            <w:pPr>
              <w:spacing w:after="0"/>
              <w:rPr>
                <w:sz w:val="17"/>
                <w:szCs w:val="17"/>
                <w:color w:val="auto"/>
              </w:rPr>
            </w:pPr>
          </w:p>
        </w:tc>
        <w:tc>
          <w:tcPr>
            <w:tcW w:w="8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rPr>
              <w:t>(133,204)</w:t>
            </w:r>
          </w:p>
        </w:tc>
        <w:tc>
          <w:tcPr>
            <w:tcW w:w="0" w:type="dxa"/>
            <w:vAlign w:val="bottom"/>
          </w:tcPr>
          <w:p>
            <w:pPr>
              <w:spacing w:after="0"/>
              <w:rPr>
                <w:sz w:val="1"/>
                <w:szCs w:val="1"/>
                <w:color w:val="auto"/>
              </w:rPr>
            </w:pPr>
          </w:p>
        </w:tc>
      </w:tr>
      <w:tr>
        <w:trPr>
          <w:trHeight w:val="200"/>
        </w:trPr>
        <w:tc>
          <w:tcPr>
            <w:tcW w:w="4480" w:type="dxa"/>
            <w:vAlign w:val="bottom"/>
          </w:tcPr>
          <w:p>
            <w:pPr>
              <w:ind w:left="140"/>
              <w:spacing w:after="0" w:line="200" w:lineRule="exact"/>
              <w:rPr>
                <w:sz w:val="20"/>
                <w:szCs w:val="20"/>
                <w:color w:val="auto"/>
              </w:rPr>
            </w:pPr>
            <w:r>
              <w:rPr>
                <w:rFonts w:ascii="Arial" w:cs="Arial" w:eastAsia="Arial" w:hAnsi="Arial"/>
                <w:sz w:val="14"/>
                <w:szCs w:val="14"/>
                <w:color w:val="auto"/>
              </w:rPr>
              <w:t>Total provisions</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83</w:t>
            </w:r>
          </w:p>
        </w:tc>
        <w:tc>
          <w:tcPr>
            <w:tcW w:w="28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(38,728)</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(38,645)</w:t>
            </w:r>
          </w:p>
        </w:tc>
        <w:tc>
          <w:tcPr>
            <w:tcW w:w="0" w:type="dxa"/>
            <w:vAlign w:val="bottom"/>
          </w:tcPr>
          <w:p>
            <w:pPr>
              <w:spacing w:after="0"/>
              <w:rPr>
                <w:sz w:val="1"/>
                <w:szCs w:val="1"/>
                <w:color w:val="auto"/>
              </w:rPr>
            </w:pPr>
          </w:p>
        </w:tc>
      </w:tr>
      <w:tr>
        <w:trPr>
          <w:trHeight w:val="203"/>
        </w:trPr>
        <w:tc>
          <w:tcPr>
            <w:tcW w:w="4480" w:type="dxa"/>
            <w:vAlign w:val="bottom"/>
            <w:shd w:val="clear" w:color="auto" w:fill="EDEDEE"/>
          </w:tcPr>
          <w:p>
            <w:pPr>
              <w:ind w:left="140"/>
              <w:spacing w:after="0"/>
              <w:rPr>
                <w:sz w:val="20"/>
                <w:szCs w:val="20"/>
                <w:color w:val="auto"/>
              </w:rPr>
            </w:pPr>
            <w:r>
              <w:rPr>
                <w:rFonts w:ascii="Arial" w:cs="Arial" w:eastAsia="Arial" w:hAnsi="Arial"/>
                <w:sz w:val="14"/>
                <w:szCs w:val="14"/>
                <w:color w:val="auto"/>
              </w:rPr>
              <w:t>Net charge-offs:</w:t>
            </w:r>
          </w:p>
        </w:tc>
        <w:tc>
          <w:tcPr>
            <w:tcW w:w="260" w:type="dxa"/>
            <w:vAlign w:val="bottom"/>
            <w:shd w:val="clear" w:color="auto" w:fill="EDEDEE"/>
          </w:tcPr>
          <w:p>
            <w:pPr>
              <w:spacing w:after="0"/>
              <w:rPr>
                <w:sz w:val="17"/>
                <w:szCs w:val="17"/>
                <w:color w:val="auto"/>
              </w:rPr>
            </w:pPr>
          </w:p>
        </w:tc>
        <w:tc>
          <w:tcPr>
            <w:tcW w:w="1080" w:type="dxa"/>
            <w:vAlign w:val="bottom"/>
            <w:shd w:val="clear" w:color="auto" w:fill="EDEDEE"/>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220" w:type="dxa"/>
            <w:vAlign w:val="bottom"/>
            <w:shd w:val="clear" w:color="auto" w:fill="EDEDEE"/>
          </w:tcPr>
          <w:p>
            <w:pPr>
              <w:spacing w:after="0"/>
              <w:rPr>
                <w:sz w:val="17"/>
                <w:szCs w:val="17"/>
                <w:color w:val="auto"/>
              </w:rPr>
            </w:pPr>
          </w:p>
        </w:tc>
        <w:tc>
          <w:tcPr>
            <w:tcW w:w="260" w:type="dxa"/>
            <w:vAlign w:val="bottom"/>
            <w:shd w:val="clear" w:color="auto" w:fill="EDEDEE"/>
          </w:tcPr>
          <w:p>
            <w:pPr>
              <w:spacing w:after="0"/>
              <w:rPr>
                <w:sz w:val="17"/>
                <w:szCs w:val="17"/>
                <w:color w:val="auto"/>
              </w:rPr>
            </w:pPr>
          </w:p>
        </w:tc>
        <w:tc>
          <w:tcPr>
            <w:tcW w:w="820" w:type="dxa"/>
            <w:vAlign w:val="bottom"/>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60"/>
              <w:spacing w:after="0"/>
              <w:rPr>
                <w:sz w:val="20"/>
                <w:szCs w:val="20"/>
                <w:color w:val="auto"/>
              </w:rPr>
            </w:pPr>
            <w:r>
              <w:rPr>
                <w:rFonts w:ascii="Arial" w:cs="Arial" w:eastAsia="Arial" w:hAnsi="Arial"/>
                <w:sz w:val="14"/>
                <w:szCs w:val="14"/>
                <w:color w:val="auto"/>
              </w:rPr>
              <w:t>Charge-offs</w:t>
            </w:r>
          </w:p>
        </w:tc>
        <w:tc>
          <w:tcPr>
            <w:tcW w:w="26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(123)</w:t>
            </w:r>
          </w:p>
        </w:tc>
        <w:tc>
          <w:tcPr>
            <w:tcW w:w="28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(93,874)</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(93,997)</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auto"/>
            </w:tcBorders>
            <w:shd w:val="clear" w:color="auto" w:fill="EDEDEE"/>
          </w:tcPr>
          <w:p>
            <w:pPr>
              <w:ind w:left="260"/>
              <w:spacing w:after="0"/>
              <w:rPr>
                <w:sz w:val="20"/>
                <w:szCs w:val="20"/>
                <w:color w:val="auto"/>
              </w:rPr>
            </w:pPr>
            <w:r>
              <w:rPr>
                <w:rFonts w:ascii="Arial" w:cs="Arial" w:eastAsia="Arial" w:hAnsi="Arial"/>
                <w:sz w:val="14"/>
                <w:szCs w:val="14"/>
                <w:color w:val="auto"/>
              </w:rPr>
              <w:t>Recoveries</w:t>
            </w:r>
          </w:p>
        </w:tc>
        <w:tc>
          <w:tcPr>
            <w:tcW w:w="260" w:type="dxa"/>
            <w:vAlign w:val="bottom"/>
            <w:tcBorders>
              <w:bottom w:val="single" w:sz="8" w:color="auto"/>
            </w:tcBorders>
            <w:shd w:val="clear" w:color="auto" w:fill="EDEDEE"/>
          </w:tcPr>
          <w:p>
            <w:pPr>
              <w:spacing w:after="0"/>
              <w:rPr>
                <w:sz w:val="17"/>
                <w:szCs w:val="17"/>
                <w:color w:val="auto"/>
              </w:rPr>
            </w:pPr>
          </w:p>
        </w:tc>
        <w:tc>
          <w:tcPr>
            <w:tcW w:w="1080" w:type="dxa"/>
            <w:vAlign w:val="bottom"/>
            <w:tcBorders>
              <w:bottom w:val="single" w:sz="8" w:color="auto"/>
            </w:tcBorders>
            <w:shd w:val="clear" w:color="auto" w:fill="EDEDEE"/>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DEDEE"/>
          </w:tcPr>
          <w:p>
            <w:pPr>
              <w:spacing w:after="0"/>
              <w:rPr>
                <w:sz w:val="17"/>
                <w:szCs w:val="17"/>
                <w:color w:val="auto"/>
              </w:rPr>
            </w:pPr>
          </w:p>
        </w:tc>
        <w:tc>
          <w:tcPr>
            <w:tcW w:w="1220" w:type="dxa"/>
            <w:vAlign w:val="bottom"/>
            <w:tcBorders>
              <w:bottom w:val="single" w:sz="8" w:color="auto"/>
            </w:tcBorders>
            <w:shd w:val="clear" w:color="auto" w:fill="EDEDEE"/>
          </w:tcPr>
          <w:p>
            <w:pPr>
              <w:jc w:val="right"/>
              <w:ind w:right="168"/>
              <w:spacing w:after="0"/>
              <w:rPr>
                <w:sz w:val="20"/>
                <w:szCs w:val="20"/>
                <w:color w:val="auto"/>
              </w:rPr>
            </w:pPr>
            <w:r>
              <w:rPr>
                <w:rFonts w:ascii="Arial" w:cs="Arial" w:eastAsia="Arial" w:hAnsi="Arial"/>
                <w:sz w:val="14"/>
                <w:szCs w:val="14"/>
                <w:color w:val="auto"/>
              </w:rPr>
              <w:t>11,314</w:t>
            </w:r>
          </w:p>
        </w:tc>
        <w:tc>
          <w:tcPr>
            <w:tcW w:w="260" w:type="dxa"/>
            <w:vAlign w:val="bottom"/>
            <w:tcBorders>
              <w:bottom w:val="single" w:sz="8" w:color="auto"/>
            </w:tcBorders>
            <w:shd w:val="clear" w:color="auto" w:fill="EDEDEE"/>
          </w:tcPr>
          <w:p>
            <w:pPr>
              <w:spacing w:after="0"/>
              <w:rPr>
                <w:sz w:val="17"/>
                <w:szCs w:val="17"/>
                <w:color w:val="auto"/>
              </w:rPr>
            </w:pPr>
          </w:p>
        </w:tc>
        <w:tc>
          <w:tcPr>
            <w:tcW w:w="8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rPr>
              <w:t>11,314</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charge-offs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(82,560)</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(82,683)</w:t>
            </w:r>
          </w:p>
        </w:tc>
        <w:tc>
          <w:tcPr>
            <w:tcW w:w="0" w:type="dxa"/>
            <w:vAlign w:val="bottom"/>
          </w:tcPr>
          <w:p>
            <w:pPr>
              <w:spacing w:after="0"/>
              <w:rPr>
                <w:sz w:val="1"/>
                <w:szCs w:val="1"/>
                <w:color w:val="auto"/>
              </w:rPr>
            </w:pPr>
          </w:p>
        </w:tc>
      </w:tr>
      <w:tr>
        <w:trPr>
          <w:trHeight w:val="199"/>
        </w:trPr>
        <w:tc>
          <w:tcPr>
            <w:tcW w:w="4480" w:type="dxa"/>
            <w:vAlign w:val="bottom"/>
            <w:tcBorders>
              <w:bottom w:val="single" w:sz="8" w:color="auto"/>
            </w:tcBorders>
            <w:shd w:val="clear" w:color="auto" w:fill="EDEDEE"/>
          </w:tcPr>
          <w:p>
            <w:pPr>
              <w:ind w:left="20"/>
              <w:spacing w:after="0"/>
              <w:rPr>
                <w:sz w:val="20"/>
                <w:szCs w:val="20"/>
                <w:color w:val="auto"/>
              </w:rPr>
            </w:pPr>
            <w:r>
              <w:rPr>
                <w:rFonts w:ascii="Arial" w:cs="Arial" w:eastAsia="Arial" w:hAnsi="Arial"/>
                <w:sz w:val="14"/>
                <w:szCs w:val="14"/>
                <w:b w:val="1"/>
                <w:bCs w:val="1"/>
                <w:color w:val="144F82"/>
              </w:rPr>
              <w:t>Allowance for loan losses, ending balance</w:t>
            </w:r>
          </w:p>
        </w:tc>
        <w:tc>
          <w:tcPr>
            <w:tcW w:w="260" w:type="dxa"/>
            <w:vAlign w:val="bottom"/>
            <w:tcBorders>
              <w:bottom w:val="single" w:sz="8" w:color="auto"/>
            </w:tcBorders>
            <w:shd w:val="clear" w:color="auto" w:fill="EDEDEE"/>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DEDEE"/>
          </w:tcPr>
          <w:p>
            <w:pPr>
              <w:jc w:val="right"/>
              <w:ind w:right="168"/>
              <w:spacing w:after="0"/>
              <w:rPr>
                <w:sz w:val="20"/>
                <w:szCs w:val="20"/>
                <w:color w:val="auto"/>
              </w:rPr>
            </w:pPr>
            <w:r>
              <w:rPr>
                <w:rFonts w:ascii="Arial" w:cs="Arial" w:eastAsia="Arial" w:hAnsi="Arial"/>
                <w:sz w:val="14"/>
                <w:szCs w:val="14"/>
                <w:color w:val="auto"/>
              </w:rPr>
              <w:t>4,627</w:t>
            </w:r>
          </w:p>
        </w:tc>
        <w:tc>
          <w:tcPr>
            <w:tcW w:w="280" w:type="dxa"/>
            <w:vAlign w:val="bottom"/>
            <w:tcBorders>
              <w:bottom w:val="single" w:sz="8" w:color="auto"/>
            </w:tcBorders>
            <w:shd w:val="clear" w:color="auto" w:fill="EDEDEE"/>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DEDEE"/>
          </w:tcPr>
          <w:p>
            <w:pPr>
              <w:jc w:val="right"/>
              <w:ind w:right="168"/>
              <w:spacing w:after="0"/>
              <w:rPr>
                <w:sz w:val="20"/>
                <w:szCs w:val="20"/>
                <w:color w:val="auto"/>
              </w:rPr>
            </w:pPr>
            <w:r>
              <w:rPr>
                <w:rFonts w:ascii="Arial" w:cs="Arial" w:eastAsia="Arial" w:hAnsi="Arial"/>
                <w:sz w:val="14"/>
                <w:szCs w:val="14"/>
                <w:color w:val="auto"/>
              </w:rPr>
              <w:t>1,345,431</w:t>
            </w:r>
          </w:p>
        </w:tc>
        <w:tc>
          <w:tcPr>
            <w:tcW w:w="260" w:type="dxa"/>
            <w:vAlign w:val="bottom"/>
            <w:tcBorders>
              <w:bottom w:val="single" w:sz="8" w:color="auto"/>
            </w:tcBorders>
            <w:shd w:val="clear" w:color="auto" w:fill="EDEDEE"/>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rPr>
              <w:t>1,350,058</w:t>
            </w:r>
          </w:p>
        </w:tc>
        <w:tc>
          <w:tcPr>
            <w:tcW w:w="0" w:type="dxa"/>
            <w:vAlign w:val="bottom"/>
          </w:tcPr>
          <w:p>
            <w:pPr>
              <w:spacing w:after="0"/>
              <w:rPr>
                <w:sz w:val="1"/>
                <w:szCs w:val="1"/>
                <w:color w:val="auto"/>
              </w:rPr>
            </w:pPr>
          </w:p>
        </w:tc>
      </w:tr>
      <w:tr>
        <w:trPr>
          <w:trHeight w:val="145"/>
        </w:trPr>
        <w:tc>
          <w:tcPr>
            <w:tcW w:w="4480" w:type="dxa"/>
            <w:vAlign w:val="bottom"/>
          </w:tcPr>
          <w:p>
            <w:pPr>
              <w:ind w:left="20"/>
              <w:spacing w:after="0" w:line="145" w:lineRule="exact"/>
              <w:rPr>
                <w:sz w:val="20"/>
                <w:szCs w:val="20"/>
                <w:color w:val="auto"/>
              </w:rPr>
            </w:pPr>
            <w:r>
              <w:rPr>
                <w:rFonts w:ascii="Arial" w:cs="Arial" w:eastAsia="Arial" w:hAnsi="Arial"/>
                <w:sz w:val="14"/>
                <w:szCs w:val="14"/>
                <w:b w:val="1"/>
                <w:bCs w:val="1"/>
                <w:color w:val="144F82"/>
              </w:rPr>
              <w:t>Allowance for unfunded loan commitments, beginning</w:t>
            </w:r>
          </w:p>
        </w:tc>
        <w:tc>
          <w:tcPr>
            <w:tcW w:w="260" w:type="dxa"/>
            <w:vAlign w:val="bottom"/>
          </w:tcPr>
          <w:p>
            <w:pPr>
              <w:spacing w:after="0"/>
              <w:rPr>
                <w:sz w:val="12"/>
                <w:szCs w:val="12"/>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color w:val="auto"/>
              </w:rPr>
              <w:t>112,962</w:t>
            </w: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112,962</w:t>
            </w:r>
          </w:p>
        </w:tc>
        <w:tc>
          <w:tcPr>
            <w:tcW w:w="0" w:type="dxa"/>
            <w:vAlign w:val="bottom"/>
          </w:tcPr>
          <w:p>
            <w:pPr>
              <w:spacing w:after="0"/>
              <w:rPr>
                <w:sz w:val="1"/>
                <w:szCs w:val="1"/>
                <w:color w:val="auto"/>
              </w:rPr>
            </w:pPr>
          </w:p>
        </w:tc>
      </w:tr>
      <w:tr>
        <w:trPr>
          <w:trHeight w:val="201"/>
        </w:trPr>
        <w:tc>
          <w:tcPr>
            <w:tcW w:w="4480" w:type="dxa"/>
            <w:vAlign w:val="bottom"/>
          </w:tcPr>
          <w:p>
            <w:pPr>
              <w:ind w:left="20"/>
              <w:spacing w:after="0" w:line="201" w:lineRule="exact"/>
              <w:rPr>
                <w:sz w:val="20"/>
                <w:szCs w:val="20"/>
                <w:color w:val="auto"/>
              </w:rPr>
            </w:pPr>
            <w:r>
              <w:rPr>
                <w:rFonts w:ascii="Arial" w:cs="Arial" w:eastAsia="Arial" w:hAnsi="Arial"/>
                <w:sz w:val="14"/>
                <w:szCs w:val="14"/>
                <w:b w:val="1"/>
                <w:bCs w:val="1"/>
                <w:color w:val="144F82"/>
              </w:rPr>
              <w:t>balance</w:t>
            </w:r>
            <w:r>
              <w:rPr>
                <w:rFonts w:ascii="Arial" w:cs="Arial" w:eastAsia="Arial" w:hAnsi="Arial"/>
                <w:sz w:val="18"/>
                <w:szCs w:val="18"/>
                <w:b w:val="1"/>
                <w:bCs w:val="1"/>
                <w:color w:val="144F82"/>
                <w:vertAlign w:val="superscript"/>
              </w:rPr>
              <w:t>(2)</w:t>
            </w: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DEDEE"/>
          </w:tcPr>
          <w:p>
            <w:pPr>
              <w:ind w:left="140"/>
              <w:spacing w:after="0" w:line="202" w:lineRule="exact"/>
              <w:rPr>
                <w:sz w:val="20"/>
                <w:szCs w:val="20"/>
                <w:color w:val="auto"/>
              </w:rPr>
            </w:pPr>
            <w:r>
              <w:rPr>
                <w:rFonts w:ascii="Arial" w:cs="Arial" w:eastAsia="Arial" w:hAnsi="Arial"/>
                <w:sz w:val="14"/>
                <w:szCs w:val="14"/>
                <w:color w:val="auto"/>
              </w:rPr>
              <w:t>Provision</w:t>
            </w:r>
            <w:r>
              <w:rPr>
                <w:rFonts w:ascii="Arial" w:cs="Arial" w:eastAsia="Arial" w:hAnsi="Arial"/>
                <w:sz w:val="18"/>
                <w:szCs w:val="18"/>
                <w:color w:val="auto"/>
                <w:vertAlign w:val="superscript"/>
              </w:rPr>
              <w:t>(1)(3)</w:t>
            </w:r>
          </w:p>
        </w:tc>
        <w:tc>
          <w:tcPr>
            <w:tcW w:w="260" w:type="dxa"/>
            <w:vAlign w:val="bottom"/>
            <w:shd w:val="clear" w:color="auto" w:fill="EDEDEE"/>
          </w:tcPr>
          <w:p>
            <w:pPr>
              <w:spacing w:after="0"/>
              <w:rPr>
                <w:sz w:val="17"/>
                <w:szCs w:val="17"/>
                <w:color w:val="auto"/>
              </w:rPr>
            </w:pPr>
          </w:p>
        </w:tc>
        <w:tc>
          <w:tcPr>
            <w:tcW w:w="1080" w:type="dxa"/>
            <w:vAlign w:val="bottom"/>
            <w:shd w:val="clear" w:color="auto" w:fill="EDEDEE"/>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shd w:val="clear" w:color="auto" w:fill="EDEDEE"/>
          </w:tcPr>
          <w:p>
            <w:pPr>
              <w:spacing w:after="0"/>
              <w:rPr>
                <w:sz w:val="17"/>
                <w:szCs w:val="17"/>
                <w:color w:val="auto"/>
              </w:rPr>
            </w:pPr>
          </w:p>
        </w:tc>
        <w:tc>
          <w:tcPr>
            <w:tcW w:w="1220" w:type="dxa"/>
            <w:vAlign w:val="bottom"/>
            <w:shd w:val="clear" w:color="auto" w:fill="EDEDEE"/>
          </w:tcPr>
          <w:p>
            <w:pPr>
              <w:jc w:val="right"/>
              <w:ind w:right="168"/>
              <w:spacing w:after="0"/>
              <w:rPr>
                <w:sz w:val="20"/>
                <w:szCs w:val="20"/>
                <w:color w:val="auto"/>
              </w:rPr>
            </w:pPr>
            <w:r>
              <w:rPr>
                <w:rFonts w:ascii="Arial" w:cs="Arial" w:eastAsia="Arial" w:hAnsi="Arial"/>
                <w:sz w:val="14"/>
                <w:szCs w:val="14"/>
                <w:color w:val="auto"/>
              </w:rPr>
              <w:t>50,686</w:t>
            </w:r>
          </w:p>
        </w:tc>
        <w:tc>
          <w:tcPr>
            <w:tcW w:w="260" w:type="dxa"/>
            <w:vAlign w:val="bottom"/>
            <w:shd w:val="clear" w:color="auto" w:fill="EDEDEE"/>
          </w:tcPr>
          <w:p>
            <w:pPr>
              <w:spacing w:after="0"/>
              <w:rPr>
                <w:sz w:val="17"/>
                <w:szCs w:val="17"/>
                <w:color w:val="auto"/>
              </w:rPr>
            </w:pPr>
          </w:p>
        </w:tc>
        <w:tc>
          <w:tcPr>
            <w:tcW w:w="820" w:type="dxa"/>
            <w:vAlign w:val="bottom"/>
            <w:shd w:val="clear" w:color="auto" w:fill="EDEDEE"/>
          </w:tcPr>
          <w:p>
            <w:pPr>
              <w:jc w:val="right"/>
              <w:spacing w:after="0"/>
              <w:rPr>
                <w:sz w:val="20"/>
                <w:szCs w:val="20"/>
                <w:color w:val="auto"/>
              </w:rPr>
            </w:pPr>
            <w:r>
              <w:rPr>
                <w:rFonts w:ascii="Arial" w:cs="Arial" w:eastAsia="Arial" w:hAnsi="Arial"/>
                <w:sz w:val="14"/>
                <w:szCs w:val="14"/>
                <w:color w:val="auto"/>
              </w:rPr>
              <w:t>50,686</w:t>
            </w:r>
          </w:p>
        </w:tc>
        <w:tc>
          <w:tcPr>
            <w:tcW w:w="0" w:type="dxa"/>
            <w:vAlign w:val="bottom"/>
          </w:tcPr>
          <w:p>
            <w:pPr>
              <w:spacing w:after="0"/>
              <w:rPr>
                <w:sz w:val="1"/>
                <w:szCs w:val="1"/>
                <w:color w:val="auto"/>
              </w:rPr>
            </w:pPr>
          </w:p>
        </w:tc>
      </w:tr>
      <w:tr>
        <w:trPr>
          <w:trHeight w:val="198"/>
        </w:trPr>
        <w:tc>
          <w:tcPr>
            <w:tcW w:w="44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Transfer to allowance for loan losses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(131,614)</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(131,614)</w:t>
            </w:r>
          </w:p>
        </w:tc>
        <w:tc>
          <w:tcPr>
            <w:tcW w:w="0" w:type="dxa"/>
            <w:vAlign w:val="bottom"/>
          </w:tcPr>
          <w:p>
            <w:pPr>
              <w:spacing w:after="0"/>
              <w:rPr>
                <w:sz w:val="1"/>
                <w:szCs w:val="1"/>
                <w:color w:val="auto"/>
              </w:rPr>
            </w:pPr>
          </w:p>
        </w:tc>
      </w:tr>
      <w:tr>
        <w:trPr>
          <w:trHeight w:val="200"/>
        </w:trPr>
        <w:tc>
          <w:tcPr>
            <w:tcW w:w="4480" w:type="dxa"/>
            <w:vAlign w:val="bottom"/>
            <w:tcBorders>
              <w:bottom w:val="single" w:sz="8" w:color="auto"/>
            </w:tcBorders>
            <w:shd w:val="clear" w:color="auto" w:fill="EDEDEE"/>
          </w:tcPr>
          <w:p>
            <w:pPr>
              <w:ind w:left="20"/>
              <w:spacing w:after="0" w:line="200" w:lineRule="exact"/>
              <w:rPr>
                <w:sz w:val="20"/>
                <w:szCs w:val="20"/>
                <w:color w:val="auto"/>
              </w:rPr>
            </w:pPr>
            <w:r>
              <w:rPr>
                <w:rFonts w:ascii="Arial" w:cs="Arial" w:eastAsia="Arial" w:hAnsi="Arial"/>
                <w:sz w:val="14"/>
                <w:szCs w:val="14"/>
                <w:b w:val="1"/>
                <w:bCs w:val="1"/>
                <w:color w:val="144F82"/>
              </w:rPr>
              <w:t>Allowance for unfunded loan commitments, ending balance</w:t>
            </w:r>
            <w:r>
              <w:rPr>
                <w:rFonts w:ascii="Arial" w:cs="Arial" w:eastAsia="Arial" w:hAnsi="Arial"/>
                <w:sz w:val="18"/>
                <w:szCs w:val="18"/>
                <w:b w:val="1"/>
                <w:bCs w:val="1"/>
                <w:color w:val="144F82"/>
                <w:vertAlign w:val="superscript"/>
              </w:rPr>
              <w:t>(2)</w:t>
            </w:r>
          </w:p>
        </w:tc>
        <w:tc>
          <w:tcPr>
            <w:tcW w:w="260" w:type="dxa"/>
            <w:vAlign w:val="bottom"/>
            <w:tcBorders>
              <w:bottom w:val="single" w:sz="8" w:color="auto"/>
            </w:tcBorders>
            <w:shd w:val="clear" w:color="auto" w:fill="EDEDEE"/>
          </w:tcPr>
          <w:p>
            <w:pPr>
              <w:spacing w:after="0"/>
              <w:rPr>
                <w:sz w:val="17"/>
                <w:szCs w:val="17"/>
                <w:color w:val="auto"/>
              </w:rPr>
            </w:pPr>
          </w:p>
        </w:tc>
        <w:tc>
          <w:tcPr>
            <w:tcW w:w="1080" w:type="dxa"/>
            <w:vAlign w:val="bottom"/>
            <w:tcBorders>
              <w:bottom w:val="single" w:sz="8" w:color="auto"/>
            </w:tcBorders>
            <w:shd w:val="clear" w:color="auto" w:fill="EDEDEE"/>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DEDEE"/>
          </w:tcPr>
          <w:p>
            <w:pPr>
              <w:spacing w:after="0"/>
              <w:rPr>
                <w:sz w:val="17"/>
                <w:szCs w:val="17"/>
                <w:color w:val="auto"/>
              </w:rPr>
            </w:pPr>
          </w:p>
        </w:tc>
        <w:tc>
          <w:tcPr>
            <w:tcW w:w="1220" w:type="dxa"/>
            <w:vAlign w:val="bottom"/>
            <w:tcBorders>
              <w:bottom w:val="single" w:sz="8" w:color="auto"/>
            </w:tcBorders>
            <w:shd w:val="clear" w:color="auto" w:fill="EDEDEE"/>
          </w:tcPr>
          <w:p>
            <w:pPr>
              <w:jc w:val="right"/>
              <w:ind w:right="168"/>
              <w:spacing w:after="0"/>
              <w:rPr>
                <w:sz w:val="20"/>
                <w:szCs w:val="20"/>
                <w:color w:val="auto"/>
              </w:rPr>
            </w:pPr>
            <w:r>
              <w:rPr>
                <w:rFonts w:ascii="Arial" w:cs="Arial" w:eastAsia="Arial" w:hAnsi="Arial"/>
                <w:sz w:val="14"/>
                <w:szCs w:val="14"/>
                <w:color w:val="auto"/>
              </w:rPr>
              <w:t>32,034</w:t>
            </w:r>
          </w:p>
        </w:tc>
        <w:tc>
          <w:tcPr>
            <w:tcW w:w="260" w:type="dxa"/>
            <w:vAlign w:val="bottom"/>
            <w:tcBorders>
              <w:bottom w:val="single" w:sz="8" w:color="auto"/>
            </w:tcBorders>
            <w:shd w:val="clear" w:color="auto" w:fill="EDEDEE"/>
          </w:tcPr>
          <w:p>
            <w:pPr>
              <w:spacing w:after="0"/>
              <w:rPr>
                <w:sz w:val="17"/>
                <w:szCs w:val="17"/>
                <w:color w:val="auto"/>
              </w:rPr>
            </w:pPr>
          </w:p>
        </w:tc>
        <w:tc>
          <w:tcPr>
            <w:tcW w:w="8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rPr>
              <w:t>32,034</w:t>
            </w:r>
          </w:p>
        </w:tc>
        <w:tc>
          <w:tcPr>
            <w:tcW w:w="0" w:type="dxa"/>
            <w:vAlign w:val="bottom"/>
          </w:tcPr>
          <w:p>
            <w:pPr>
              <w:spacing w:after="0"/>
              <w:rPr>
                <w:sz w:val="1"/>
                <w:szCs w:val="1"/>
                <w:color w:val="auto"/>
              </w:rPr>
            </w:pPr>
          </w:p>
        </w:tc>
      </w:tr>
      <w:tr>
        <w:trPr>
          <w:trHeight w:val="169"/>
        </w:trPr>
        <w:tc>
          <w:tcPr>
            <w:tcW w:w="4480" w:type="dxa"/>
            <w:vAlign w:val="bottom"/>
          </w:tcPr>
          <w:p>
            <w:pPr>
              <w:ind w:left="20"/>
              <w:spacing w:after="0"/>
              <w:rPr>
                <w:sz w:val="20"/>
                <w:szCs w:val="20"/>
                <w:color w:val="auto"/>
              </w:rPr>
            </w:pPr>
            <w:r>
              <w:rPr>
                <w:rFonts w:ascii="Arial" w:cs="Arial" w:eastAsia="Arial" w:hAnsi="Arial"/>
                <w:sz w:val="14"/>
                <w:szCs w:val="14"/>
                <w:b w:val="1"/>
                <w:bCs w:val="1"/>
                <w:color w:val="144F82"/>
              </w:rPr>
              <w:t>Total allowance for credit losses, ending balance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4,627</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1,377,465</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1,382,092</w:t>
            </w:r>
          </w:p>
        </w:tc>
        <w:tc>
          <w:tcPr>
            <w:tcW w:w="0" w:type="dxa"/>
            <w:vAlign w:val="bottom"/>
          </w:tcPr>
          <w:p>
            <w:pPr>
              <w:spacing w:after="0"/>
              <w:rPr>
                <w:sz w:val="1"/>
                <w:szCs w:val="1"/>
                <w:color w:val="auto"/>
              </w:rPr>
            </w:pPr>
          </w:p>
        </w:tc>
      </w:tr>
      <w:tr>
        <w:trPr>
          <w:trHeight w:val="45"/>
        </w:trPr>
        <w:tc>
          <w:tcPr>
            <w:tcW w:w="4480" w:type="dxa"/>
            <w:vAlign w:val="bottom"/>
            <w:tcBorders>
              <w:bottom w:val="single" w:sz="8" w:color="auto"/>
            </w:tcBorders>
          </w:tcPr>
          <w:p>
            <w:pPr>
              <w:spacing w:after="0"/>
              <w:rPr>
                <w:sz w:val="3"/>
                <w:szCs w:val="3"/>
                <w:color w:val="auto"/>
              </w:rPr>
            </w:pPr>
          </w:p>
        </w:tc>
        <w:tc>
          <w:tcPr>
            <w:tcW w:w="260" w:type="dxa"/>
            <w:vAlign w:val="bottom"/>
            <w:tcBorders>
              <w:bottom w:val="single" w:sz="8" w:color="EDEDEE"/>
            </w:tcBorders>
          </w:tcPr>
          <w:p>
            <w:pPr>
              <w:spacing w:after="0"/>
              <w:rPr>
                <w:sz w:val="3"/>
                <w:szCs w:val="3"/>
                <w:color w:val="auto"/>
              </w:rPr>
            </w:pPr>
          </w:p>
        </w:tc>
        <w:tc>
          <w:tcPr>
            <w:tcW w:w="1080" w:type="dxa"/>
            <w:vAlign w:val="bottom"/>
            <w:tcBorders>
              <w:bottom w:val="single" w:sz="8" w:color="EDEDEE"/>
            </w:tcBorders>
          </w:tcPr>
          <w:p>
            <w:pPr>
              <w:spacing w:after="0"/>
              <w:rPr>
                <w:sz w:val="3"/>
                <w:szCs w:val="3"/>
                <w:color w:val="auto"/>
              </w:rPr>
            </w:pPr>
          </w:p>
        </w:tc>
        <w:tc>
          <w:tcPr>
            <w:tcW w:w="280" w:type="dxa"/>
            <w:vAlign w:val="bottom"/>
            <w:tcBorders>
              <w:bottom w:val="single" w:sz="8" w:color="EDEDEE"/>
            </w:tcBorders>
          </w:tcPr>
          <w:p>
            <w:pPr>
              <w:spacing w:after="0"/>
              <w:rPr>
                <w:sz w:val="3"/>
                <w:szCs w:val="3"/>
                <w:color w:val="auto"/>
              </w:rPr>
            </w:pPr>
          </w:p>
        </w:tc>
        <w:tc>
          <w:tcPr>
            <w:tcW w:w="1220" w:type="dxa"/>
            <w:vAlign w:val="bottom"/>
            <w:tcBorders>
              <w:bottom w:val="single" w:sz="8" w:color="EDEDEE"/>
            </w:tcBorders>
          </w:tcPr>
          <w:p>
            <w:pPr>
              <w:spacing w:after="0"/>
              <w:rPr>
                <w:sz w:val="3"/>
                <w:szCs w:val="3"/>
                <w:color w:val="auto"/>
              </w:rPr>
            </w:pPr>
          </w:p>
        </w:tc>
        <w:tc>
          <w:tcPr>
            <w:tcW w:w="260" w:type="dxa"/>
            <w:vAlign w:val="bottom"/>
            <w:tcBorders>
              <w:bottom w:val="single" w:sz="8" w:color="EDEDEE"/>
            </w:tcBorders>
          </w:tcPr>
          <w:p>
            <w:pPr>
              <w:spacing w:after="0"/>
              <w:rPr>
                <w:sz w:val="3"/>
                <w:szCs w:val="3"/>
                <w:color w:val="auto"/>
              </w:rPr>
            </w:pPr>
          </w:p>
        </w:tc>
        <w:tc>
          <w:tcPr>
            <w:tcW w:w="820" w:type="dxa"/>
            <w:vAlign w:val="bottom"/>
            <w:tcBorders>
              <w:bottom w:val="single" w:sz="8" w:color="EDEDEE"/>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4480" w:type="dxa"/>
            <w:vAlign w:val="bottom"/>
            <w:tcBorders>
              <w:top w:val="single" w:sz="8" w:color="EDEDEE"/>
            </w:tcBorders>
            <w:shd w:val="clear" w:color="auto" w:fill="EDEDEE"/>
          </w:tcPr>
          <w:p>
            <w:pPr>
              <w:ind w:left="20"/>
              <w:spacing w:after="0" w:line="111" w:lineRule="exact"/>
              <w:rPr>
                <w:sz w:val="20"/>
                <w:szCs w:val="20"/>
                <w:color w:val="auto"/>
              </w:rPr>
            </w:pPr>
            <w:r>
              <w:rPr>
                <w:rFonts w:ascii="Arial" w:cs="Arial" w:eastAsia="Arial" w:hAnsi="Arial"/>
                <w:sz w:val="12"/>
                <w:szCs w:val="12"/>
                <w:color w:val="auto"/>
              </w:rPr>
              <w:t>Net charge-offs as a percentage of average loans in repayment</w:t>
            </w:r>
          </w:p>
        </w:tc>
        <w:tc>
          <w:tcPr>
            <w:tcW w:w="260" w:type="dxa"/>
            <w:vAlign w:val="bottom"/>
            <w:tcBorders>
              <w:top w:val="single" w:sz="8" w:color="auto"/>
            </w:tcBorders>
            <w:shd w:val="clear" w:color="auto" w:fill="EDEDEE"/>
          </w:tcPr>
          <w:p>
            <w:pPr>
              <w:spacing w:after="0"/>
              <w:rPr>
                <w:sz w:val="9"/>
                <w:szCs w:val="9"/>
                <w:color w:val="auto"/>
              </w:rPr>
            </w:pPr>
          </w:p>
        </w:tc>
        <w:tc>
          <w:tcPr>
            <w:tcW w:w="1080" w:type="dxa"/>
            <w:vAlign w:val="bottom"/>
            <w:tcBorders>
              <w:top w:val="single" w:sz="8" w:color="auto"/>
            </w:tcBorders>
            <w:vMerge w:val="restart"/>
            <w:shd w:val="clear" w:color="auto" w:fill="EDEDEE"/>
          </w:tcPr>
          <w:p>
            <w:pPr>
              <w:jc w:val="right"/>
              <w:spacing w:after="0"/>
              <w:rPr>
                <w:sz w:val="20"/>
                <w:szCs w:val="20"/>
                <w:color w:val="auto"/>
              </w:rPr>
            </w:pPr>
            <w:r>
              <w:rPr>
                <w:rFonts w:ascii="Arial" w:cs="Arial" w:eastAsia="Arial" w:hAnsi="Arial"/>
                <w:sz w:val="14"/>
                <w:szCs w:val="14"/>
                <w:color w:val="auto"/>
              </w:rPr>
              <w:t>0.12 %</w:t>
            </w:r>
          </w:p>
        </w:tc>
        <w:tc>
          <w:tcPr>
            <w:tcW w:w="280" w:type="dxa"/>
            <w:vAlign w:val="bottom"/>
            <w:tcBorders>
              <w:top w:val="single" w:sz="8" w:color="auto"/>
            </w:tcBorders>
            <w:shd w:val="clear" w:color="auto" w:fill="EDEDEE"/>
          </w:tcPr>
          <w:p>
            <w:pPr>
              <w:spacing w:after="0"/>
              <w:rPr>
                <w:sz w:val="9"/>
                <w:szCs w:val="9"/>
                <w:color w:val="auto"/>
              </w:rPr>
            </w:pPr>
          </w:p>
        </w:tc>
        <w:tc>
          <w:tcPr>
            <w:tcW w:w="1220" w:type="dxa"/>
            <w:vAlign w:val="bottom"/>
            <w:tcBorders>
              <w:top w:val="single" w:sz="8" w:color="auto"/>
            </w:tcBorders>
            <w:vMerge w:val="restart"/>
            <w:shd w:val="clear" w:color="auto" w:fill="EDEDEE"/>
          </w:tcPr>
          <w:p>
            <w:pPr>
              <w:jc w:val="right"/>
              <w:ind w:right="8"/>
              <w:spacing w:after="0"/>
              <w:rPr>
                <w:sz w:val="20"/>
                <w:szCs w:val="20"/>
                <w:color w:val="auto"/>
              </w:rPr>
            </w:pPr>
            <w:r>
              <w:rPr>
                <w:rFonts w:ascii="Arial" w:cs="Arial" w:eastAsia="Arial" w:hAnsi="Arial"/>
                <w:sz w:val="14"/>
                <w:szCs w:val="14"/>
                <w:color w:val="auto"/>
              </w:rPr>
              <w:t>2.14 %</w:t>
            </w:r>
          </w:p>
        </w:tc>
        <w:tc>
          <w:tcPr>
            <w:tcW w:w="260" w:type="dxa"/>
            <w:vAlign w:val="bottom"/>
            <w:tcBorders>
              <w:top w:val="single" w:sz="8" w:color="auto"/>
            </w:tcBorders>
            <w:shd w:val="clear" w:color="auto" w:fill="EDEDEE"/>
          </w:tcPr>
          <w:p>
            <w:pPr>
              <w:spacing w:after="0"/>
              <w:rPr>
                <w:sz w:val="9"/>
                <w:szCs w:val="9"/>
                <w:color w:val="auto"/>
              </w:rPr>
            </w:pPr>
          </w:p>
        </w:tc>
        <w:tc>
          <w:tcPr>
            <w:tcW w:w="820" w:type="dxa"/>
            <w:vAlign w:val="bottom"/>
            <w:tcBorders>
              <w:top w:val="single" w:sz="8" w:color="auto"/>
            </w:tcBorders>
            <w:shd w:val="clear" w:color="auto" w:fill="EDEDE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4480" w:type="dxa"/>
            <w:vAlign w:val="bottom"/>
            <w:shd w:val="clear" w:color="auto" w:fill="EDEDEE"/>
          </w:tcPr>
          <w:p>
            <w:pPr>
              <w:ind w:left="20"/>
              <w:spacing w:after="0" w:line="201" w:lineRule="exact"/>
              <w:rPr>
                <w:sz w:val="20"/>
                <w:szCs w:val="20"/>
                <w:color w:val="auto"/>
              </w:rPr>
            </w:pPr>
            <w:r>
              <w:rPr>
                <w:rFonts w:ascii="Arial" w:cs="Arial" w:eastAsia="Arial" w:hAnsi="Arial"/>
                <w:sz w:val="14"/>
                <w:szCs w:val="14"/>
                <w:color w:val="auto"/>
              </w:rPr>
              <w:t>(annualized)</w:t>
            </w:r>
            <w:r>
              <w:rPr>
                <w:rFonts w:ascii="Arial" w:cs="Arial" w:eastAsia="Arial" w:hAnsi="Arial"/>
                <w:sz w:val="18"/>
                <w:szCs w:val="18"/>
                <w:color w:val="auto"/>
                <w:vertAlign w:val="superscript"/>
              </w:rPr>
              <w:t>(4)</w:t>
            </w:r>
          </w:p>
        </w:tc>
        <w:tc>
          <w:tcPr>
            <w:tcW w:w="260" w:type="dxa"/>
            <w:vAlign w:val="bottom"/>
            <w:shd w:val="clear" w:color="auto" w:fill="EDEDEE"/>
          </w:tcPr>
          <w:p>
            <w:pPr>
              <w:spacing w:after="0"/>
              <w:rPr>
                <w:sz w:val="17"/>
                <w:szCs w:val="17"/>
                <w:color w:val="auto"/>
              </w:rPr>
            </w:pPr>
          </w:p>
        </w:tc>
        <w:tc>
          <w:tcPr>
            <w:tcW w:w="1080" w:type="dxa"/>
            <w:vAlign w:val="bottom"/>
            <w:vMerge w:val="continue"/>
            <w:shd w:val="clear" w:color="auto" w:fill="EDEDEE"/>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220" w:type="dxa"/>
            <w:vAlign w:val="bottom"/>
            <w:vMerge w:val="continue"/>
            <w:shd w:val="clear" w:color="auto" w:fill="EDEDEE"/>
          </w:tcPr>
          <w:p>
            <w:pPr>
              <w:spacing w:after="0"/>
              <w:rPr>
                <w:sz w:val="17"/>
                <w:szCs w:val="17"/>
                <w:color w:val="auto"/>
              </w:rPr>
            </w:pPr>
          </w:p>
        </w:tc>
        <w:tc>
          <w:tcPr>
            <w:tcW w:w="260" w:type="dxa"/>
            <w:vAlign w:val="bottom"/>
            <w:shd w:val="clear" w:color="auto" w:fill="EDEDEE"/>
          </w:tcPr>
          <w:p>
            <w:pPr>
              <w:spacing w:after="0"/>
              <w:rPr>
                <w:sz w:val="17"/>
                <w:szCs w:val="17"/>
                <w:color w:val="auto"/>
              </w:rPr>
            </w:pPr>
          </w:p>
        </w:tc>
        <w:tc>
          <w:tcPr>
            <w:tcW w:w="820" w:type="dxa"/>
            <w:vAlign w:val="bottom"/>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Allowance for loan losses coverage of net charge-offs (annualized)</w:t>
            </w:r>
          </w:p>
        </w:tc>
        <w:tc>
          <w:tcPr>
            <w:tcW w:w="260" w:type="dxa"/>
            <w:vAlign w:val="bottom"/>
          </w:tcPr>
          <w:p>
            <w:pPr>
              <w:spacing w:after="0"/>
              <w:rPr>
                <w:sz w:val="17"/>
                <w:szCs w:val="17"/>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9.40</w:t>
            </w:r>
          </w:p>
        </w:tc>
        <w:tc>
          <w:tcPr>
            <w:tcW w:w="28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4.07</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EDEDEE"/>
          </w:tcPr>
          <w:p>
            <w:pPr>
              <w:ind w:left="20"/>
              <w:spacing w:after="0"/>
              <w:rPr>
                <w:sz w:val="20"/>
                <w:szCs w:val="20"/>
                <w:color w:val="auto"/>
              </w:rPr>
            </w:pPr>
            <w:r>
              <w:rPr>
                <w:rFonts w:ascii="Arial" w:cs="Arial" w:eastAsia="Arial" w:hAnsi="Arial"/>
                <w:sz w:val="14"/>
                <w:szCs w:val="14"/>
                <w:color w:val="auto"/>
              </w:rPr>
              <w:t>Total Allowance Percentage of Private Education Loan Exposure</w:t>
            </w:r>
            <w:r>
              <w:rPr>
                <w:rFonts w:ascii="Arial" w:cs="Arial" w:eastAsia="Arial" w:hAnsi="Arial"/>
                <w:sz w:val="18"/>
                <w:szCs w:val="18"/>
                <w:color w:val="auto"/>
                <w:vertAlign w:val="superscript"/>
              </w:rPr>
              <w:t>(5)</w:t>
            </w:r>
          </w:p>
        </w:tc>
        <w:tc>
          <w:tcPr>
            <w:tcW w:w="260" w:type="dxa"/>
            <w:vAlign w:val="bottom"/>
            <w:shd w:val="clear" w:color="auto" w:fill="EDEDEE"/>
          </w:tcPr>
          <w:p>
            <w:pPr>
              <w:spacing w:after="0"/>
              <w:rPr>
                <w:sz w:val="17"/>
                <w:szCs w:val="17"/>
                <w:color w:val="auto"/>
              </w:rPr>
            </w:pPr>
          </w:p>
        </w:tc>
        <w:tc>
          <w:tcPr>
            <w:tcW w:w="1080" w:type="dxa"/>
            <w:vAlign w:val="bottom"/>
            <w:shd w:val="clear" w:color="auto" w:fill="EDEDEE"/>
          </w:tcPr>
          <w:p>
            <w:pPr>
              <w:jc w:val="right"/>
              <w:spacing w:after="0"/>
              <w:rPr>
                <w:sz w:val="20"/>
                <w:szCs w:val="20"/>
                <w:color w:val="auto"/>
              </w:rPr>
            </w:pPr>
            <w:r>
              <w:rPr>
                <w:rFonts w:ascii="Arial" w:cs="Arial" w:eastAsia="Arial" w:hAnsi="Arial"/>
                <w:sz w:val="14"/>
                <w:szCs w:val="14"/>
                <w:color w:val="auto"/>
              </w:rPr>
              <w:t>0.90 %</w:t>
            </w:r>
          </w:p>
        </w:tc>
        <w:tc>
          <w:tcPr>
            <w:tcW w:w="280" w:type="dxa"/>
            <w:vAlign w:val="bottom"/>
            <w:shd w:val="clear" w:color="auto" w:fill="EDEDEE"/>
          </w:tcPr>
          <w:p>
            <w:pPr>
              <w:spacing w:after="0"/>
              <w:rPr>
                <w:sz w:val="17"/>
                <w:szCs w:val="17"/>
                <w:color w:val="auto"/>
              </w:rPr>
            </w:pPr>
          </w:p>
        </w:tc>
        <w:tc>
          <w:tcPr>
            <w:tcW w:w="1220" w:type="dxa"/>
            <w:vAlign w:val="bottom"/>
            <w:shd w:val="clear" w:color="auto" w:fill="EDEDEE"/>
          </w:tcPr>
          <w:p>
            <w:pPr>
              <w:jc w:val="right"/>
              <w:ind w:right="8"/>
              <w:spacing w:after="0"/>
              <w:rPr>
                <w:sz w:val="20"/>
                <w:szCs w:val="20"/>
                <w:color w:val="auto"/>
              </w:rPr>
            </w:pPr>
            <w:r>
              <w:rPr>
                <w:rFonts w:ascii="Arial" w:cs="Arial" w:eastAsia="Arial" w:hAnsi="Arial"/>
                <w:sz w:val="14"/>
                <w:szCs w:val="14"/>
                <w:color w:val="auto"/>
              </w:rPr>
              <w:t>5.99 %</w:t>
            </w:r>
          </w:p>
        </w:tc>
        <w:tc>
          <w:tcPr>
            <w:tcW w:w="260" w:type="dxa"/>
            <w:vAlign w:val="bottom"/>
            <w:shd w:val="clear" w:color="auto" w:fill="EDEDEE"/>
          </w:tcPr>
          <w:p>
            <w:pPr>
              <w:spacing w:after="0"/>
              <w:rPr>
                <w:sz w:val="17"/>
                <w:szCs w:val="17"/>
                <w:color w:val="auto"/>
              </w:rPr>
            </w:pPr>
          </w:p>
        </w:tc>
        <w:tc>
          <w:tcPr>
            <w:tcW w:w="820" w:type="dxa"/>
            <w:vAlign w:val="bottom"/>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tcPr>
          <w:p>
            <w:pPr>
              <w:ind w:left="20"/>
              <w:spacing w:after="0"/>
              <w:rPr>
                <w:sz w:val="20"/>
                <w:szCs w:val="20"/>
                <w:color w:val="auto"/>
              </w:rPr>
            </w:pPr>
            <w:r>
              <w:rPr>
                <w:rFonts w:ascii="Arial" w:cs="Arial" w:eastAsia="Arial" w:hAnsi="Arial"/>
                <w:sz w:val="14"/>
                <w:szCs w:val="14"/>
                <w:color w:val="auto"/>
              </w:rPr>
              <w:t>Ending total loans, gross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516,363</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20,952,346</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80" w:type="dxa"/>
            <w:vAlign w:val="bottom"/>
            <w:shd w:val="clear" w:color="auto" w:fill="EDEDEE"/>
          </w:tcPr>
          <w:p>
            <w:pPr>
              <w:ind w:left="20"/>
              <w:spacing w:after="0"/>
              <w:rPr>
                <w:sz w:val="20"/>
                <w:szCs w:val="20"/>
                <w:color w:val="auto"/>
              </w:rPr>
            </w:pPr>
            <w:r>
              <w:rPr>
                <w:rFonts w:ascii="Arial" w:cs="Arial" w:eastAsia="Arial" w:hAnsi="Arial"/>
                <w:sz w:val="14"/>
                <w:szCs w:val="14"/>
                <w:color w:val="auto"/>
              </w:rPr>
              <w:t>Average loans in repayment</w:t>
            </w:r>
            <w:r>
              <w:rPr>
                <w:rFonts w:ascii="Arial" w:cs="Arial" w:eastAsia="Arial" w:hAnsi="Arial"/>
                <w:sz w:val="18"/>
                <w:szCs w:val="18"/>
                <w:color w:val="auto"/>
                <w:vertAlign w:val="superscript"/>
              </w:rPr>
              <w:t>(4)</w:t>
            </w:r>
          </w:p>
        </w:tc>
        <w:tc>
          <w:tcPr>
            <w:tcW w:w="260" w:type="dxa"/>
            <w:vAlign w:val="bottom"/>
            <w:shd w:val="clear" w:color="auto" w:fill="EDEDEE"/>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DEDEE"/>
          </w:tcPr>
          <w:p>
            <w:pPr>
              <w:jc w:val="right"/>
              <w:ind w:right="168"/>
              <w:spacing w:after="0"/>
              <w:rPr>
                <w:sz w:val="20"/>
                <w:szCs w:val="20"/>
                <w:color w:val="auto"/>
              </w:rPr>
            </w:pPr>
            <w:r>
              <w:rPr>
                <w:rFonts w:ascii="Arial" w:cs="Arial" w:eastAsia="Arial" w:hAnsi="Arial"/>
                <w:sz w:val="14"/>
                <w:szCs w:val="14"/>
                <w:color w:val="auto"/>
              </w:rPr>
              <w:t>399,680</w:t>
            </w:r>
          </w:p>
        </w:tc>
        <w:tc>
          <w:tcPr>
            <w:tcW w:w="280" w:type="dxa"/>
            <w:vAlign w:val="bottom"/>
            <w:shd w:val="clear" w:color="auto" w:fill="EDEDEE"/>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DEDEE"/>
          </w:tcPr>
          <w:p>
            <w:pPr>
              <w:jc w:val="right"/>
              <w:ind w:right="168"/>
              <w:spacing w:after="0"/>
              <w:rPr>
                <w:sz w:val="20"/>
                <w:szCs w:val="20"/>
                <w:color w:val="auto"/>
              </w:rPr>
            </w:pPr>
            <w:r>
              <w:rPr>
                <w:rFonts w:ascii="Arial" w:cs="Arial" w:eastAsia="Arial" w:hAnsi="Arial"/>
                <w:sz w:val="14"/>
                <w:szCs w:val="14"/>
                <w:color w:val="auto"/>
              </w:rPr>
              <w:t>15,407,495</w:t>
            </w:r>
          </w:p>
        </w:tc>
        <w:tc>
          <w:tcPr>
            <w:tcW w:w="260" w:type="dxa"/>
            <w:vAlign w:val="bottom"/>
            <w:shd w:val="clear" w:color="auto" w:fill="EDEDEE"/>
          </w:tcPr>
          <w:p>
            <w:pPr>
              <w:spacing w:after="0"/>
              <w:rPr>
                <w:sz w:val="17"/>
                <w:szCs w:val="17"/>
                <w:color w:val="auto"/>
              </w:rPr>
            </w:pPr>
          </w:p>
        </w:tc>
        <w:tc>
          <w:tcPr>
            <w:tcW w:w="820" w:type="dxa"/>
            <w:vAlign w:val="bottom"/>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4"/>
                <w:szCs w:val="14"/>
                <w:color w:val="auto"/>
              </w:rPr>
              <w:t>Ending loans in repayment</w:t>
            </w:r>
            <w:r>
              <w:rPr>
                <w:rFonts w:ascii="Arial" w:cs="Arial" w:eastAsia="Arial" w:hAnsi="Arial"/>
                <w:sz w:val="18"/>
                <w:szCs w:val="18"/>
                <w:color w:val="auto"/>
                <w:vertAlign w:val="superscript"/>
              </w:rPr>
              <w:t>(4)</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393,820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14,961,692</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DEDEE"/>
          </w:tcPr>
          <w:p>
            <w:pPr>
              <w:ind w:left="20"/>
              <w:spacing w:after="0"/>
              <w:rPr>
                <w:sz w:val="20"/>
                <w:szCs w:val="20"/>
                <w:color w:val="auto"/>
              </w:rPr>
            </w:pPr>
            <w:r>
              <w:rPr>
                <w:rFonts w:ascii="Arial" w:cs="Arial" w:eastAsia="Arial" w:hAnsi="Arial"/>
                <w:sz w:val="14"/>
                <w:szCs w:val="14"/>
                <w:color w:val="auto"/>
              </w:rPr>
              <w:t>Unfunded loan commitments</w:t>
            </w:r>
          </w:p>
        </w:tc>
        <w:tc>
          <w:tcPr>
            <w:tcW w:w="260" w:type="dxa"/>
            <w:vAlign w:val="bottom"/>
            <w:shd w:val="clear" w:color="auto" w:fill="EDEDEE"/>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DEDEE"/>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shd w:val="clear" w:color="auto" w:fill="EDEDEE"/>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DEDEE"/>
          </w:tcPr>
          <w:p>
            <w:pPr>
              <w:jc w:val="right"/>
              <w:ind w:right="168"/>
              <w:spacing w:after="0"/>
              <w:rPr>
                <w:sz w:val="20"/>
                <w:szCs w:val="20"/>
                <w:color w:val="auto"/>
              </w:rPr>
            </w:pPr>
            <w:r>
              <w:rPr>
                <w:rFonts w:ascii="Arial" w:cs="Arial" w:eastAsia="Arial" w:hAnsi="Arial"/>
                <w:sz w:val="14"/>
                <w:szCs w:val="14"/>
                <w:color w:val="auto"/>
              </w:rPr>
              <w:t>673,492</w:t>
            </w:r>
          </w:p>
        </w:tc>
        <w:tc>
          <w:tcPr>
            <w:tcW w:w="260" w:type="dxa"/>
            <w:vAlign w:val="bottom"/>
            <w:shd w:val="clear" w:color="auto" w:fill="EDEDEE"/>
          </w:tcPr>
          <w:p>
            <w:pPr>
              <w:spacing w:after="0"/>
              <w:rPr>
                <w:sz w:val="17"/>
                <w:szCs w:val="17"/>
                <w:color w:val="auto"/>
              </w:rPr>
            </w:pPr>
          </w:p>
        </w:tc>
        <w:tc>
          <w:tcPr>
            <w:tcW w:w="820" w:type="dxa"/>
            <w:vAlign w:val="bottom"/>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80" w:type="dxa"/>
            <w:vAlign w:val="bottom"/>
          </w:tcPr>
          <w:p>
            <w:pPr>
              <w:ind w:left="20"/>
              <w:spacing w:after="0"/>
              <w:rPr>
                <w:sz w:val="20"/>
                <w:szCs w:val="20"/>
                <w:color w:val="auto"/>
              </w:rPr>
            </w:pPr>
            <w:r>
              <w:rPr>
                <w:rFonts w:ascii="Arial" w:cs="Arial" w:eastAsia="Arial" w:hAnsi="Arial"/>
                <w:sz w:val="14"/>
                <w:szCs w:val="14"/>
                <w:color w:val="auto"/>
              </w:rPr>
              <w:t>Total accrued interest receivable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1,357,987</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54" w:hanging="144"/>
        <w:spacing w:after="0"/>
        <w:tabs>
          <w:tab w:leader="none" w:pos="754" w:val="left"/>
        </w:tabs>
        <w:numPr>
          <w:ilvl w:val="0"/>
          <w:numId w:val="15"/>
        </w:numPr>
        <w:rPr>
          <w:rFonts w:ascii="Arial" w:cs="Arial" w:eastAsia="Arial" w:hAnsi="Arial"/>
          <w:sz w:val="17"/>
          <w:szCs w:val="17"/>
          <w:color w:val="auto"/>
          <w:vertAlign w:val="superscript"/>
        </w:rPr>
      </w:pPr>
      <w:r>
        <w:rPr>
          <w:rFonts w:ascii="Arial" w:cs="Arial" w:eastAsia="Arial" w:hAnsi="Arial"/>
          <w:sz w:val="11"/>
          <w:szCs w:val="11"/>
          <w:color w:val="auto"/>
        </w:rPr>
        <w:t>See “—Provisions for Credit Losses” below in this Note 4 for a reconciliation of the provisions for credit losses reported in the consolidated statements of income.</w:t>
      </w:r>
    </w:p>
    <w:p>
      <w:pPr>
        <w:spacing w:after="0" w:line="48" w:lineRule="exact"/>
        <w:rPr>
          <w:rFonts w:ascii="Arial" w:cs="Arial" w:eastAsia="Arial" w:hAnsi="Arial"/>
          <w:sz w:val="17"/>
          <w:szCs w:val="17"/>
          <w:color w:val="auto"/>
          <w:vertAlign w:val="superscript"/>
        </w:rPr>
      </w:pPr>
    </w:p>
    <w:p>
      <w:pPr>
        <w:ind w:left="774" w:hanging="164"/>
        <w:spacing w:after="0" w:line="225" w:lineRule="auto"/>
        <w:tabs>
          <w:tab w:leader="none" w:pos="752" w:val="left"/>
        </w:tabs>
        <w:numPr>
          <w:ilvl w:val="0"/>
          <w:numId w:val="15"/>
        </w:numPr>
        <w:rPr>
          <w:rFonts w:ascii="Arial" w:cs="Arial" w:eastAsia="Arial" w:hAnsi="Arial"/>
          <w:sz w:val="17"/>
          <w:szCs w:val="17"/>
          <w:color w:val="auto"/>
          <w:vertAlign w:val="superscript"/>
        </w:rPr>
      </w:pPr>
      <w:r>
        <w:rPr>
          <w:rFonts w:ascii="Arial" w:cs="Arial" w:eastAsia="Arial" w:hAnsi="Arial"/>
          <w:sz w:val="11"/>
          <w:szCs w:val="11"/>
          <w:color w:val="auto"/>
        </w:rPr>
        <w:t>When a new loan commitment is made, we record an allowance to cover lifetime expected credit losses on the unfunded commitments, which is recorded in “Other Liabilities” on the consolidated balance sheet. See “—Unfunded Loan Commitments” in this Note 4 for further discussion.</w:t>
      </w:r>
    </w:p>
    <w:p>
      <w:pPr>
        <w:spacing w:after="0" w:line="30" w:lineRule="exact"/>
        <w:rPr>
          <w:rFonts w:ascii="Arial" w:cs="Arial" w:eastAsia="Arial" w:hAnsi="Arial"/>
          <w:sz w:val="17"/>
          <w:szCs w:val="17"/>
          <w:color w:val="auto"/>
          <w:vertAlign w:val="superscript"/>
        </w:rPr>
      </w:pPr>
    </w:p>
    <w:p>
      <w:pPr>
        <w:ind w:left="734" w:hanging="124"/>
        <w:spacing w:after="0"/>
        <w:tabs>
          <w:tab w:leader="none" w:pos="734"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Includes incremental provision for new commitments and changes to provision for existing commitments.</w:t>
      </w:r>
    </w:p>
    <w:p>
      <w:pPr>
        <w:spacing w:after="0" w:line="48" w:lineRule="exact"/>
        <w:rPr>
          <w:rFonts w:ascii="Arial" w:cs="Arial" w:eastAsia="Arial" w:hAnsi="Arial"/>
          <w:sz w:val="15"/>
          <w:szCs w:val="15"/>
          <w:color w:val="auto"/>
          <w:vertAlign w:val="superscript"/>
        </w:rPr>
      </w:pPr>
    </w:p>
    <w:p>
      <w:pPr>
        <w:ind w:left="774" w:right="80" w:hanging="164"/>
        <w:spacing w:after="0" w:line="249" w:lineRule="auto"/>
        <w:tabs>
          <w:tab w:leader="none" w:pos="734"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w:t>
      </w:r>
    </w:p>
    <w:p>
      <w:pPr>
        <w:spacing w:after="0" w:line="30" w:lineRule="exact"/>
        <w:rPr>
          <w:rFonts w:ascii="Arial" w:cs="Arial" w:eastAsia="Arial" w:hAnsi="Arial"/>
          <w:sz w:val="15"/>
          <w:szCs w:val="15"/>
          <w:color w:val="auto"/>
          <w:vertAlign w:val="superscript"/>
        </w:rPr>
      </w:pPr>
    </w:p>
    <w:p>
      <w:pPr>
        <w:ind w:left="774" w:right="700" w:hanging="164"/>
        <w:spacing w:after="0" w:line="246" w:lineRule="auto"/>
        <w:tabs>
          <w:tab w:leader="none" w:pos="734"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The Total Allowance Percentage of Private Education Loan Exposure is the total allowance for credit losses as a percentage of ending total loans plus unfunded loan commitments and total accrued interest receivable on Private Education Loans.</w:t>
      </w:r>
    </w:p>
    <w:p>
      <w:pPr>
        <w:spacing w:after="0" w:line="222" w:lineRule="exact"/>
        <w:rPr>
          <w:sz w:val="20"/>
          <w:szCs w:val="20"/>
          <w:color w:val="auto"/>
        </w:rPr>
      </w:pPr>
    </w:p>
    <w:p>
      <w:pPr>
        <w:ind w:left="614"/>
        <w:spacing w:after="0"/>
        <w:rPr>
          <w:sz w:val="20"/>
          <w:szCs w:val="20"/>
          <w:color w:val="auto"/>
        </w:rPr>
      </w:pPr>
      <w:r>
        <w:rPr>
          <w:rFonts w:ascii="Arial" w:cs="Arial" w:eastAsia="Arial" w:hAnsi="Arial"/>
          <w:sz w:val="13"/>
          <w:szCs w:val="13"/>
          <w:color w:val="FFFFFF"/>
        </w:rPr>
        <w:t>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74"/>
        <w:spacing w:after="0"/>
        <w:rPr>
          <w:sz w:val="20"/>
          <w:szCs w:val="20"/>
          <w:color w:val="auto"/>
        </w:rPr>
      </w:pPr>
      <w:r>
        <w:rPr>
          <w:rFonts w:ascii="Arial" w:cs="Arial" w:eastAsia="Arial" w:hAnsi="Arial"/>
          <w:sz w:val="20"/>
          <w:szCs w:val="20"/>
          <w:b w:val="1"/>
          <w:bCs w:val="1"/>
          <w:color w:val="134F82"/>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94"/>
          </w:cols>
          <w:pgMar w:left="366" w:top="620" w:right="939" w:bottom="1440" w:gutter="0" w:footer="0" w:header="0"/>
        </w:sectPr>
      </w:pPr>
    </w:p>
    <w:bookmarkStart w:id="19" w:name="page20"/>
    <w:bookmarkEnd w:id="19"/>
    <w:p>
      <w:pPr>
        <w:ind w:left="380" w:hanging="334"/>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Provisions for Credit Losses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reconciliation of the provisions for credit losses reported 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103505</wp:posOffset>
            </wp:positionV>
            <wp:extent cx="3985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1"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134F82"/>
        </w:rPr>
        <w:t>Consolidated Statements of Income</w:t>
      </w:r>
    </w:p>
    <w:p>
      <w:pPr>
        <w:spacing w:after="0" w:line="2"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134F82"/>
        </w:rPr>
        <w:t>Provisions for Credit Losses Reconciliation</w:t>
      </w:r>
    </w:p>
    <w:p>
      <w:pPr>
        <w:spacing w:after="0" w:line="21"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134F82"/>
        </w:rPr>
        <w:t>Three Months Ended March 31,</w:t>
      </w:r>
    </w:p>
    <w:p>
      <w:pPr>
        <w:spacing w:after="0" w:line="34" w:lineRule="exact"/>
        <w:rPr>
          <w:sz w:val="20"/>
          <w:szCs w:val="20"/>
          <w:color w:val="auto"/>
        </w:rPr>
      </w:pPr>
    </w:p>
    <w:tbl>
      <w:tblPr>
        <w:tblLayout w:type="fixed"/>
        <w:tblInd w:w="2420" w:type="dxa"/>
        <w:tblCellMar>
          <w:top w:w="0" w:type="dxa"/>
          <w:left w:w="0" w:type="dxa"/>
          <w:bottom w:w="0" w:type="dxa"/>
          <w:right w:w="0" w:type="dxa"/>
        </w:tblCellMar>
      </w:tblPr>
      <w:tr>
        <w:trPr>
          <w:trHeight w:val="197"/>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34F82"/>
              </w:rPr>
              <w:t>(dollars 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134F82"/>
              </w:rPr>
              <w:t>2025</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134F82"/>
              </w:rPr>
              <w:t>2024</w:t>
            </w:r>
          </w:p>
        </w:tc>
        <w:tc>
          <w:tcPr>
            <w:tcW w:w="0" w:type="dxa"/>
            <w:vAlign w:val="bottom"/>
          </w:tcPr>
          <w:p>
            <w:pPr>
              <w:spacing w:after="0"/>
              <w:rPr>
                <w:sz w:val="1"/>
                <w:szCs w:val="1"/>
                <w:color w:val="auto"/>
              </w:rPr>
            </w:pPr>
          </w:p>
        </w:tc>
      </w:tr>
      <w:tr>
        <w:trPr>
          <w:trHeight w:val="197"/>
        </w:trPr>
        <w:tc>
          <w:tcPr>
            <w:tcW w:w="3820" w:type="dxa"/>
            <w:vAlign w:val="bottom"/>
            <w:shd w:val="clear" w:color="auto" w:fill="EDEDEE"/>
          </w:tcPr>
          <w:p>
            <w:pPr>
              <w:spacing w:after="0"/>
              <w:rPr>
                <w:sz w:val="20"/>
                <w:szCs w:val="20"/>
                <w:color w:val="auto"/>
              </w:rPr>
            </w:pPr>
            <w:r>
              <w:rPr>
                <w:rFonts w:ascii="Arial" w:cs="Arial" w:eastAsia="Arial" w:hAnsi="Arial"/>
                <w:sz w:val="14"/>
                <w:szCs w:val="14"/>
                <w:color w:val="auto"/>
              </w:rPr>
              <w:t>Private Education Loan provisions for credit losses:</w:t>
            </w:r>
          </w:p>
        </w:tc>
        <w:tc>
          <w:tcPr>
            <w:tcW w:w="280" w:type="dxa"/>
            <w:vAlign w:val="bottom"/>
            <w:shd w:val="clear" w:color="auto" w:fill="EDEDEE"/>
          </w:tcPr>
          <w:p>
            <w:pPr>
              <w:spacing w:after="0"/>
              <w:rPr>
                <w:sz w:val="17"/>
                <w:szCs w:val="17"/>
                <w:color w:val="auto"/>
              </w:rPr>
            </w:pPr>
          </w:p>
        </w:tc>
        <w:tc>
          <w:tcPr>
            <w:tcW w:w="980" w:type="dxa"/>
            <w:vAlign w:val="bottom"/>
            <w:shd w:val="clear" w:color="auto" w:fill="EDEDEE"/>
          </w:tcPr>
          <w:p>
            <w:pPr>
              <w:spacing w:after="0"/>
              <w:rPr>
                <w:sz w:val="17"/>
                <w:szCs w:val="17"/>
                <w:color w:val="auto"/>
              </w:rPr>
            </w:pPr>
          </w:p>
        </w:tc>
        <w:tc>
          <w:tcPr>
            <w:tcW w:w="300" w:type="dxa"/>
            <w:vAlign w:val="bottom"/>
            <w:shd w:val="clear" w:color="auto" w:fill="EDEDEE"/>
          </w:tcPr>
          <w:p>
            <w:pPr>
              <w:spacing w:after="0"/>
              <w:rPr>
                <w:sz w:val="17"/>
                <w:szCs w:val="17"/>
                <w:color w:val="auto"/>
              </w:rPr>
            </w:pPr>
          </w:p>
        </w:tc>
        <w:tc>
          <w:tcPr>
            <w:tcW w:w="880" w:type="dxa"/>
            <w:vAlign w:val="bottom"/>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20" w:type="dxa"/>
            <w:vAlign w:val="bottom"/>
          </w:tcPr>
          <w:p>
            <w:pPr>
              <w:ind w:left="120"/>
              <w:spacing w:after="0"/>
              <w:rPr>
                <w:sz w:val="20"/>
                <w:szCs w:val="20"/>
                <w:color w:val="auto"/>
              </w:rPr>
            </w:pPr>
            <w:r>
              <w:rPr>
                <w:rFonts w:ascii="Arial" w:cs="Arial" w:eastAsia="Arial" w:hAnsi="Arial"/>
                <w:sz w:val="14"/>
                <w:szCs w:val="14"/>
                <w:color w:val="auto"/>
              </w:rPr>
              <w:t>Provisions for loan losses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(21,170)</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(38,728)</w:t>
            </w:r>
          </w:p>
        </w:tc>
        <w:tc>
          <w:tcPr>
            <w:tcW w:w="0" w:type="dxa"/>
            <w:vAlign w:val="bottom"/>
          </w:tcPr>
          <w:p>
            <w:pPr>
              <w:spacing w:after="0"/>
              <w:rPr>
                <w:sz w:val="1"/>
                <w:szCs w:val="1"/>
                <w:color w:val="auto"/>
              </w:rPr>
            </w:pPr>
          </w:p>
        </w:tc>
      </w:tr>
      <w:tr>
        <w:trPr>
          <w:trHeight w:val="207"/>
        </w:trPr>
        <w:tc>
          <w:tcPr>
            <w:tcW w:w="3820" w:type="dxa"/>
            <w:vAlign w:val="bottom"/>
            <w:shd w:val="clear" w:color="auto" w:fill="EDEDEE"/>
          </w:tcPr>
          <w:p>
            <w:pPr>
              <w:ind w:left="120"/>
              <w:spacing w:after="0"/>
              <w:rPr>
                <w:sz w:val="20"/>
                <w:szCs w:val="20"/>
                <w:color w:val="auto"/>
              </w:rPr>
            </w:pPr>
            <w:r>
              <w:rPr>
                <w:rFonts w:ascii="Arial" w:cs="Arial" w:eastAsia="Arial" w:hAnsi="Arial"/>
                <w:sz w:val="14"/>
                <w:szCs w:val="14"/>
                <w:color w:val="auto"/>
              </w:rPr>
              <w:t>Provisions for unfunded loan commitments</w:t>
            </w:r>
          </w:p>
        </w:tc>
        <w:tc>
          <w:tcPr>
            <w:tcW w:w="280" w:type="dxa"/>
            <w:vAlign w:val="bottom"/>
            <w:tcBorders>
              <w:bottom w:val="single" w:sz="8" w:color="auto"/>
            </w:tcBorders>
            <w:shd w:val="clear" w:color="auto" w:fill="EDEDEE"/>
          </w:tcPr>
          <w:p>
            <w:pPr>
              <w:spacing w:after="0"/>
              <w:rPr>
                <w:sz w:val="17"/>
                <w:szCs w:val="17"/>
                <w:color w:val="auto"/>
              </w:rPr>
            </w:pPr>
          </w:p>
        </w:tc>
        <w:tc>
          <w:tcPr>
            <w:tcW w:w="980" w:type="dxa"/>
            <w:vAlign w:val="bottom"/>
            <w:tcBorders>
              <w:bottom w:val="single" w:sz="8" w:color="auto"/>
            </w:tcBorders>
            <w:shd w:val="clear" w:color="auto" w:fill="EDEDEE"/>
          </w:tcPr>
          <w:p>
            <w:pPr>
              <w:jc w:val="right"/>
              <w:ind w:right="48"/>
              <w:spacing w:after="0"/>
              <w:rPr>
                <w:sz w:val="20"/>
                <w:szCs w:val="20"/>
                <w:color w:val="auto"/>
              </w:rPr>
            </w:pPr>
            <w:r>
              <w:rPr>
                <w:rFonts w:ascii="Arial" w:cs="Arial" w:eastAsia="Arial" w:hAnsi="Arial"/>
                <w:sz w:val="14"/>
                <w:szCs w:val="14"/>
                <w:color w:val="auto"/>
              </w:rPr>
              <w:t>44,456</w:t>
            </w:r>
          </w:p>
        </w:tc>
        <w:tc>
          <w:tcPr>
            <w:tcW w:w="300" w:type="dxa"/>
            <w:vAlign w:val="bottom"/>
            <w:tcBorders>
              <w:bottom w:val="single" w:sz="8" w:color="auto"/>
            </w:tcBorders>
            <w:shd w:val="clear" w:color="auto" w:fill="EDEDEE"/>
          </w:tcPr>
          <w:p>
            <w:pPr>
              <w:spacing w:after="0"/>
              <w:rPr>
                <w:sz w:val="17"/>
                <w:szCs w:val="17"/>
                <w:color w:val="auto"/>
              </w:rPr>
            </w:pPr>
          </w:p>
        </w:tc>
        <w:tc>
          <w:tcPr>
            <w:tcW w:w="8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rPr>
              <w:t>50,686</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20"/>
                <w:szCs w:val="20"/>
                <w:color w:val="auto"/>
              </w:rPr>
            </w:pPr>
            <w:r>
              <w:rPr>
                <w:rFonts w:ascii="Arial" w:cs="Arial" w:eastAsia="Arial" w:hAnsi="Arial"/>
                <w:sz w:val="14"/>
                <w:szCs w:val="14"/>
                <w:color w:val="auto"/>
              </w:rPr>
              <w:t>Total Private Education Loan provisions for credit losses</w:t>
            </w:r>
          </w:p>
        </w:tc>
        <w:tc>
          <w:tcPr>
            <w:tcW w:w="28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23,286</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11,958</w:t>
            </w:r>
          </w:p>
        </w:tc>
        <w:tc>
          <w:tcPr>
            <w:tcW w:w="0" w:type="dxa"/>
            <w:vAlign w:val="bottom"/>
          </w:tcPr>
          <w:p>
            <w:pPr>
              <w:spacing w:after="0"/>
              <w:rPr>
                <w:sz w:val="1"/>
                <w:szCs w:val="1"/>
                <w:color w:val="auto"/>
              </w:rPr>
            </w:pPr>
          </w:p>
        </w:tc>
      </w:tr>
      <w:tr>
        <w:trPr>
          <w:trHeight w:val="207"/>
        </w:trPr>
        <w:tc>
          <w:tcPr>
            <w:tcW w:w="3820" w:type="dxa"/>
            <w:vAlign w:val="bottom"/>
            <w:shd w:val="clear" w:color="auto" w:fill="EDEDEE"/>
          </w:tcPr>
          <w:p>
            <w:pPr>
              <w:spacing w:after="0"/>
              <w:rPr>
                <w:sz w:val="20"/>
                <w:szCs w:val="20"/>
                <w:color w:val="auto"/>
              </w:rPr>
            </w:pPr>
            <w:r>
              <w:rPr>
                <w:rFonts w:ascii="Arial" w:cs="Arial" w:eastAsia="Arial" w:hAnsi="Arial"/>
                <w:sz w:val="14"/>
                <w:szCs w:val="14"/>
                <w:color w:val="auto"/>
              </w:rPr>
              <w:t>Total FFELP Loans provisions for credit losses</w:t>
            </w:r>
          </w:p>
        </w:tc>
        <w:tc>
          <w:tcPr>
            <w:tcW w:w="280" w:type="dxa"/>
            <w:vAlign w:val="bottom"/>
            <w:tcBorders>
              <w:bottom w:val="single" w:sz="8" w:color="auto"/>
            </w:tcBorders>
            <w:shd w:val="clear" w:color="auto" w:fill="EDEDEE"/>
          </w:tcPr>
          <w:p>
            <w:pPr>
              <w:spacing w:after="0"/>
              <w:rPr>
                <w:sz w:val="17"/>
                <w:szCs w:val="17"/>
                <w:color w:val="auto"/>
              </w:rPr>
            </w:pPr>
          </w:p>
        </w:tc>
        <w:tc>
          <w:tcPr>
            <w:tcW w:w="980" w:type="dxa"/>
            <w:vAlign w:val="bottom"/>
            <w:tcBorders>
              <w:bottom w:val="single" w:sz="8" w:color="auto"/>
            </w:tcBorders>
            <w:shd w:val="clear" w:color="auto" w:fill="EDEDEE"/>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DEDEE"/>
          </w:tcPr>
          <w:p>
            <w:pPr>
              <w:spacing w:after="0"/>
              <w:rPr>
                <w:sz w:val="17"/>
                <w:szCs w:val="17"/>
                <w:color w:val="auto"/>
              </w:rPr>
            </w:pPr>
          </w:p>
        </w:tc>
        <w:tc>
          <w:tcPr>
            <w:tcW w:w="8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3"/>
        </w:trPr>
        <w:tc>
          <w:tcPr>
            <w:tcW w:w="3820" w:type="dxa"/>
            <w:vAlign w:val="bottom"/>
          </w:tcPr>
          <w:p>
            <w:pPr>
              <w:spacing w:after="0" w:line="133" w:lineRule="exact"/>
              <w:rPr>
                <w:sz w:val="20"/>
                <w:szCs w:val="20"/>
                <w:color w:val="auto"/>
              </w:rPr>
            </w:pPr>
            <w:r>
              <w:rPr>
                <w:rFonts w:ascii="Arial" w:cs="Arial" w:eastAsia="Arial" w:hAnsi="Arial"/>
                <w:sz w:val="14"/>
                <w:szCs w:val="14"/>
                <w:b w:val="1"/>
                <w:bCs w:val="1"/>
                <w:color w:val="144F82"/>
              </w:rPr>
              <w:t>Provisions for credit losses reported in consolidated</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23,286</w:t>
            </w:r>
          </w:p>
        </w:tc>
        <w:tc>
          <w:tcPr>
            <w:tcW w:w="3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12,041</w:t>
            </w:r>
          </w:p>
        </w:tc>
        <w:tc>
          <w:tcPr>
            <w:tcW w:w="0" w:type="dxa"/>
            <w:vAlign w:val="bottom"/>
          </w:tcPr>
          <w:p>
            <w:pPr>
              <w:spacing w:after="0"/>
              <w:rPr>
                <w:sz w:val="1"/>
                <w:szCs w:val="1"/>
                <w:color w:val="auto"/>
              </w:rPr>
            </w:pPr>
          </w:p>
        </w:tc>
      </w:tr>
      <w:tr>
        <w:trPr>
          <w:trHeight w:val="163"/>
        </w:trPr>
        <w:tc>
          <w:tcPr>
            <w:tcW w:w="3820" w:type="dxa"/>
            <w:vAlign w:val="bottom"/>
          </w:tcPr>
          <w:p>
            <w:pPr>
              <w:spacing w:after="0" w:line="158" w:lineRule="exact"/>
              <w:rPr>
                <w:sz w:val="20"/>
                <w:szCs w:val="20"/>
                <w:color w:val="auto"/>
              </w:rPr>
            </w:pPr>
            <w:r>
              <w:rPr>
                <w:rFonts w:ascii="Arial" w:cs="Arial" w:eastAsia="Arial" w:hAnsi="Arial"/>
                <w:sz w:val="14"/>
                <w:szCs w:val="14"/>
                <w:b w:val="1"/>
                <w:bCs w:val="1"/>
                <w:color w:val="144F82"/>
              </w:rPr>
              <w:t>statements of income</w:t>
            </w:r>
          </w:p>
        </w:tc>
        <w:tc>
          <w:tcPr>
            <w:tcW w:w="2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 for credit losses for the three months ended March 31, 2025 increased by $11 million compared with the year-ago period.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2025, the provision for credit losses was primarily affected by new loan commitments, net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expired commitments, and changes in economic outlook, offset by $116 million in negative provisions recorded as a result of the $2.00 billion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Private Education Loan sale during the first three months of 2025, and adjustments to the weightings of our economic forecast scenarios.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year-ago period, the provision for credit losses was primarily affected by $133 million in negative provisions recorded as a result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$2.10 billion Private Education Loan sale during the first three months of 2024, an improved economic outlook, and changes in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overlays and recovery rates, offset by new loan commitments, net of expired commitments, and increases to the provision as a result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decreases in our estimates of the historical long-term average prepayment speeds used after the two-year reasonable and supportable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99"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allowance for credit losses incorporates an estimate of lifetime expected credit losses and is recorded on each asset upon asset origination or acquisition. The starting point for the estimate of the allowance for credit losses is historical information, which includes losses from modifications of receivables whose borrowers are experiencing financial difficulty. We use a discounted cash flow model to determine the allowance for credit losses. An assessment of whether a borrower is experiencing financial difficulty is made as of the date of a modification.</w:t>
      </w:r>
    </w:p>
    <w:p>
      <w:pPr>
        <w:spacing w:after="0" w:line="71" w:lineRule="exact"/>
        <w:rPr>
          <w:sz w:val="20"/>
          <w:szCs w:val="20"/>
          <w:color w:val="auto"/>
        </w:rPr>
      </w:pPr>
    </w:p>
    <w:p>
      <w:pPr>
        <w:ind w:right="380" w:firstLine="445"/>
        <w:spacing w:after="0" w:line="268" w:lineRule="auto"/>
        <w:rPr>
          <w:sz w:val="20"/>
          <w:szCs w:val="20"/>
          <w:color w:val="auto"/>
        </w:rPr>
      </w:pPr>
      <w:r>
        <w:rPr>
          <w:rFonts w:ascii="Arial" w:cs="Arial" w:eastAsia="Arial" w:hAnsi="Arial"/>
          <w:sz w:val="18"/>
          <w:szCs w:val="18"/>
          <w:color w:val="auto"/>
        </w:rPr>
        <w:t>The effect of most modifications of loans made to borrowers who are experiencing financial difficulty is already included in the allowance for credit losses because of the measurement methodologies used to estimate the allowance. The forecast of expected future cash flows is updated as the loan modifications occur.</w:t>
      </w:r>
    </w:p>
    <w:p>
      <w:pPr>
        <w:spacing w:after="0" w:line="63"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As part of concluding on the adequacy of the allowance for credit losses, we review key allowance and loan metrics. The most significant of the metrics considered are the allowance coverage of net charge-offs ratio; the allowance as a percentage of ending total loans plus unfunded loan commitments and total accrued interest receivable (which we refer to as the “Total Allowance Percentage of Private Education Loan Exposure”); and delinquency and forbearance percentages.</w:t>
      </w:r>
    </w:p>
    <w:p>
      <w:pPr>
        <w:spacing w:after="0" w:line="55" w:lineRule="exact"/>
        <w:rPr>
          <w:sz w:val="20"/>
          <w:szCs w:val="20"/>
          <w:color w:val="auto"/>
        </w:rPr>
      </w:pPr>
    </w:p>
    <w:p>
      <w:pPr>
        <w:ind w:firstLine="445"/>
        <w:spacing w:after="0" w:line="245" w:lineRule="auto"/>
        <w:rPr>
          <w:sz w:val="20"/>
          <w:szCs w:val="20"/>
          <w:color w:val="auto"/>
        </w:rPr>
      </w:pPr>
      <w:r>
        <w:rPr>
          <w:rFonts w:ascii="Arial" w:cs="Arial" w:eastAsia="Arial" w:hAnsi="Arial"/>
          <w:sz w:val="18"/>
          <w:szCs w:val="18"/>
          <w:color w:val="auto"/>
        </w:rPr>
        <w:t>Within the Private Education Loan portfolio, we deem loans greater than 90 days past due as nonperforming. With respect to periods prior to the sale of our remaining FFELP Loan portfolio in the fourth quarter of 2024, FFELP Loans were at least 97 percent guaranteed as to</w:t>
      </w:r>
    </w:p>
    <w:p>
      <w:pPr>
        <w:ind w:right="200"/>
        <w:spacing w:after="0" w:line="226" w:lineRule="auto"/>
        <w:rPr>
          <w:sz w:val="20"/>
          <w:szCs w:val="20"/>
          <w:color w:val="auto"/>
        </w:rPr>
      </w:pPr>
      <w:r>
        <w:rPr>
          <w:rFonts w:ascii="Arial" w:cs="Arial" w:eastAsia="Arial" w:hAnsi="Arial"/>
          <w:sz w:val="18"/>
          <w:szCs w:val="18"/>
          <w:color w:val="auto"/>
        </w:rPr>
        <w:t>their principal and accrued interest by the federal government in the event of default and, therefore, we did not deem FFELP Loans as nonperforming from a credit risk perspective at any point in their life cycle prior to claim payment and continued to accrue interest on those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loans through the date of claim.</w:t>
      </w:r>
    </w:p>
    <w:p>
      <w:pPr>
        <w:spacing w:after="0" w:line="99"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For additional information, see Note 1, “Significant Accounting Policies — Allowance for Credit Losses” in this Form 10-Q and Note 6, “Allowance for Credit Losses and Unfunded Loan Commitments” in our 2024 Form 10-K.</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Forbearance</w:t>
      </w:r>
    </w:p>
    <w:p>
      <w:pPr>
        <w:spacing w:after="0" w:line="115"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Under our current forbearance practices, temporary forbearance of payments is generally granted in one-to-two month increments, for up to 12 months over the life of the loan, with 12 months of positive payment performance by a borrower required between grants (meaning the borrower must make payment in a cumulative amount equivalent to 12 monthly required payments under the loan). During the first six months following a borrower’s grace period, the borrower may be eligible for extended grace forbearance in one six-month increment (which would also count towards the 12-month forbearance cap). Due to our current forbearance practices, including the limitations on forbearances offered to borrowers,</w:t>
      </w:r>
    </w:p>
    <w:p>
      <w:pPr>
        <w:sectPr>
          <w:pgSz w:w="11900" w:h="16838" w:orient="portrait"/>
          <w:cols w:equalWidth="0" w:num="1">
            <w:col w:w="11200"/>
          </w:cols>
          <w:pgMar w:left="320" w:top="62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134F82"/>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0" w:right="379" w:bottom="1440" w:gutter="0" w:footer="0" w:header="0"/>
          <w:type w:val="continuous"/>
        </w:sectPr>
      </w:pPr>
    </w:p>
    <w:bookmarkStart w:id="20" w:name="page21"/>
    <w:bookmarkEnd w:id="20"/>
    <w:p>
      <w:pPr>
        <w:ind w:left="380" w:hanging="334"/>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200" w:lineRule="exact"/>
        <w:rPr>
          <w:sz w:val="20"/>
          <w:szCs w:val="20"/>
          <w:color w:val="auto"/>
        </w:rPr>
      </w:pPr>
    </w:p>
    <w:p>
      <w:pPr>
        <w:spacing w:after="0" w:line="28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do not believe the granting of forbearances will exceed the significance threshold under our accounting policy and, therefore, we do not consider the forbearances as loan modifications for the purposes of the tables below.</w:t>
      </w:r>
    </w:p>
    <w:p>
      <w:pPr>
        <w:spacing w:after="0" w:line="45"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For additional information on our forbearance and modification programs, see Note 5, “Loans Held for Investment —Certain Collection Tools — Private Education Loans” in our 2024 Form 10-K. The tables below provide information about modifications to borrowers experiencing financial difficulty.</w:t>
      </w:r>
    </w:p>
    <w:p>
      <w:pPr>
        <w:spacing w:after="0" w:line="63"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offer certain administrative forbearances (e.g., death and disability, bankruptcy, military service, disaster forbearance, and in school assistance) that are required by law (such as by the Servicemembers Civil Relief Act), are considered separate from our active loss mitigation programs, or do not exceed the significance threshold and therefore are not considered to be loan modifications requiring disclosure. In addition, we may offer on a limited basis term extensions or rate reductions or a combination of both to borrowers to reduce consolidation activities. We do not consider them modifications of loans to borrowers experiencing financial difficulty and they therefore are not included in the tables below.</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Loan Modifications to Borrowers Experiencing Financial Difficulty</w:t>
      </w:r>
    </w:p>
    <w:p>
      <w:pPr>
        <w:spacing w:after="0" w:line="11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following tables show the amortized cost basis at the end of the respective reporting periods of the loans to borrowers experiencing financial difficulty that were modified during the period, disaggregated by class of financing receivable and type of modification. When we approve a Private Education Loan at the beginning of an academic year, we do not always disburse the full amount of the loan at the time of approval, but instead have a commitment to fund a portion of the loan at a later date (usually at the start of the second semester or subsequent trimesters). We consider borrowers to be in financial difficulty after they have exited school and have difficulty making their scheduled principal and interest payments.</w:t>
      </w:r>
    </w:p>
    <w:p>
      <w:pPr>
        <w:spacing w:after="0" w:line="100" w:lineRule="exact"/>
        <w:rPr>
          <w:sz w:val="20"/>
          <w:szCs w:val="20"/>
          <w:color w:val="auto"/>
        </w:rPr>
      </w:pPr>
    </w:p>
    <w:tbl>
      <w:tblPr>
        <w:tblLayout w:type="fixed"/>
        <w:tblInd w:w="1160" w:type="dxa"/>
        <w:tblCellMar>
          <w:top w:w="0" w:type="dxa"/>
          <w:left w:w="0" w:type="dxa"/>
          <w:bottom w:w="0" w:type="dxa"/>
          <w:right w:w="0" w:type="dxa"/>
        </w:tblCellMar>
      </w:tblPr>
      <w:tr>
        <w:trPr>
          <w:trHeight w:val="215"/>
        </w:trPr>
        <w:tc>
          <w:tcPr>
            <w:tcW w:w="30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20" w:type="dxa"/>
            <w:vAlign w:val="bottom"/>
            <w:tcBorders>
              <w:top w:val="single" w:sz="8" w:color="auto"/>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144F82"/>
              </w:rPr>
              <w:t>Loan Modifications Made to Borrowers Experiencing Financial Difficulty</w:t>
            </w:r>
          </w:p>
        </w:tc>
        <w:tc>
          <w:tcPr>
            <w:tcW w:w="0" w:type="dxa"/>
            <w:vAlign w:val="bottom"/>
          </w:tcPr>
          <w:p>
            <w:pPr>
              <w:spacing w:after="0"/>
              <w:rPr>
                <w:sz w:val="1"/>
                <w:szCs w:val="1"/>
                <w:color w:val="auto"/>
              </w:rPr>
            </w:pPr>
          </w:p>
        </w:tc>
      </w:tr>
      <w:tr>
        <w:trPr>
          <w:trHeight w:val="143"/>
        </w:trPr>
        <w:tc>
          <w:tcPr>
            <w:tcW w:w="3040" w:type="dxa"/>
            <w:vAlign w:val="bottom"/>
          </w:tcPr>
          <w:p>
            <w:pPr>
              <w:ind w:left="20"/>
              <w:spacing w:after="0" w:line="143" w:lineRule="exact"/>
              <w:rPr>
                <w:sz w:val="20"/>
                <w:szCs w:val="20"/>
                <w:color w:val="auto"/>
              </w:rPr>
            </w:pPr>
            <w:r>
              <w:rPr>
                <w:rFonts w:ascii="Arial" w:cs="Arial" w:eastAsia="Arial" w:hAnsi="Arial"/>
                <w:sz w:val="13"/>
                <w:szCs w:val="13"/>
                <w:b w:val="1"/>
                <w:bCs w:val="1"/>
                <w:color w:val="144F82"/>
              </w:rPr>
              <w:t>Three Months Ended March 31, 2025</w:t>
            </w:r>
          </w:p>
        </w:tc>
        <w:tc>
          <w:tcPr>
            <w:tcW w:w="120" w:type="dxa"/>
            <w:vAlign w:val="bottom"/>
          </w:tcPr>
          <w:p>
            <w:pPr>
              <w:spacing w:after="0"/>
              <w:rPr>
                <w:sz w:val="12"/>
                <w:szCs w:val="12"/>
                <w:color w:val="auto"/>
              </w:rPr>
            </w:pPr>
          </w:p>
        </w:tc>
        <w:tc>
          <w:tcPr>
            <w:tcW w:w="30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144F82"/>
              </w:rPr>
              <w:t>Interest Rate Reduction</w:t>
            </w:r>
          </w:p>
        </w:tc>
        <w:tc>
          <w:tcPr>
            <w:tcW w:w="318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144F82"/>
              </w:rPr>
              <w:t>Combination - Interest Rate Reduction and</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2"/>
          </w:tcPr>
          <w:p>
            <w:pPr>
              <w:jc w:val="center"/>
              <w:ind w:right="64"/>
              <w:spacing w:after="0"/>
              <w:rPr>
                <w:sz w:val="20"/>
                <w:szCs w:val="20"/>
                <w:color w:val="auto"/>
              </w:rPr>
            </w:pPr>
            <w:r>
              <w:rPr>
                <w:rFonts w:ascii="Arial" w:cs="Arial" w:eastAsia="Arial" w:hAnsi="Arial"/>
                <w:sz w:val="14"/>
                <w:szCs w:val="14"/>
                <w:b w:val="1"/>
                <w:bCs w:val="1"/>
                <w:color w:val="144F82"/>
              </w:rPr>
              <w:t>Term Extension</w:t>
            </w:r>
          </w:p>
        </w:tc>
        <w:tc>
          <w:tcPr>
            <w:tcW w:w="0" w:type="dxa"/>
            <w:vAlign w:val="bottom"/>
          </w:tcPr>
          <w:p>
            <w:pPr>
              <w:spacing w:after="0"/>
              <w:rPr>
                <w:sz w:val="1"/>
                <w:szCs w:val="1"/>
                <w:color w:val="auto"/>
              </w:rPr>
            </w:pPr>
          </w:p>
        </w:tc>
      </w:tr>
      <w:tr>
        <w:trPr>
          <w:trHeight w:val="146"/>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144F82"/>
              </w:rPr>
              <w:t>Loan Type:</w:t>
            </w:r>
          </w:p>
        </w:tc>
        <w:tc>
          <w:tcPr>
            <w:tcW w:w="120" w:type="dxa"/>
            <w:vAlign w:val="bottom"/>
          </w:tcPr>
          <w:p>
            <w:pPr>
              <w:spacing w:after="0"/>
              <w:rPr>
                <w:sz w:val="12"/>
                <w:szCs w:val="12"/>
                <w:color w:val="auto"/>
              </w:rPr>
            </w:pPr>
          </w:p>
        </w:tc>
        <w:tc>
          <w:tcPr>
            <w:tcW w:w="1340" w:type="dxa"/>
            <w:vAlign w:val="bottom"/>
          </w:tcPr>
          <w:p>
            <w:pPr>
              <w:jc w:val="center"/>
              <w:ind w:right="125"/>
              <w:spacing w:after="0" w:line="147" w:lineRule="exact"/>
              <w:rPr>
                <w:sz w:val="20"/>
                <w:szCs w:val="20"/>
                <w:color w:val="auto"/>
              </w:rPr>
            </w:pPr>
            <w:r>
              <w:rPr>
                <w:rFonts w:ascii="Arial" w:cs="Arial" w:eastAsia="Arial" w:hAnsi="Arial"/>
                <w:sz w:val="14"/>
                <w:szCs w:val="14"/>
                <w:b w:val="1"/>
                <w:bCs w:val="1"/>
                <w:color w:val="144F82"/>
              </w:rPr>
              <w:t>Amortized Cost</w:t>
            </w:r>
          </w:p>
        </w:tc>
        <w:tc>
          <w:tcPr>
            <w:tcW w:w="1700" w:type="dxa"/>
            <w:vAlign w:val="bottom"/>
          </w:tcPr>
          <w:p>
            <w:pPr>
              <w:jc w:val="right"/>
              <w:ind w:right="144"/>
              <w:spacing w:after="0" w:line="147" w:lineRule="exact"/>
              <w:rPr>
                <w:sz w:val="20"/>
                <w:szCs w:val="20"/>
                <w:color w:val="auto"/>
              </w:rPr>
            </w:pPr>
            <w:r>
              <w:rPr>
                <w:rFonts w:ascii="Arial" w:cs="Arial" w:eastAsia="Arial" w:hAnsi="Arial"/>
                <w:sz w:val="14"/>
                <w:szCs w:val="14"/>
                <w:b w:val="1"/>
                <w:bCs w:val="1"/>
                <w:color w:val="144F82"/>
              </w:rPr>
              <w:t>% of Total Class of</w:t>
            </w:r>
          </w:p>
        </w:tc>
        <w:tc>
          <w:tcPr>
            <w:tcW w:w="220" w:type="dxa"/>
            <w:vAlign w:val="bottom"/>
          </w:tcPr>
          <w:p>
            <w:pPr>
              <w:spacing w:after="0"/>
              <w:rPr>
                <w:sz w:val="12"/>
                <w:szCs w:val="12"/>
                <w:color w:val="auto"/>
              </w:rPr>
            </w:pPr>
          </w:p>
        </w:tc>
        <w:tc>
          <w:tcPr>
            <w:tcW w:w="1320" w:type="dxa"/>
            <w:vAlign w:val="bottom"/>
          </w:tcPr>
          <w:p>
            <w:pPr>
              <w:jc w:val="center"/>
              <w:ind w:right="104"/>
              <w:spacing w:after="0" w:line="147" w:lineRule="exact"/>
              <w:rPr>
                <w:sz w:val="20"/>
                <w:szCs w:val="20"/>
                <w:color w:val="auto"/>
              </w:rPr>
            </w:pPr>
            <w:r>
              <w:rPr>
                <w:rFonts w:ascii="Arial" w:cs="Arial" w:eastAsia="Arial" w:hAnsi="Arial"/>
                <w:sz w:val="14"/>
                <w:szCs w:val="14"/>
                <w:b w:val="1"/>
                <w:bCs w:val="1"/>
                <w:color w:val="144F82"/>
              </w:rPr>
              <w:t>Amortized Cost</w:t>
            </w:r>
          </w:p>
        </w:tc>
        <w:tc>
          <w:tcPr>
            <w:tcW w:w="1640" w:type="dxa"/>
            <w:vAlign w:val="bottom"/>
          </w:tcPr>
          <w:p>
            <w:pPr>
              <w:jc w:val="center"/>
              <w:ind w:left="24"/>
              <w:spacing w:after="0" w:line="147" w:lineRule="exact"/>
              <w:rPr>
                <w:sz w:val="20"/>
                <w:szCs w:val="20"/>
                <w:color w:val="auto"/>
              </w:rPr>
            </w:pPr>
            <w:r>
              <w:rPr>
                <w:rFonts w:ascii="Arial" w:cs="Arial" w:eastAsia="Arial" w:hAnsi="Arial"/>
                <w:sz w:val="14"/>
                <w:szCs w:val="14"/>
                <w:b w:val="1"/>
                <w:bCs w:val="1"/>
                <w:color w:val="144F82"/>
              </w:rPr>
              <w:t>% of Total Class of</w:t>
            </w:r>
          </w:p>
        </w:tc>
        <w:tc>
          <w:tcPr>
            <w:tcW w:w="0" w:type="dxa"/>
            <w:vAlign w:val="bottom"/>
          </w:tcPr>
          <w:p>
            <w:pPr>
              <w:spacing w:after="0"/>
              <w:rPr>
                <w:sz w:val="1"/>
                <w:szCs w:val="1"/>
                <w:color w:val="auto"/>
              </w:rPr>
            </w:pPr>
          </w:p>
        </w:tc>
      </w:tr>
      <w:tr>
        <w:trPr>
          <w:trHeight w:val="185"/>
        </w:trPr>
        <w:tc>
          <w:tcPr>
            <w:tcW w:w="3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144F82"/>
              </w:rPr>
              <w:t>Basis</w:t>
            </w:r>
          </w:p>
        </w:tc>
        <w:tc>
          <w:tcPr>
            <w:tcW w:w="17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144F82"/>
              </w:rPr>
              <w:t>Financing Receivable</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144F82"/>
              </w:rPr>
              <w:t>Basis</w:t>
            </w:r>
          </w:p>
        </w:tc>
        <w:tc>
          <w:tcPr>
            <w:tcW w:w="164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144F82"/>
              </w:rPr>
              <w:t>Financing Receivable</w:t>
            </w:r>
          </w:p>
        </w:tc>
        <w:tc>
          <w:tcPr>
            <w:tcW w:w="0" w:type="dxa"/>
            <w:vAlign w:val="bottom"/>
          </w:tcPr>
          <w:p>
            <w:pPr>
              <w:spacing w:after="0"/>
              <w:rPr>
                <w:sz w:val="1"/>
                <w:szCs w:val="1"/>
                <w:color w:val="auto"/>
              </w:rPr>
            </w:pPr>
          </w:p>
        </w:tc>
      </w:tr>
      <w:tr>
        <w:trPr>
          <w:trHeight w:val="209"/>
        </w:trPr>
        <w:tc>
          <w:tcPr>
            <w:tcW w:w="3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Private Education Loans</w:t>
            </w: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DEDEE"/>
          </w:tcPr>
          <w:p>
            <w:pPr>
              <w:jc w:val="right"/>
              <w:ind w:right="45"/>
              <w:spacing w:after="0"/>
              <w:rPr>
                <w:sz w:val="20"/>
                <w:szCs w:val="20"/>
                <w:color w:val="auto"/>
              </w:rPr>
            </w:pPr>
            <w:r>
              <w:rPr>
                <w:rFonts w:ascii="Arial" w:cs="Arial" w:eastAsia="Arial" w:hAnsi="Arial"/>
                <w:sz w:val="16"/>
                <w:szCs w:val="16"/>
                <w:color w:val="auto"/>
              </w:rPr>
              <w:t>6,768</w:t>
            </w:r>
          </w:p>
        </w:tc>
        <w:tc>
          <w:tcPr>
            <w:tcW w:w="1700" w:type="dxa"/>
            <w:vAlign w:val="bottom"/>
            <w:tcBorders>
              <w:bottom w:val="single" w:sz="8" w:color="auto"/>
            </w:tcBorders>
            <w:shd w:val="clear" w:color="auto" w:fill="EDEDEE"/>
          </w:tcPr>
          <w:p>
            <w:pPr>
              <w:jc w:val="right"/>
              <w:ind w:right="44"/>
              <w:spacing w:after="0"/>
              <w:rPr>
                <w:sz w:val="20"/>
                <w:szCs w:val="20"/>
                <w:color w:val="auto"/>
              </w:rPr>
            </w:pPr>
            <w:r>
              <w:rPr>
                <w:rFonts w:ascii="Arial" w:cs="Arial" w:eastAsia="Arial" w:hAnsi="Arial"/>
                <w:sz w:val="16"/>
                <w:szCs w:val="16"/>
                <w:color w:val="auto"/>
              </w:rPr>
              <w:t>0.03 %</w:t>
            </w:r>
          </w:p>
        </w:tc>
        <w:tc>
          <w:tcPr>
            <w:tcW w:w="2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DEDEE"/>
          </w:tcPr>
          <w:p>
            <w:pPr>
              <w:jc w:val="right"/>
              <w:ind w:right="44"/>
              <w:spacing w:after="0"/>
              <w:rPr>
                <w:sz w:val="20"/>
                <w:szCs w:val="20"/>
                <w:color w:val="auto"/>
              </w:rPr>
            </w:pPr>
            <w:r>
              <w:rPr>
                <w:rFonts w:ascii="Arial" w:cs="Arial" w:eastAsia="Arial" w:hAnsi="Arial"/>
                <w:sz w:val="16"/>
                <w:szCs w:val="16"/>
                <w:color w:val="auto"/>
              </w:rPr>
              <w:t>138,507</w:t>
            </w:r>
          </w:p>
        </w:tc>
        <w:tc>
          <w:tcPr>
            <w:tcW w:w="16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0.57 %</w:t>
            </w: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6,768</w:t>
            </w:r>
          </w:p>
        </w:tc>
        <w:tc>
          <w:tcPr>
            <w:tcW w:w="17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0.03 %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138,507</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144F82"/>
              </w:rPr>
              <w:t>Loan Modifications Made to Borrowers Experiencing Financial Difficulty</w:t>
            </w:r>
          </w:p>
        </w:tc>
        <w:tc>
          <w:tcPr>
            <w:tcW w:w="0" w:type="dxa"/>
            <w:vAlign w:val="bottom"/>
          </w:tcPr>
          <w:p>
            <w:pPr>
              <w:spacing w:after="0"/>
              <w:rPr>
                <w:sz w:val="1"/>
                <w:szCs w:val="1"/>
                <w:color w:val="auto"/>
              </w:rPr>
            </w:pPr>
          </w:p>
        </w:tc>
      </w:tr>
      <w:tr>
        <w:trPr>
          <w:trHeight w:val="143"/>
        </w:trPr>
        <w:tc>
          <w:tcPr>
            <w:tcW w:w="3040" w:type="dxa"/>
            <w:vAlign w:val="bottom"/>
          </w:tcPr>
          <w:p>
            <w:pPr>
              <w:ind w:left="20"/>
              <w:spacing w:after="0" w:line="143" w:lineRule="exact"/>
              <w:rPr>
                <w:sz w:val="20"/>
                <w:szCs w:val="20"/>
                <w:color w:val="auto"/>
              </w:rPr>
            </w:pPr>
            <w:r>
              <w:rPr>
                <w:rFonts w:ascii="Arial" w:cs="Arial" w:eastAsia="Arial" w:hAnsi="Arial"/>
                <w:sz w:val="13"/>
                <w:szCs w:val="13"/>
                <w:b w:val="1"/>
                <w:bCs w:val="1"/>
                <w:color w:val="144F82"/>
              </w:rPr>
              <w:t>Three Months Ended March 31, 2024</w:t>
            </w:r>
          </w:p>
        </w:tc>
        <w:tc>
          <w:tcPr>
            <w:tcW w:w="120" w:type="dxa"/>
            <w:vAlign w:val="bottom"/>
          </w:tcPr>
          <w:p>
            <w:pPr>
              <w:spacing w:after="0"/>
              <w:rPr>
                <w:sz w:val="12"/>
                <w:szCs w:val="12"/>
                <w:color w:val="auto"/>
              </w:rPr>
            </w:pPr>
          </w:p>
        </w:tc>
        <w:tc>
          <w:tcPr>
            <w:tcW w:w="30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144F82"/>
              </w:rPr>
              <w:t>Interest Rate Reduction</w:t>
            </w:r>
          </w:p>
        </w:tc>
        <w:tc>
          <w:tcPr>
            <w:tcW w:w="318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144F82"/>
              </w:rPr>
              <w:t>Combination - Interest Rate Reduction and</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2"/>
          </w:tcPr>
          <w:p>
            <w:pPr>
              <w:jc w:val="center"/>
              <w:ind w:right="64"/>
              <w:spacing w:after="0"/>
              <w:rPr>
                <w:sz w:val="20"/>
                <w:szCs w:val="20"/>
                <w:color w:val="auto"/>
              </w:rPr>
            </w:pPr>
            <w:r>
              <w:rPr>
                <w:rFonts w:ascii="Arial" w:cs="Arial" w:eastAsia="Arial" w:hAnsi="Arial"/>
                <w:sz w:val="14"/>
                <w:szCs w:val="14"/>
                <w:b w:val="1"/>
                <w:bCs w:val="1"/>
                <w:color w:val="144F82"/>
              </w:rPr>
              <w:t>Term Extension</w:t>
            </w:r>
          </w:p>
        </w:tc>
        <w:tc>
          <w:tcPr>
            <w:tcW w:w="0" w:type="dxa"/>
            <w:vAlign w:val="bottom"/>
          </w:tcPr>
          <w:p>
            <w:pPr>
              <w:spacing w:after="0"/>
              <w:rPr>
                <w:sz w:val="1"/>
                <w:szCs w:val="1"/>
                <w:color w:val="auto"/>
              </w:rPr>
            </w:pPr>
          </w:p>
        </w:tc>
      </w:tr>
      <w:tr>
        <w:trPr>
          <w:trHeight w:val="142"/>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144F82"/>
              </w:rPr>
              <w:t>Loan Type:</w:t>
            </w:r>
          </w:p>
        </w:tc>
        <w:tc>
          <w:tcPr>
            <w:tcW w:w="120" w:type="dxa"/>
            <w:vAlign w:val="bottom"/>
          </w:tcPr>
          <w:p>
            <w:pPr>
              <w:spacing w:after="0"/>
              <w:rPr>
                <w:sz w:val="12"/>
                <w:szCs w:val="12"/>
                <w:color w:val="auto"/>
              </w:rPr>
            </w:pPr>
          </w:p>
        </w:tc>
        <w:tc>
          <w:tcPr>
            <w:tcW w:w="1340" w:type="dxa"/>
            <w:vAlign w:val="bottom"/>
          </w:tcPr>
          <w:p>
            <w:pPr>
              <w:jc w:val="center"/>
              <w:ind w:right="125"/>
              <w:spacing w:after="0" w:line="142" w:lineRule="exact"/>
              <w:rPr>
                <w:sz w:val="20"/>
                <w:szCs w:val="20"/>
                <w:color w:val="auto"/>
              </w:rPr>
            </w:pPr>
            <w:r>
              <w:rPr>
                <w:rFonts w:ascii="Arial" w:cs="Arial" w:eastAsia="Arial" w:hAnsi="Arial"/>
                <w:sz w:val="14"/>
                <w:szCs w:val="14"/>
                <w:b w:val="1"/>
                <w:bCs w:val="1"/>
                <w:color w:val="144F82"/>
              </w:rPr>
              <w:t>Amortized Cost</w:t>
            </w:r>
          </w:p>
        </w:tc>
        <w:tc>
          <w:tcPr>
            <w:tcW w:w="1700" w:type="dxa"/>
            <w:vAlign w:val="bottom"/>
          </w:tcPr>
          <w:p>
            <w:pPr>
              <w:jc w:val="right"/>
              <w:ind w:right="144"/>
              <w:spacing w:after="0" w:line="142" w:lineRule="exact"/>
              <w:rPr>
                <w:sz w:val="20"/>
                <w:szCs w:val="20"/>
                <w:color w:val="auto"/>
              </w:rPr>
            </w:pPr>
            <w:r>
              <w:rPr>
                <w:rFonts w:ascii="Arial" w:cs="Arial" w:eastAsia="Arial" w:hAnsi="Arial"/>
                <w:sz w:val="14"/>
                <w:szCs w:val="14"/>
                <w:b w:val="1"/>
                <w:bCs w:val="1"/>
                <w:color w:val="144F82"/>
              </w:rPr>
              <w:t>% of Total Class of</w:t>
            </w:r>
          </w:p>
        </w:tc>
        <w:tc>
          <w:tcPr>
            <w:tcW w:w="220" w:type="dxa"/>
            <w:vAlign w:val="bottom"/>
          </w:tcPr>
          <w:p>
            <w:pPr>
              <w:spacing w:after="0"/>
              <w:rPr>
                <w:sz w:val="12"/>
                <w:szCs w:val="12"/>
                <w:color w:val="auto"/>
              </w:rPr>
            </w:pPr>
          </w:p>
        </w:tc>
        <w:tc>
          <w:tcPr>
            <w:tcW w:w="1320" w:type="dxa"/>
            <w:vAlign w:val="bottom"/>
          </w:tcPr>
          <w:p>
            <w:pPr>
              <w:jc w:val="center"/>
              <w:ind w:right="104"/>
              <w:spacing w:after="0" w:line="142" w:lineRule="exact"/>
              <w:rPr>
                <w:sz w:val="20"/>
                <w:szCs w:val="20"/>
                <w:color w:val="auto"/>
              </w:rPr>
            </w:pPr>
            <w:r>
              <w:rPr>
                <w:rFonts w:ascii="Arial" w:cs="Arial" w:eastAsia="Arial" w:hAnsi="Arial"/>
                <w:sz w:val="14"/>
                <w:szCs w:val="14"/>
                <w:b w:val="1"/>
                <w:bCs w:val="1"/>
                <w:color w:val="144F82"/>
              </w:rPr>
              <w:t>Amortized Cost</w:t>
            </w:r>
          </w:p>
        </w:tc>
        <w:tc>
          <w:tcPr>
            <w:tcW w:w="1640" w:type="dxa"/>
            <w:vAlign w:val="bottom"/>
          </w:tcPr>
          <w:p>
            <w:pPr>
              <w:jc w:val="center"/>
              <w:ind w:left="24"/>
              <w:spacing w:after="0" w:line="142" w:lineRule="exact"/>
              <w:rPr>
                <w:sz w:val="20"/>
                <w:szCs w:val="20"/>
                <w:color w:val="auto"/>
              </w:rPr>
            </w:pPr>
            <w:r>
              <w:rPr>
                <w:rFonts w:ascii="Arial" w:cs="Arial" w:eastAsia="Arial" w:hAnsi="Arial"/>
                <w:sz w:val="14"/>
                <w:szCs w:val="14"/>
                <w:b w:val="1"/>
                <w:bCs w:val="1"/>
                <w:color w:val="144F82"/>
              </w:rPr>
              <w:t>% of Total Class of</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144F82"/>
              </w:rPr>
              <w:t>Basis</w:t>
            </w:r>
          </w:p>
        </w:tc>
        <w:tc>
          <w:tcPr>
            <w:tcW w:w="17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144F82"/>
              </w:rPr>
              <w:t>Financing Receivable</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144F82"/>
              </w:rPr>
              <w:t>Basis</w:t>
            </w:r>
          </w:p>
        </w:tc>
        <w:tc>
          <w:tcPr>
            <w:tcW w:w="164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144F82"/>
              </w:rPr>
              <w:t>Financing Receivable</w:t>
            </w:r>
          </w:p>
        </w:tc>
        <w:tc>
          <w:tcPr>
            <w:tcW w:w="0" w:type="dxa"/>
            <w:vAlign w:val="bottom"/>
          </w:tcPr>
          <w:p>
            <w:pPr>
              <w:spacing w:after="0"/>
              <w:rPr>
                <w:sz w:val="1"/>
                <w:szCs w:val="1"/>
                <w:color w:val="auto"/>
              </w:rPr>
            </w:pPr>
          </w:p>
        </w:tc>
      </w:tr>
      <w:tr>
        <w:trPr>
          <w:trHeight w:val="209"/>
        </w:trPr>
        <w:tc>
          <w:tcPr>
            <w:tcW w:w="3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Private Education Loans</w:t>
            </w: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DEDEE"/>
          </w:tcPr>
          <w:p>
            <w:pPr>
              <w:jc w:val="right"/>
              <w:ind w:right="45"/>
              <w:spacing w:after="0"/>
              <w:rPr>
                <w:sz w:val="20"/>
                <w:szCs w:val="20"/>
                <w:color w:val="auto"/>
              </w:rPr>
            </w:pPr>
            <w:r>
              <w:rPr>
                <w:rFonts w:ascii="Arial" w:cs="Arial" w:eastAsia="Arial" w:hAnsi="Arial"/>
                <w:sz w:val="16"/>
                <w:szCs w:val="16"/>
                <w:color w:val="auto"/>
              </w:rPr>
              <w:t>4,991</w:t>
            </w:r>
          </w:p>
        </w:tc>
        <w:tc>
          <w:tcPr>
            <w:tcW w:w="1700" w:type="dxa"/>
            <w:vAlign w:val="bottom"/>
            <w:tcBorders>
              <w:bottom w:val="single" w:sz="8" w:color="auto"/>
            </w:tcBorders>
            <w:shd w:val="clear" w:color="auto" w:fill="EDEDEE"/>
          </w:tcPr>
          <w:p>
            <w:pPr>
              <w:jc w:val="right"/>
              <w:ind w:right="44"/>
              <w:spacing w:after="0"/>
              <w:rPr>
                <w:sz w:val="20"/>
                <w:szCs w:val="20"/>
                <w:color w:val="auto"/>
              </w:rPr>
            </w:pPr>
            <w:r>
              <w:rPr>
                <w:rFonts w:ascii="Arial" w:cs="Arial" w:eastAsia="Arial" w:hAnsi="Arial"/>
                <w:sz w:val="16"/>
                <w:szCs w:val="16"/>
                <w:color w:val="auto"/>
              </w:rPr>
              <w:t>0.02 %</w:t>
            </w:r>
          </w:p>
        </w:tc>
        <w:tc>
          <w:tcPr>
            <w:tcW w:w="2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DEDEE"/>
          </w:tcPr>
          <w:p>
            <w:pPr>
              <w:jc w:val="right"/>
              <w:ind w:right="44"/>
              <w:spacing w:after="0"/>
              <w:rPr>
                <w:sz w:val="20"/>
                <w:szCs w:val="20"/>
                <w:color w:val="auto"/>
              </w:rPr>
            </w:pPr>
            <w:r>
              <w:rPr>
                <w:rFonts w:ascii="Arial" w:cs="Arial" w:eastAsia="Arial" w:hAnsi="Arial"/>
                <w:sz w:val="16"/>
                <w:szCs w:val="16"/>
                <w:color w:val="auto"/>
              </w:rPr>
              <w:t>252,761</w:t>
            </w:r>
          </w:p>
        </w:tc>
        <w:tc>
          <w:tcPr>
            <w:tcW w:w="16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4,991</w:t>
            </w:r>
          </w:p>
        </w:tc>
        <w:tc>
          <w:tcPr>
            <w:tcW w:w="17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0.02 %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252,761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0" w:right="359" w:bottom="1440" w:gutter="0" w:footer="0" w:header="0"/>
        </w:sectPr>
      </w:pPr>
    </w:p>
    <w:bookmarkStart w:id="21" w:name="page22"/>
    <w:bookmarkEnd w:id="21"/>
    <w:p>
      <w:pPr>
        <w:ind w:left="380" w:hanging="334"/>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374" w:lineRule="exact"/>
        <w:rPr>
          <w:sz w:val="20"/>
          <w:szCs w:val="20"/>
          <w:color w:val="auto"/>
        </w:rPr>
      </w:pPr>
    </w:p>
    <w:p>
      <w:pPr>
        <w:ind w:right="440" w:firstLine="445"/>
        <w:spacing w:after="0" w:line="287" w:lineRule="auto"/>
        <w:rPr>
          <w:sz w:val="20"/>
          <w:szCs w:val="20"/>
          <w:color w:val="auto"/>
        </w:rPr>
      </w:pPr>
      <w:r>
        <w:rPr>
          <w:rFonts w:ascii="Arial" w:cs="Arial" w:eastAsia="Arial" w:hAnsi="Arial"/>
          <w:sz w:val="18"/>
          <w:szCs w:val="18"/>
          <w:color w:val="auto"/>
        </w:rPr>
        <w:t>The following tables summarize the financial effect of the modifications made to loans whose borrowers are experiencing financial difficulty: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143510</wp:posOffset>
            </wp:positionV>
            <wp:extent cx="6626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144F82"/>
        </w:rPr>
        <w:t>Three Months Ended March 31,</w:t>
      </w:r>
    </w:p>
    <w:p>
      <w:pPr>
        <w:spacing w:after="0" w:line="3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6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144F82"/>
              </w:rPr>
              <w:t>2025</w:t>
            </w:r>
          </w:p>
        </w:tc>
        <w:tc>
          <w:tcPr>
            <w:tcW w:w="100" w:type="dxa"/>
            <w:vAlign w:val="bottom"/>
            <w:tcBorders>
              <w:top w:val="single" w:sz="8" w:color="auto"/>
            </w:tcBorders>
          </w:tcPr>
          <w:p>
            <w:pPr>
              <w:spacing w:after="0"/>
              <w:rPr>
                <w:sz w:val="18"/>
                <w:szCs w:val="18"/>
                <w:color w:val="auto"/>
              </w:rPr>
            </w:pPr>
          </w:p>
        </w:tc>
        <w:tc>
          <w:tcPr>
            <w:tcW w:w="5180" w:type="dxa"/>
            <w:vAlign w:val="bottom"/>
            <w:tcBorders>
              <w:top w:val="single" w:sz="8" w:color="auto"/>
              <w:bottom w:val="single" w:sz="8" w:color="auto"/>
            </w:tcBorders>
            <w:gridSpan w:val="2"/>
          </w:tcPr>
          <w:p>
            <w:pPr>
              <w:ind w:left="2420"/>
              <w:spacing w:after="0"/>
              <w:rPr>
                <w:sz w:val="20"/>
                <w:szCs w:val="20"/>
                <w:color w:val="auto"/>
              </w:rPr>
            </w:pPr>
            <w:r>
              <w:rPr>
                <w:rFonts w:ascii="Arial" w:cs="Arial" w:eastAsia="Arial" w:hAnsi="Arial"/>
                <w:sz w:val="16"/>
                <w:szCs w:val="16"/>
                <w:b w:val="1"/>
                <w:bCs w:val="1"/>
                <w:color w:val="144F82"/>
              </w:rPr>
              <w:t>2024</w:t>
            </w: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2880" w:type="dxa"/>
            <w:vAlign w:val="bottom"/>
          </w:tcPr>
          <w:p>
            <w:pPr>
              <w:jc w:val="center"/>
              <w:ind w:left="159"/>
              <w:spacing w:after="0" w:line="155" w:lineRule="exact"/>
              <w:rPr>
                <w:sz w:val="20"/>
                <w:szCs w:val="20"/>
                <w:color w:val="auto"/>
              </w:rPr>
            </w:pPr>
            <w:r>
              <w:rPr>
                <w:rFonts w:ascii="Arial" w:cs="Arial" w:eastAsia="Arial" w:hAnsi="Arial"/>
                <w:sz w:val="16"/>
                <w:szCs w:val="16"/>
                <w:b w:val="1"/>
                <w:bCs w:val="1"/>
                <w:color w:val="144F82"/>
              </w:rPr>
              <w:t>Combination -</w:t>
            </w:r>
          </w:p>
        </w:tc>
        <w:tc>
          <w:tcPr>
            <w:tcW w:w="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40" w:type="dxa"/>
            <w:vAlign w:val="bottom"/>
          </w:tcPr>
          <w:p>
            <w:pPr>
              <w:jc w:val="center"/>
              <w:spacing w:after="0" w:line="155" w:lineRule="exact"/>
              <w:rPr>
                <w:sz w:val="20"/>
                <w:szCs w:val="20"/>
                <w:color w:val="auto"/>
              </w:rPr>
            </w:pPr>
            <w:r>
              <w:rPr>
                <w:rFonts w:ascii="Arial" w:cs="Arial" w:eastAsia="Arial" w:hAnsi="Arial"/>
                <w:sz w:val="16"/>
                <w:szCs w:val="16"/>
                <w:b w:val="1"/>
                <w:bCs w:val="1"/>
                <w:color w:val="144F82"/>
              </w:rPr>
              <w:t>Combination -</w:t>
            </w:r>
          </w:p>
        </w:tc>
        <w:tc>
          <w:tcPr>
            <w:tcW w:w="0" w:type="dxa"/>
            <w:vAlign w:val="bottom"/>
          </w:tcPr>
          <w:p>
            <w:pPr>
              <w:spacing w:after="0"/>
              <w:rPr>
                <w:sz w:val="1"/>
                <w:szCs w:val="1"/>
                <w:color w:val="auto"/>
              </w:rPr>
            </w:pPr>
          </w:p>
        </w:tc>
      </w:tr>
      <w:tr>
        <w:trPr>
          <w:trHeight w:val="162"/>
        </w:trPr>
        <w:tc>
          <w:tcPr>
            <w:tcW w:w="2260" w:type="dxa"/>
            <w:vAlign w:val="bottom"/>
            <w:vMerge w:val="restart"/>
          </w:tcPr>
          <w:p>
            <w:pPr>
              <w:ind w:left="320"/>
              <w:spacing w:after="0"/>
              <w:rPr>
                <w:sz w:val="20"/>
                <w:szCs w:val="20"/>
                <w:color w:val="auto"/>
              </w:rPr>
            </w:pPr>
            <w:r>
              <w:rPr>
                <w:rFonts w:ascii="Arial" w:cs="Arial" w:eastAsia="Arial" w:hAnsi="Arial"/>
                <w:sz w:val="16"/>
                <w:szCs w:val="16"/>
                <w:b w:val="1"/>
                <w:bCs w:val="1"/>
                <w:color w:val="144F82"/>
              </w:rPr>
              <w:t>Interest Rate Reduction</w:t>
            </w:r>
          </w:p>
        </w:tc>
        <w:tc>
          <w:tcPr>
            <w:tcW w:w="2980" w:type="dxa"/>
            <w:vAlign w:val="bottom"/>
            <w:gridSpan w:val="2"/>
          </w:tcPr>
          <w:p>
            <w:pPr>
              <w:jc w:val="center"/>
              <w:ind w:left="119"/>
              <w:spacing w:after="0" w:line="162" w:lineRule="exact"/>
              <w:rPr>
                <w:sz w:val="20"/>
                <w:szCs w:val="20"/>
                <w:color w:val="auto"/>
              </w:rPr>
            </w:pPr>
            <w:r>
              <w:rPr>
                <w:rFonts w:ascii="Arial" w:cs="Arial" w:eastAsia="Arial" w:hAnsi="Arial"/>
                <w:sz w:val="16"/>
                <w:szCs w:val="16"/>
                <w:b w:val="1"/>
                <w:bCs w:val="1"/>
                <w:color w:val="144F82"/>
              </w:rPr>
              <w:t>Interest Rate Reduction and</w:t>
            </w:r>
          </w:p>
        </w:tc>
        <w:tc>
          <w:tcPr>
            <w:tcW w:w="2540" w:type="dxa"/>
            <w:vAlign w:val="bottom"/>
            <w:vMerge w:val="restart"/>
          </w:tcPr>
          <w:p>
            <w:pPr>
              <w:ind w:left="340"/>
              <w:spacing w:after="0"/>
              <w:rPr>
                <w:sz w:val="20"/>
                <w:szCs w:val="20"/>
                <w:color w:val="auto"/>
              </w:rPr>
            </w:pPr>
            <w:r>
              <w:rPr>
                <w:rFonts w:ascii="Arial" w:cs="Arial" w:eastAsia="Arial" w:hAnsi="Arial"/>
                <w:sz w:val="16"/>
                <w:szCs w:val="16"/>
                <w:b w:val="1"/>
                <w:bCs w:val="1"/>
                <w:color w:val="144F82"/>
              </w:rPr>
              <w:t>Interest Rate Reduction</w:t>
            </w:r>
          </w:p>
        </w:tc>
        <w:tc>
          <w:tcPr>
            <w:tcW w:w="2640" w:type="dxa"/>
            <w:vAlign w:val="bottom"/>
          </w:tcPr>
          <w:p>
            <w:pPr>
              <w:jc w:val="center"/>
              <w:spacing w:after="0" w:line="162" w:lineRule="exact"/>
              <w:rPr>
                <w:sz w:val="20"/>
                <w:szCs w:val="20"/>
                <w:color w:val="auto"/>
              </w:rPr>
            </w:pPr>
            <w:r>
              <w:rPr>
                <w:rFonts w:ascii="Arial" w:cs="Arial" w:eastAsia="Arial" w:hAnsi="Arial"/>
                <w:sz w:val="16"/>
                <w:szCs w:val="16"/>
                <w:b w:val="1"/>
                <w:bCs w:val="1"/>
                <w:color w:val="144F82"/>
              </w:rPr>
              <w:t>Interest Rate Reduction and</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2980" w:type="dxa"/>
            <w:vAlign w:val="bottom"/>
            <w:gridSpan w:val="2"/>
          </w:tcPr>
          <w:p>
            <w:pPr>
              <w:jc w:val="center"/>
              <w:ind w:left="99"/>
              <w:spacing w:after="0"/>
              <w:rPr>
                <w:sz w:val="20"/>
                <w:szCs w:val="20"/>
                <w:color w:val="auto"/>
              </w:rPr>
            </w:pPr>
            <w:r>
              <w:rPr>
                <w:rFonts w:ascii="Arial" w:cs="Arial" w:eastAsia="Arial" w:hAnsi="Arial"/>
                <w:sz w:val="16"/>
                <w:szCs w:val="16"/>
                <w:b w:val="1"/>
                <w:bCs w:val="1"/>
                <w:color w:val="144F82"/>
                <w:w w:val="99"/>
              </w:rPr>
              <w:t>Term Extension</w:t>
            </w:r>
          </w:p>
        </w:tc>
        <w:tc>
          <w:tcPr>
            <w:tcW w:w="2540" w:type="dxa"/>
            <w:vAlign w:val="bottom"/>
            <w:vMerge w:val="continue"/>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6"/>
                <w:szCs w:val="16"/>
                <w:b w:val="1"/>
                <w:bCs w:val="1"/>
                <w:color w:val="144F82"/>
                <w:w w:val="99"/>
              </w:rPr>
              <w:t>Term Extension</w:t>
            </w:r>
          </w:p>
        </w:tc>
        <w:tc>
          <w:tcPr>
            <w:tcW w:w="0" w:type="dxa"/>
            <w:vAlign w:val="bottom"/>
          </w:tcPr>
          <w:p>
            <w:pPr>
              <w:spacing w:after="0"/>
              <w:rPr>
                <w:sz w:val="1"/>
                <w:szCs w:val="1"/>
                <w:color w:val="auto"/>
              </w:rPr>
            </w:pPr>
          </w:p>
        </w:tc>
      </w:tr>
      <w:tr>
        <w:trPr>
          <w:trHeight w:val="142"/>
        </w:trPr>
        <w:tc>
          <w:tcPr>
            <w:tcW w:w="226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Financial Effect:</w:t>
            </w:r>
          </w:p>
        </w:tc>
        <w:tc>
          <w:tcPr>
            <w:tcW w:w="2980" w:type="dxa"/>
            <w:vAlign w:val="bottom"/>
            <w:gridSpan w:val="2"/>
            <w:shd w:val="clear" w:color="auto" w:fill="EDEDEE"/>
          </w:tcPr>
          <w:p>
            <w:pPr>
              <w:ind w:left="320"/>
              <w:spacing w:after="0"/>
              <w:rPr>
                <w:sz w:val="20"/>
                <w:szCs w:val="20"/>
                <w:color w:val="auto"/>
              </w:rPr>
            </w:pPr>
            <w:r>
              <w:rPr>
                <w:rFonts w:ascii="Arial" w:cs="Arial" w:eastAsia="Arial" w:hAnsi="Arial"/>
                <w:sz w:val="16"/>
                <w:szCs w:val="16"/>
                <w:b w:val="1"/>
                <w:bCs w:val="1"/>
                <w:color w:val="144F82"/>
              </w:rPr>
              <w:t>Financial Effect:</w:t>
            </w:r>
          </w:p>
        </w:tc>
        <w:tc>
          <w:tcPr>
            <w:tcW w:w="254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Financial Effect:</w:t>
            </w:r>
          </w:p>
        </w:tc>
        <w:tc>
          <w:tcPr>
            <w:tcW w:w="2640" w:type="dxa"/>
            <w:vAlign w:val="bottom"/>
            <w:shd w:val="clear" w:color="auto" w:fill="EDEDEE"/>
          </w:tcPr>
          <w:p>
            <w:pPr>
              <w:ind w:left="80"/>
              <w:spacing w:after="0"/>
              <w:rPr>
                <w:sz w:val="20"/>
                <w:szCs w:val="20"/>
                <w:color w:val="auto"/>
              </w:rPr>
            </w:pPr>
            <w:r>
              <w:rPr>
                <w:rFonts w:ascii="Arial" w:cs="Arial" w:eastAsia="Arial" w:hAnsi="Arial"/>
                <w:sz w:val="16"/>
                <w:szCs w:val="16"/>
                <w:b w:val="1"/>
                <w:bCs w:val="1"/>
                <w:color w:val="144F82"/>
              </w:rPr>
              <w:t>Financial Effect:</w:t>
            </w: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line="162" w:lineRule="exact"/>
              <w:rPr>
                <w:sz w:val="20"/>
                <w:szCs w:val="20"/>
                <w:color w:val="auto"/>
              </w:rPr>
            </w:pPr>
            <w:r>
              <w:rPr>
                <w:rFonts w:ascii="Arial" w:cs="Arial" w:eastAsia="Arial" w:hAnsi="Arial"/>
                <w:sz w:val="16"/>
                <w:szCs w:val="16"/>
                <w:color w:val="auto"/>
              </w:rPr>
              <w:t>Reduced average contractual</w:t>
            </w:r>
          </w:p>
        </w:tc>
        <w:tc>
          <w:tcPr>
            <w:tcW w:w="2980" w:type="dxa"/>
            <w:vAlign w:val="bottom"/>
            <w:gridSpan w:val="2"/>
          </w:tcPr>
          <w:p>
            <w:pPr>
              <w:ind w:left="320"/>
              <w:spacing w:after="0" w:line="162" w:lineRule="exact"/>
              <w:rPr>
                <w:sz w:val="20"/>
                <w:szCs w:val="20"/>
                <w:color w:val="auto"/>
              </w:rPr>
            </w:pPr>
            <w:r>
              <w:rPr>
                <w:rFonts w:ascii="Arial" w:cs="Arial" w:eastAsia="Arial" w:hAnsi="Arial"/>
                <w:sz w:val="16"/>
                <w:szCs w:val="16"/>
                <w:color w:val="auto"/>
              </w:rPr>
              <w:t>Added a weighted average 9.35</w:t>
            </w:r>
          </w:p>
        </w:tc>
        <w:tc>
          <w:tcPr>
            <w:tcW w:w="2540" w:type="dxa"/>
            <w:vAlign w:val="bottom"/>
          </w:tcPr>
          <w:p>
            <w:pPr>
              <w:ind w:left="20"/>
              <w:spacing w:after="0" w:line="162" w:lineRule="exact"/>
              <w:rPr>
                <w:sz w:val="20"/>
                <w:szCs w:val="20"/>
                <w:color w:val="auto"/>
              </w:rPr>
            </w:pPr>
            <w:r>
              <w:rPr>
                <w:rFonts w:ascii="Arial" w:cs="Arial" w:eastAsia="Arial" w:hAnsi="Arial"/>
                <w:sz w:val="16"/>
                <w:szCs w:val="16"/>
                <w:color w:val="auto"/>
              </w:rPr>
              <w:t>Reduced average contractual rate</w:t>
            </w:r>
          </w:p>
        </w:tc>
        <w:tc>
          <w:tcPr>
            <w:tcW w:w="2640" w:type="dxa"/>
            <w:vAlign w:val="bottom"/>
          </w:tcPr>
          <w:p>
            <w:pPr>
              <w:ind w:left="80"/>
              <w:spacing w:after="0" w:line="162" w:lineRule="exact"/>
              <w:rPr>
                <w:sz w:val="20"/>
                <w:szCs w:val="20"/>
                <w:color w:val="auto"/>
              </w:rPr>
            </w:pPr>
            <w:r>
              <w:rPr>
                <w:rFonts w:ascii="Arial" w:cs="Arial" w:eastAsia="Arial" w:hAnsi="Arial"/>
                <w:sz w:val="16"/>
                <w:szCs w:val="16"/>
                <w:color w:val="auto"/>
              </w:rPr>
              <w:t>Added a weighted average 8.59</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rate from 13.11% to 4.36%</w:t>
            </w:r>
          </w:p>
        </w:tc>
        <w:tc>
          <w:tcPr>
            <w:tcW w:w="2980" w:type="dxa"/>
            <w:vAlign w:val="bottom"/>
            <w:gridSpan w:val="2"/>
          </w:tcPr>
          <w:p>
            <w:pPr>
              <w:ind w:left="320"/>
              <w:spacing w:after="0"/>
              <w:rPr>
                <w:sz w:val="20"/>
                <w:szCs w:val="20"/>
                <w:color w:val="auto"/>
              </w:rPr>
            </w:pPr>
            <w:r>
              <w:rPr>
                <w:rFonts w:ascii="Arial" w:cs="Arial" w:eastAsia="Arial" w:hAnsi="Arial"/>
                <w:sz w:val="16"/>
                <w:szCs w:val="16"/>
                <w:color w:val="auto"/>
              </w:rPr>
              <w:t>years to the life of loans</w:t>
            </w:r>
          </w:p>
        </w:tc>
        <w:tc>
          <w:tcPr>
            <w:tcW w:w="2540" w:type="dxa"/>
            <w:vAlign w:val="bottom"/>
          </w:tcPr>
          <w:p>
            <w:pPr>
              <w:ind w:left="20"/>
              <w:spacing w:after="0"/>
              <w:rPr>
                <w:sz w:val="20"/>
                <w:szCs w:val="20"/>
                <w:color w:val="auto"/>
              </w:rPr>
            </w:pPr>
            <w:r>
              <w:rPr>
                <w:rFonts w:ascii="Arial" w:cs="Arial" w:eastAsia="Arial" w:hAnsi="Arial"/>
                <w:sz w:val="16"/>
                <w:szCs w:val="16"/>
                <w:color w:val="auto"/>
              </w:rPr>
              <w:t>from 13.15% to 3.94%</w:t>
            </w:r>
          </w:p>
        </w:tc>
        <w:tc>
          <w:tcPr>
            <w:tcW w:w="2640" w:type="dxa"/>
            <w:vAlign w:val="bottom"/>
          </w:tcPr>
          <w:p>
            <w:pPr>
              <w:ind w:left="80"/>
              <w:spacing w:after="0"/>
              <w:rPr>
                <w:sz w:val="20"/>
                <w:szCs w:val="20"/>
                <w:color w:val="auto"/>
              </w:rPr>
            </w:pPr>
            <w:r>
              <w:rPr>
                <w:rFonts w:ascii="Arial" w:cs="Arial" w:eastAsia="Arial" w:hAnsi="Arial"/>
                <w:sz w:val="16"/>
                <w:szCs w:val="16"/>
                <w:color w:val="auto"/>
              </w:rPr>
              <w:t>years to the life of loans</w:t>
            </w:r>
          </w:p>
        </w:tc>
        <w:tc>
          <w:tcPr>
            <w:tcW w:w="0" w:type="dxa"/>
            <w:vAlign w:val="bottom"/>
          </w:tcPr>
          <w:p>
            <w:pPr>
              <w:spacing w:after="0"/>
              <w:rPr>
                <w:sz w:val="1"/>
                <w:szCs w:val="1"/>
                <w:color w:val="auto"/>
              </w:rPr>
            </w:pPr>
          </w:p>
        </w:tc>
      </w:tr>
      <w:tr>
        <w:trPr>
          <w:trHeight w:val="352"/>
        </w:trPr>
        <w:tc>
          <w:tcPr>
            <w:tcW w:w="2260" w:type="dxa"/>
            <w:vAlign w:val="bottom"/>
          </w:tcPr>
          <w:p>
            <w:pPr>
              <w:spacing w:after="0"/>
              <w:rPr>
                <w:sz w:val="24"/>
                <w:szCs w:val="24"/>
                <w:color w:val="auto"/>
              </w:rPr>
            </w:pPr>
          </w:p>
        </w:tc>
        <w:tc>
          <w:tcPr>
            <w:tcW w:w="2980" w:type="dxa"/>
            <w:vAlign w:val="bottom"/>
            <w:gridSpan w:val="2"/>
          </w:tcPr>
          <w:p>
            <w:pPr>
              <w:ind w:left="320"/>
              <w:spacing w:after="0"/>
              <w:rPr>
                <w:sz w:val="20"/>
                <w:szCs w:val="20"/>
                <w:color w:val="auto"/>
              </w:rPr>
            </w:pPr>
            <w:r>
              <w:rPr>
                <w:rFonts w:ascii="Arial" w:cs="Arial" w:eastAsia="Arial" w:hAnsi="Arial"/>
                <w:sz w:val="16"/>
                <w:szCs w:val="16"/>
                <w:color w:val="auto"/>
              </w:rPr>
              <w:t>Reduced average contractual rate</w:t>
            </w:r>
          </w:p>
        </w:tc>
        <w:tc>
          <w:tcPr>
            <w:tcW w:w="2540" w:type="dxa"/>
            <w:vAlign w:val="bottom"/>
          </w:tcPr>
          <w:p>
            <w:pPr>
              <w:spacing w:after="0"/>
              <w:rPr>
                <w:sz w:val="24"/>
                <w:szCs w:val="24"/>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Reduced average contractual rate</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2980" w:type="dxa"/>
            <w:vAlign w:val="bottom"/>
            <w:gridSpan w:val="2"/>
          </w:tcPr>
          <w:p>
            <w:pPr>
              <w:ind w:left="320"/>
              <w:spacing w:after="0"/>
              <w:rPr>
                <w:sz w:val="20"/>
                <w:szCs w:val="20"/>
                <w:color w:val="auto"/>
              </w:rPr>
            </w:pPr>
            <w:r>
              <w:rPr>
                <w:rFonts w:ascii="Arial" w:cs="Arial" w:eastAsia="Arial" w:hAnsi="Arial"/>
                <w:sz w:val="16"/>
                <w:szCs w:val="16"/>
                <w:color w:val="auto"/>
              </w:rPr>
              <w:t>from 12.10% to 4.01%</w:t>
            </w:r>
          </w:p>
        </w:tc>
        <w:tc>
          <w:tcPr>
            <w:tcW w:w="254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from 12.57% to 3.71%</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Private Education Loans are charged off at the end of the month in which they reach 120 days delinquent or otherwise when the loans are classified as a loss by us or our regulator. Therefore, the amortized cost basis of the loan is reduced by the uncollectible amount and the allowance for credit losses is adjusted by the same amount. See Note 2, “Significant Accounting Policies — Allowance for Credit Losses — Allowance for Private Education Loan Losses” and “Significant Accounting Policies — Allowance for Credit Losses — Allowance for FFELP Loan Losses” in our 2024 Form 10-K for a more detailed discussion.</w:t>
      </w:r>
    </w:p>
    <w:p>
      <w:pPr>
        <w:spacing w:after="0" w:line="7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As part of the additional modification programs that were launched in the fourth quarter of 2023, we also offered for a short period of time a permanent term extension with no interest rate reduction program. This program ended in the fourth quarter of 2023. The amortized cost of this program totaled $6.6 million as of March 31, 2025, representing 0.03 percent of the total Private Education Loan portfolio. This program added a weighted average of 6.8 years to the life of loans participating in the program. As of March 31, 2025, both the defaulted amount and amortized cost basis of loans that participated in this program that defaulted during the three months ended March 31, 2025 and were modified for borrowers experiencing financial difficulty during the twelve months prior to default were immaterial. Additionally, the amortized cost of loans that participated in this program that were modified during the twelve months ended March 31, 2025 and subsequently charged-off during the three months ended March 31, 2025 was also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34F82"/>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0" w:right="379" w:bottom="1440" w:gutter="0" w:footer="0" w:header="0"/>
        </w:sectPr>
      </w:pPr>
    </w:p>
    <w:bookmarkStart w:id="22" w:name="page23"/>
    <w:bookmarkEnd w:id="22"/>
    <w:p>
      <w:pPr>
        <w:ind w:left="380" w:hanging="334"/>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200" w:lineRule="exact"/>
        <w:rPr>
          <w:sz w:val="20"/>
          <w:szCs w:val="20"/>
          <w:color w:val="auto"/>
        </w:rPr>
      </w:pPr>
    </w:p>
    <w:p>
      <w:pPr>
        <w:spacing w:after="0" w:line="28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For the periods presented, the following table presents the defaulted amount and period-end amortized cost basis, by modification category, of loans that defaulted during the period and were modified for borrowers experiencing financial difficulty during the 12 months preceding default. Solely for the purpose of the below table, starting in the quarter ended December 31, 2024, we changed our definition of payment default to be two missed consecutive post-modification payment obligations. As such, as reflected for the three months ended March 31, 2025 below, defaulted amount represents the principal amount of modified loans at the time the borrower missed two consecutive post-modification payment obligations during the period. Previously, as reflected for the three months ended March 31, 2024 in the table below, defaulted amount represented the principal amount of modified loans at the time they became 60 days or more past due in the relevant period. Loans that were modified during the twelve months ended March 31, 2025 and subsequently charged-off during the three months ended March 31, 2025 are not included in the period-end amortized cost basis and had an amortized cost basis of $18.5 million at the time of charge-off. The following table does not include loans that received a permanent term extension with no interest rate reduction during the fourth quarter of 2023, which are described earlier in this Note 4.</w:t>
      </w:r>
    </w:p>
    <w:p>
      <w:pPr>
        <w:spacing w:after="0" w:line="154" w:lineRule="exact"/>
        <w:rPr>
          <w:sz w:val="20"/>
          <w:szCs w:val="20"/>
          <w:color w:val="auto"/>
        </w:rPr>
      </w:pPr>
    </w:p>
    <w:tbl>
      <w:tblPr>
        <w:tblLayout w:type="fixed"/>
        <w:tblInd w:w="1200" w:type="dxa"/>
        <w:tblCellMar>
          <w:top w:w="0" w:type="dxa"/>
          <w:left w:w="0" w:type="dxa"/>
          <w:bottom w:w="0" w:type="dxa"/>
          <w:right w:w="0" w:type="dxa"/>
        </w:tblCellMar>
      </w:tblPr>
      <w:tr>
        <w:trPr>
          <w:trHeight w:val="215"/>
        </w:trPr>
        <w:tc>
          <w:tcPr>
            <w:tcW w:w="29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144F82"/>
              </w:rPr>
              <w:t>Three Months Ended March 31,</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44F82"/>
              </w:rPr>
              <w:t>2025</w:t>
            </w:r>
          </w:p>
        </w:tc>
        <w:tc>
          <w:tcPr>
            <w:tcW w:w="1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44F82"/>
              </w:rPr>
              <w:t>2024</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144F82"/>
              </w:rPr>
              <w:t>Period-end</w:t>
            </w: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64"/>
              <w:spacing w:after="0" w:line="147" w:lineRule="exact"/>
              <w:rPr>
                <w:sz w:val="20"/>
                <w:szCs w:val="20"/>
                <w:color w:val="auto"/>
              </w:rPr>
            </w:pPr>
            <w:r>
              <w:rPr>
                <w:rFonts w:ascii="Arial" w:cs="Arial" w:eastAsia="Arial" w:hAnsi="Arial"/>
                <w:sz w:val="14"/>
                <w:szCs w:val="14"/>
                <w:b w:val="1"/>
                <w:bCs w:val="1"/>
                <w:color w:val="144F82"/>
              </w:rPr>
              <w:t>Period-end</w:t>
            </w:r>
          </w:p>
        </w:tc>
        <w:tc>
          <w:tcPr>
            <w:tcW w:w="0" w:type="dxa"/>
            <w:vAlign w:val="bottom"/>
          </w:tcPr>
          <w:p>
            <w:pPr>
              <w:spacing w:after="0"/>
              <w:rPr>
                <w:sz w:val="1"/>
                <w:szCs w:val="1"/>
                <w:color w:val="auto"/>
              </w:rPr>
            </w:pPr>
          </w:p>
        </w:tc>
      </w:tr>
      <w:tr>
        <w:trPr>
          <w:trHeight w:val="144"/>
        </w:trPr>
        <w:tc>
          <w:tcPr>
            <w:tcW w:w="2900" w:type="dxa"/>
            <w:vAlign w:val="bottom"/>
            <w:vMerge w:val="restart"/>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20" w:type="dxa"/>
            <w:vAlign w:val="bottom"/>
          </w:tcPr>
          <w:p>
            <w:pPr>
              <w:spacing w:after="0"/>
              <w:rPr>
                <w:sz w:val="12"/>
                <w:szCs w:val="12"/>
                <w:color w:val="auto"/>
              </w:rPr>
            </w:pPr>
          </w:p>
        </w:tc>
        <w:tc>
          <w:tcPr>
            <w:tcW w:w="142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144F82"/>
              </w:rPr>
              <w:t>Defaulted Amount</w:t>
            </w:r>
          </w:p>
        </w:tc>
        <w:tc>
          <w:tcPr>
            <w:tcW w:w="260" w:type="dxa"/>
            <w:vAlign w:val="bottom"/>
          </w:tcPr>
          <w:p>
            <w:pPr>
              <w:spacing w:after="0"/>
              <w:rPr>
                <w:sz w:val="12"/>
                <w:szCs w:val="12"/>
                <w:color w:val="auto"/>
              </w:rPr>
            </w:pPr>
          </w:p>
        </w:tc>
        <w:tc>
          <w:tcPr>
            <w:tcW w:w="14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144F82"/>
              </w:rPr>
              <w:t>Amortized Cost</w:t>
            </w:r>
          </w:p>
        </w:tc>
        <w:tc>
          <w:tcPr>
            <w:tcW w:w="120" w:type="dxa"/>
            <w:vAlign w:val="bottom"/>
          </w:tcPr>
          <w:p>
            <w:pPr>
              <w:spacing w:after="0"/>
              <w:rPr>
                <w:sz w:val="12"/>
                <w:szCs w:val="12"/>
                <w:color w:val="auto"/>
              </w:rPr>
            </w:pPr>
          </w:p>
        </w:tc>
        <w:tc>
          <w:tcPr>
            <w:tcW w:w="142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144F82"/>
              </w:rPr>
              <w:t>Defaulted Amount</w:t>
            </w:r>
          </w:p>
        </w:tc>
        <w:tc>
          <w:tcPr>
            <w:tcW w:w="240" w:type="dxa"/>
            <w:vAlign w:val="bottom"/>
          </w:tcPr>
          <w:p>
            <w:pPr>
              <w:spacing w:after="0"/>
              <w:rPr>
                <w:sz w:val="12"/>
                <w:szCs w:val="12"/>
                <w:color w:val="auto"/>
              </w:rPr>
            </w:pPr>
          </w:p>
        </w:tc>
        <w:tc>
          <w:tcPr>
            <w:tcW w:w="134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144F82"/>
              </w:rPr>
              <w:t>Amortized Cost</w:t>
            </w:r>
          </w:p>
        </w:tc>
        <w:tc>
          <w:tcPr>
            <w:tcW w:w="0" w:type="dxa"/>
            <w:vAlign w:val="bottom"/>
          </w:tcPr>
          <w:p>
            <w:pPr>
              <w:spacing w:after="0"/>
              <w:rPr>
                <w:sz w:val="1"/>
                <w:szCs w:val="1"/>
                <w:color w:val="auto"/>
              </w:rPr>
            </w:pPr>
          </w:p>
        </w:tc>
      </w:tr>
      <w:tr>
        <w:trPr>
          <w:trHeight w:val="189"/>
        </w:trPr>
        <w:tc>
          <w:tcPr>
            <w:tcW w:w="2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144F82"/>
              </w:rPr>
              <w:t>Basis</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144F82"/>
              </w:rPr>
              <w:t>Basis</w:t>
            </w:r>
          </w:p>
        </w:tc>
        <w:tc>
          <w:tcPr>
            <w:tcW w:w="0" w:type="dxa"/>
            <w:vAlign w:val="bottom"/>
          </w:tcPr>
          <w:p>
            <w:pPr>
              <w:spacing w:after="0"/>
              <w:rPr>
                <w:sz w:val="1"/>
                <w:szCs w:val="1"/>
                <w:color w:val="auto"/>
              </w:rPr>
            </w:pPr>
          </w:p>
        </w:tc>
      </w:tr>
      <w:tr>
        <w:trPr>
          <w:trHeight w:val="209"/>
        </w:trPr>
        <w:tc>
          <w:tcPr>
            <w:tcW w:w="290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Loan Type:</w:t>
            </w:r>
          </w:p>
        </w:tc>
        <w:tc>
          <w:tcPr>
            <w:tcW w:w="120" w:type="dxa"/>
            <w:vAlign w:val="bottom"/>
            <w:shd w:val="clear" w:color="auto" w:fill="EDEDEE"/>
          </w:tcPr>
          <w:p>
            <w:pPr>
              <w:spacing w:after="0"/>
              <w:rPr>
                <w:sz w:val="18"/>
                <w:szCs w:val="18"/>
                <w:color w:val="auto"/>
              </w:rPr>
            </w:pPr>
          </w:p>
        </w:tc>
        <w:tc>
          <w:tcPr>
            <w:tcW w:w="14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320" w:type="dxa"/>
            <w:vAlign w:val="bottom"/>
            <w:shd w:val="clear" w:color="auto" w:fill="EDEDEE"/>
          </w:tcPr>
          <w:p>
            <w:pPr>
              <w:spacing w:after="0"/>
              <w:rPr>
                <w:sz w:val="18"/>
                <w:szCs w:val="18"/>
                <w:color w:val="auto"/>
              </w:rPr>
            </w:pPr>
          </w:p>
        </w:tc>
        <w:tc>
          <w:tcPr>
            <w:tcW w:w="14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1420" w:type="dxa"/>
            <w:vAlign w:val="bottom"/>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134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Private Education Loans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00" w:type="dxa"/>
            <w:vAlign w:val="bottom"/>
            <w:shd w:val="clear" w:color="auto" w:fill="EDEDEE"/>
          </w:tcPr>
          <w:p>
            <w:pPr>
              <w:ind w:left="140"/>
              <w:spacing w:after="0"/>
              <w:rPr>
                <w:sz w:val="20"/>
                <w:szCs w:val="20"/>
                <w:color w:val="auto"/>
              </w:rPr>
            </w:pPr>
            <w:r>
              <w:rPr>
                <w:rFonts w:ascii="Arial" w:cs="Arial" w:eastAsia="Arial" w:hAnsi="Arial"/>
                <w:sz w:val="16"/>
                <w:szCs w:val="16"/>
                <w:color w:val="auto"/>
              </w:rPr>
              <w:t>Interest Rate Reduction</w:t>
            </w:r>
          </w:p>
        </w:tc>
        <w:tc>
          <w:tcPr>
            <w:tcW w:w="12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DEDEE"/>
          </w:tcPr>
          <w:p>
            <w:pPr>
              <w:jc w:val="right"/>
              <w:ind w:right="43"/>
              <w:spacing w:after="0"/>
              <w:rPr>
                <w:sz w:val="20"/>
                <w:szCs w:val="20"/>
                <w:color w:val="auto"/>
              </w:rPr>
            </w:pPr>
            <w:r>
              <w:rPr>
                <w:rFonts w:ascii="Arial" w:cs="Arial" w:eastAsia="Arial" w:hAnsi="Arial"/>
                <w:sz w:val="16"/>
                <w:szCs w:val="16"/>
                <w:color w:val="auto"/>
              </w:rPr>
              <w:t>1,922</w:t>
            </w:r>
          </w:p>
        </w:tc>
        <w:tc>
          <w:tcPr>
            <w:tcW w:w="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DEDEE"/>
          </w:tcPr>
          <w:p>
            <w:pPr>
              <w:jc w:val="right"/>
              <w:ind w:right="4"/>
              <w:spacing w:after="0"/>
              <w:rPr>
                <w:sz w:val="20"/>
                <w:szCs w:val="20"/>
                <w:color w:val="auto"/>
              </w:rPr>
            </w:pPr>
            <w:r>
              <w:rPr>
                <w:rFonts w:ascii="Arial" w:cs="Arial" w:eastAsia="Arial" w:hAnsi="Arial"/>
                <w:sz w:val="16"/>
                <w:szCs w:val="16"/>
                <w:color w:val="auto"/>
              </w:rPr>
              <w:t>1,803</w:t>
            </w:r>
          </w:p>
        </w:tc>
        <w:tc>
          <w:tcPr>
            <w:tcW w:w="140" w:type="dxa"/>
            <w:vAlign w:val="bottom"/>
            <w:shd w:val="clear" w:color="auto" w:fill="EDEDEE"/>
          </w:tcPr>
          <w:p>
            <w:pPr>
              <w:spacing w:after="0"/>
              <w:rPr>
                <w:sz w:val="18"/>
                <w:szCs w:val="18"/>
                <w:color w:val="auto"/>
              </w:rPr>
            </w:pPr>
          </w:p>
        </w:tc>
        <w:tc>
          <w:tcPr>
            <w:tcW w:w="1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DEDEE"/>
          </w:tcPr>
          <w:p>
            <w:pPr>
              <w:jc w:val="right"/>
              <w:ind w:right="43"/>
              <w:spacing w:after="0"/>
              <w:rPr>
                <w:sz w:val="20"/>
                <w:szCs w:val="20"/>
                <w:color w:val="auto"/>
              </w:rPr>
            </w:pPr>
            <w:r>
              <w:rPr>
                <w:rFonts w:ascii="Arial" w:cs="Arial" w:eastAsia="Arial" w:hAnsi="Arial"/>
                <w:sz w:val="16"/>
                <w:szCs w:val="16"/>
                <w:color w:val="auto"/>
              </w:rPr>
              <w:t>1,005</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162"/>
        </w:trPr>
        <w:tc>
          <w:tcPr>
            <w:tcW w:w="2900" w:type="dxa"/>
            <w:vAlign w:val="bottom"/>
          </w:tcPr>
          <w:p>
            <w:pPr>
              <w:ind w:left="140"/>
              <w:spacing w:after="0" w:line="162" w:lineRule="exact"/>
              <w:rPr>
                <w:sz w:val="20"/>
                <w:szCs w:val="20"/>
                <w:color w:val="auto"/>
              </w:rPr>
            </w:pPr>
            <w:r>
              <w:rPr>
                <w:rFonts w:ascii="Arial" w:cs="Arial" w:eastAsia="Arial" w:hAnsi="Arial"/>
                <w:sz w:val="16"/>
                <w:szCs w:val="16"/>
                <w:color w:val="auto"/>
              </w:rPr>
              <w:t>Combination - Interest Rate</w:t>
            </w:r>
          </w:p>
        </w:tc>
        <w:tc>
          <w:tcPr>
            <w:tcW w:w="120" w:type="dxa"/>
            <w:vAlign w:val="bottom"/>
          </w:tcPr>
          <w:p>
            <w:pPr>
              <w:spacing w:after="0"/>
              <w:rPr>
                <w:sz w:val="14"/>
                <w:szCs w:val="14"/>
                <w:color w:val="auto"/>
              </w:rPr>
            </w:pPr>
          </w:p>
        </w:tc>
        <w:tc>
          <w:tcPr>
            <w:tcW w:w="1420" w:type="dxa"/>
            <w:vAlign w:val="bottom"/>
            <w:vMerge w:val="restart"/>
          </w:tcPr>
          <w:p>
            <w:pPr>
              <w:jc w:val="right"/>
              <w:ind w:right="43"/>
              <w:spacing w:after="0"/>
              <w:rPr>
                <w:sz w:val="20"/>
                <w:szCs w:val="20"/>
                <w:color w:val="auto"/>
              </w:rPr>
            </w:pPr>
            <w:r>
              <w:rPr>
                <w:rFonts w:ascii="Arial" w:cs="Arial" w:eastAsia="Arial" w:hAnsi="Arial"/>
                <w:sz w:val="16"/>
                <w:szCs w:val="16"/>
                <w:color w:val="auto"/>
              </w:rPr>
              <w:t>39,064</w:t>
            </w:r>
          </w:p>
        </w:tc>
        <w:tc>
          <w:tcPr>
            <w:tcW w:w="260" w:type="dxa"/>
            <w:vAlign w:val="bottom"/>
          </w:tcPr>
          <w:p>
            <w:pPr>
              <w:spacing w:after="0"/>
              <w:rPr>
                <w:sz w:val="14"/>
                <w:szCs w:val="14"/>
                <w:color w:val="auto"/>
              </w:rPr>
            </w:pPr>
          </w:p>
        </w:tc>
        <w:tc>
          <w:tcPr>
            <w:tcW w:w="1320" w:type="dxa"/>
            <w:vAlign w:val="bottom"/>
            <w:vMerge w:val="restart"/>
          </w:tcPr>
          <w:p>
            <w:pPr>
              <w:jc w:val="right"/>
              <w:ind w:right="4"/>
              <w:spacing w:after="0"/>
              <w:rPr>
                <w:sz w:val="20"/>
                <w:szCs w:val="20"/>
                <w:color w:val="auto"/>
              </w:rPr>
            </w:pPr>
            <w:r>
              <w:rPr>
                <w:rFonts w:ascii="Arial" w:cs="Arial" w:eastAsia="Arial" w:hAnsi="Arial"/>
                <w:sz w:val="16"/>
                <w:szCs w:val="16"/>
                <w:color w:val="auto"/>
              </w:rPr>
              <w:t>37,091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ind w:right="43"/>
              <w:spacing w:after="0"/>
              <w:rPr>
                <w:sz w:val="20"/>
                <w:szCs w:val="20"/>
                <w:color w:val="auto"/>
              </w:rPr>
            </w:pPr>
            <w:r>
              <w:rPr>
                <w:rFonts w:ascii="Arial" w:cs="Arial" w:eastAsia="Arial" w:hAnsi="Arial"/>
                <w:sz w:val="16"/>
                <w:szCs w:val="16"/>
                <w:color w:val="auto"/>
              </w:rPr>
              <w:t>13,491</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13,765</w:t>
            </w:r>
          </w:p>
        </w:tc>
        <w:tc>
          <w:tcPr>
            <w:tcW w:w="0" w:type="dxa"/>
            <w:vAlign w:val="bottom"/>
          </w:tcPr>
          <w:p>
            <w:pPr>
              <w:spacing w:after="0"/>
              <w:rPr>
                <w:sz w:val="1"/>
                <w:szCs w:val="1"/>
                <w:color w:val="auto"/>
              </w:rPr>
            </w:pPr>
          </w:p>
        </w:tc>
      </w:tr>
      <w:tr>
        <w:trPr>
          <w:trHeight w:val="215"/>
        </w:trPr>
        <w:tc>
          <w:tcPr>
            <w:tcW w:w="2900" w:type="dxa"/>
            <w:vAlign w:val="bottom"/>
            <w:tcBorders>
              <w:bottom w:val="single" w:sz="8" w:color="EDEDEE"/>
            </w:tcBorders>
          </w:tcPr>
          <w:p>
            <w:pPr>
              <w:ind w:left="140"/>
              <w:spacing w:after="0"/>
              <w:rPr>
                <w:sz w:val="20"/>
                <w:szCs w:val="20"/>
                <w:color w:val="auto"/>
              </w:rPr>
            </w:pPr>
            <w:r>
              <w:rPr>
                <w:rFonts w:ascii="Arial" w:cs="Arial" w:eastAsia="Arial" w:hAnsi="Arial"/>
                <w:sz w:val="16"/>
                <w:szCs w:val="16"/>
                <w:color w:val="auto"/>
              </w:rPr>
              <w:t>Reduction and Term Extension</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0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EDEDEE"/>
          </w:tcPr>
          <w:p>
            <w:pPr>
              <w:jc w:val="right"/>
              <w:ind w:right="43"/>
              <w:spacing w:after="0"/>
              <w:rPr>
                <w:sz w:val="20"/>
                <w:szCs w:val="20"/>
                <w:color w:val="auto"/>
              </w:rPr>
            </w:pPr>
            <w:r>
              <w:rPr>
                <w:rFonts w:ascii="Arial" w:cs="Arial" w:eastAsia="Arial" w:hAnsi="Arial"/>
                <w:sz w:val="16"/>
                <w:szCs w:val="16"/>
                <w:color w:val="auto"/>
              </w:rPr>
              <w:t>40,986</w:t>
            </w:r>
          </w:p>
        </w:tc>
        <w:tc>
          <w:tcPr>
            <w:tcW w:w="2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DEDEE"/>
          </w:tcPr>
          <w:p>
            <w:pPr>
              <w:jc w:val="right"/>
              <w:ind w:right="4"/>
              <w:spacing w:after="0"/>
              <w:rPr>
                <w:sz w:val="20"/>
                <w:szCs w:val="20"/>
                <w:color w:val="auto"/>
              </w:rPr>
            </w:pPr>
            <w:r>
              <w:rPr>
                <w:rFonts w:ascii="Arial" w:cs="Arial" w:eastAsia="Arial" w:hAnsi="Arial"/>
                <w:sz w:val="16"/>
                <w:szCs w:val="16"/>
                <w:color w:val="auto"/>
              </w:rPr>
              <w:t>38,894</w:t>
            </w:r>
          </w:p>
        </w:tc>
        <w:tc>
          <w:tcPr>
            <w:tcW w:w="140" w:type="dxa"/>
            <w:vAlign w:val="bottom"/>
            <w:tcBorders>
              <w:bottom w:val="single" w:sz="8" w:color="auto"/>
            </w:tcBorders>
            <w:shd w:val="clear" w:color="auto" w:fill="EDEDEE"/>
          </w:tcPr>
          <w:p>
            <w:pPr>
              <w:spacing w:after="0"/>
              <w:rPr>
                <w:sz w:val="20"/>
                <w:szCs w:val="20"/>
                <w:color w:val="auto"/>
              </w:rPr>
            </w:pP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DEDEE"/>
          </w:tcPr>
          <w:p>
            <w:pPr>
              <w:jc w:val="right"/>
              <w:ind w:right="43"/>
              <w:spacing w:after="0"/>
              <w:rPr>
                <w:sz w:val="20"/>
                <w:szCs w:val="20"/>
                <w:color w:val="auto"/>
              </w:rPr>
            </w:pPr>
            <w:r>
              <w:rPr>
                <w:rFonts w:ascii="Arial" w:cs="Arial" w:eastAsia="Arial" w:hAnsi="Arial"/>
                <w:sz w:val="16"/>
                <w:szCs w:val="16"/>
                <w:color w:val="auto"/>
              </w:rPr>
              <w:t>14,496</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14,783</w:t>
            </w:r>
          </w:p>
        </w:tc>
        <w:tc>
          <w:tcPr>
            <w:tcW w:w="0" w:type="dxa"/>
            <w:vAlign w:val="bottom"/>
          </w:tcPr>
          <w:p>
            <w:pPr>
              <w:spacing w:after="0"/>
              <w:rPr>
                <w:sz w:val="1"/>
                <w:szCs w:val="1"/>
                <w:color w:val="auto"/>
              </w:rPr>
            </w:pPr>
          </w:p>
        </w:tc>
      </w:tr>
      <w:tr>
        <w:trPr>
          <w:trHeight w:val="20"/>
        </w:trPr>
        <w:tc>
          <w:tcPr>
            <w:tcW w:w="290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142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320" w:type="dxa"/>
            <w:vAlign w:val="bottom"/>
            <w:tcBorders>
              <w:top w:val="single" w:sz="8" w:color="EDEDEE"/>
              <w:bottom w:val="single" w:sz="8" w:color="auto"/>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142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13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34F82"/>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20" w:right="439" w:bottom="1440" w:gutter="0" w:footer="0" w:header="0"/>
        </w:sectPr>
      </w:pPr>
    </w:p>
    <w:bookmarkStart w:id="23" w:name="page24"/>
    <w:bookmarkEnd w:id="23"/>
    <w:p>
      <w:pPr>
        <w:ind w:left="380" w:hanging="334"/>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200" w:lineRule="exact"/>
        <w:rPr>
          <w:sz w:val="20"/>
          <w:szCs w:val="20"/>
          <w:color w:val="auto"/>
        </w:rPr>
      </w:pPr>
    </w:p>
    <w:p>
      <w:pPr>
        <w:spacing w:after="0" w:line="28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closely monitor performance of the loans to borrowers experiencing financial difficulty that are modified to understand the effectiveness of the modification efforts. The following table depicts the performance of loans that have been modified within the three months prior to March 31, 2025, the 12 months prior to March 31, 2025, and the 12 months prior to December 31, 2024, respectively. Loans that received a permanent term extension with no interest rate reduction during the fourth quarter of 2023 are not included in the below table, but are discussed above.</w:t>
      </w:r>
    </w:p>
    <w:p>
      <w:pPr>
        <w:spacing w:after="0" w:line="205"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38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144F82"/>
              </w:rPr>
              <w:t>Three Months Ended</w:t>
            </w:r>
          </w:p>
        </w:tc>
        <w:tc>
          <w:tcPr>
            <w:tcW w:w="20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4"/>
          </w:tcPr>
          <w:p>
            <w:pPr>
              <w:ind w:left="100"/>
              <w:spacing w:after="0"/>
              <w:rPr>
                <w:sz w:val="20"/>
                <w:szCs w:val="20"/>
                <w:color w:val="auto"/>
              </w:rPr>
            </w:pPr>
            <w:r>
              <w:rPr>
                <w:rFonts w:ascii="Arial" w:cs="Arial" w:eastAsia="Arial" w:hAnsi="Arial"/>
                <w:sz w:val="14"/>
                <w:szCs w:val="14"/>
                <w:b w:val="1"/>
                <w:bCs w:val="1"/>
                <w:color w:val="144F82"/>
              </w:rPr>
              <w:t>Twelve Months Ended</w:t>
            </w:r>
          </w:p>
        </w:tc>
        <w:tc>
          <w:tcPr>
            <w:tcW w:w="22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gridSpan w:val="2"/>
          </w:tcPr>
          <w:p>
            <w:pPr>
              <w:jc w:val="right"/>
              <w:ind w:right="261"/>
              <w:spacing w:after="0"/>
              <w:rPr>
                <w:sz w:val="20"/>
                <w:szCs w:val="20"/>
                <w:color w:val="auto"/>
              </w:rPr>
            </w:pPr>
            <w:r>
              <w:rPr>
                <w:rFonts w:ascii="Arial" w:cs="Arial" w:eastAsia="Arial" w:hAnsi="Arial"/>
                <w:sz w:val="14"/>
                <w:szCs w:val="14"/>
                <w:b w:val="1"/>
                <w:bCs w:val="1"/>
                <w:color w:val="144F82"/>
              </w:rPr>
              <w:t>Twelve Months Ended</w:t>
            </w:r>
          </w:p>
        </w:tc>
      </w:tr>
      <w:tr>
        <w:trPr>
          <w:trHeight w:val="185"/>
        </w:trPr>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left="242"/>
              <w:spacing w:after="0"/>
              <w:rPr>
                <w:sz w:val="20"/>
                <w:szCs w:val="20"/>
                <w:color w:val="auto"/>
              </w:rPr>
            </w:pPr>
            <w:r>
              <w:rPr>
                <w:rFonts w:ascii="Arial" w:cs="Arial" w:eastAsia="Arial" w:hAnsi="Arial"/>
                <w:sz w:val="14"/>
                <w:szCs w:val="14"/>
                <w:b w:val="1"/>
                <w:bCs w:val="1"/>
                <w:color w:val="144F82"/>
              </w:rPr>
              <w:t>March 31, 2025</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144F82"/>
              </w:rPr>
              <w:t>March 31, 2025</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14"/>
                <w:szCs w:val="14"/>
                <w:b w:val="1"/>
                <w:bCs w:val="1"/>
                <w:color w:val="144F82"/>
              </w:rPr>
              <w:t>December 31, 2024</w:t>
            </w:r>
          </w:p>
        </w:tc>
      </w:tr>
      <w:tr>
        <w:trPr>
          <w:trHeight w:val="195"/>
        </w:trPr>
        <w:tc>
          <w:tcPr>
            <w:tcW w:w="3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144F82"/>
              </w:rPr>
              <w:t>(Dollars in thousands)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144F82"/>
              </w:rPr>
              <w:t>Balance</w:t>
            </w:r>
          </w:p>
        </w:tc>
        <w:tc>
          <w:tcPr>
            <w:tcW w:w="5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144F82"/>
              </w:rPr>
              <w:t>%</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144F82"/>
              </w:rPr>
              <w:t>Balance</w:t>
            </w:r>
          </w:p>
        </w:tc>
        <w:tc>
          <w:tcPr>
            <w:tcW w:w="5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144F82"/>
              </w:rPr>
              <w:t>Balance</w:t>
            </w: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w:t>
            </w:r>
          </w:p>
        </w:tc>
      </w:tr>
      <w:tr>
        <w:trPr>
          <w:trHeight w:val="210"/>
        </w:trPr>
        <w:tc>
          <w:tcPr>
            <w:tcW w:w="3860" w:type="dxa"/>
            <w:vAlign w:val="bottom"/>
            <w:shd w:val="clear" w:color="auto" w:fill="EDEDEE"/>
          </w:tcPr>
          <w:p>
            <w:pPr>
              <w:spacing w:after="0" w:line="211" w:lineRule="exact"/>
              <w:rPr>
                <w:sz w:val="20"/>
                <w:szCs w:val="20"/>
                <w:color w:val="auto"/>
              </w:rPr>
            </w:pPr>
            <w:r>
              <w:rPr>
                <w:rFonts w:ascii="Arial" w:cs="Arial" w:eastAsia="Arial" w:hAnsi="Arial"/>
                <w:sz w:val="16"/>
                <w:szCs w:val="16"/>
                <w:b w:val="1"/>
                <w:bCs w:val="1"/>
                <w:color w:val="144F82"/>
              </w:rPr>
              <w:t>Payment Status (Amortized Cost Basis)</w:t>
            </w:r>
            <w:r>
              <w:rPr>
                <w:rFonts w:ascii="Arial" w:cs="Arial" w:eastAsia="Arial" w:hAnsi="Arial"/>
                <w:sz w:val="21"/>
                <w:szCs w:val="21"/>
                <w:b w:val="1"/>
                <w:bCs w:val="1"/>
                <w:color w:val="144F82"/>
                <w:vertAlign w:val="superscript"/>
              </w:rPr>
              <w:t>(1)</w:t>
            </w:r>
            <w:r>
              <w:rPr>
                <w:rFonts w:ascii="Arial" w:cs="Arial" w:eastAsia="Arial" w:hAnsi="Arial"/>
                <w:sz w:val="16"/>
                <w:szCs w:val="16"/>
                <w:b w:val="1"/>
                <w:bCs w:val="1"/>
                <w:color w:val="144F82"/>
              </w:rPr>
              <w:t>:</w:t>
            </w:r>
          </w:p>
        </w:tc>
        <w:tc>
          <w:tcPr>
            <w:tcW w:w="220" w:type="dxa"/>
            <w:vAlign w:val="bottom"/>
            <w:shd w:val="clear" w:color="auto" w:fill="EDEDEE"/>
          </w:tcPr>
          <w:p>
            <w:pPr>
              <w:spacing w:after="0"/>
              <w:rPr>
                <w:sz w:val="18"/>
                <w:szCs w:val="18"/>
                <w:color w:val="auto"/>
              </w:rPr>
            </w:pPr>
          </w:p>
        </w:tc>
        <w:tc>
          <w:tcPr>
            <w:tcW w:w="980" w:type="dxa"/>
            <w:vAlign w:val="bottom"/>
            <w:shd w:val="clear" w:color="auto" w:fill="EDEDEE"/>
          </w:tcPr>
          <w:p>
            <w:pPr>
              <w:spacing w:after="0"/>
              <w:rPr>
                <w:sz w:val="18"/>
                <w:szCs w:val="18"/>
                <w:color w:val="auto"/>
              </w:rPr>
            </w:pPr>
          </w:p>
        </w:tc>
        <w:tc>
          <w:tcPr>
            <w:tcW w:w="380" w:type="dxa"/>
            <w:vAlign w:val="bottom"/>
            <w:shd w:val="clear" w:color="auto" w:fill="EDEDEE"/>
          </w:tcPr>
          <w:p>
            <w:pPr>
              <w:spacing w:after="0"/>
              <w:rPr>
                <w:sz w:val="18"/>
                <w:szCs w:val="18"/>
                <w:color w:val="auto"/>
              </w:rPr>
            </w:pPr>
          </w:p>
        </w:tc>
        <w:tc>
          <w:tcPr>
            <w:tcW w:w="54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380" w:type="dxa"/>
            <w:vAlign w:val="bottom"/>
            <w:shd w:val="clear" w:color="auto" w:fill="EDEDEE"/>
          </w:tcPr>
          <w:p>
            <w:pPr>
              <w:spacing w:after="0"/>
              <w:rPr>
                <w:sz w:val="18"/>
                <w:szCs w:val="18"/>
                <w:color w:val="auto"/>
              </w:rPr>
            </w:pPr>
          </w:p>
        </w:tc>
        <w:tc>
          <w:tcPr>
            <w:tcW w:w="54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r>
      <w:tr>
        <w:trPr>
          <w:trHeight w:val="216"/>
        </w:trPr>
        <w:tc>
          <w:tcPr>
            <w:tcW w:w="3860" w:type="dxa"/>
            <w:vAlign w:val="bottom"/>
          </w:tcPr>
          <w:p>
            <w:pPr>
              <w:spacing w:after="0" w:line="216" w:lineRule="exact"/>
              <w:rPr>
                <w:sz w:val="20"/>
                <w:szCs w:val="20"/>
                <w:color w:val="auto"/>
              </w:rPr>
            </w:pPr>
            <w:r>
              <w:rPr>
                <w:rFonts w:ascii="Arial" w:cs="Arial" w:eastAsia="Arial" w:hAnsi="Arial"/>
                <w:sz w:val="16"/>
                <w:szCs w:val="16"/>
                <w:color w:val="auto"/>
              </w:rPr>
              <w:t>Loan modifications in deferment</w:t>
            </w:r>
            <w:r>
              <w:rPr>
                <w:rFonts w:ascii="Arial" w:cs="Arial" w:eastAsia="Arial" w:hAnsi="Arial"/>
                <w:sz w:val="21"/>
                <w:szCs w:val="21"/>
                <w:color w:val="auto"/>
                <w:vertAlign w:val="superscript"/>
              </w:rPr>
              <w:t>(2)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1,612</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33,618</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33,645</w:t>
            </w:r>
          </w:p>
        </w:tc>
        <w:tc>
          <w:tcPr>
            <w:tcW w:w="940" w:type="dxa"/>
            <w:vAlign w:val="bottom"/>
          </w:tcPr>
          <w:p>
            <w:pPr>
              <w:spacing w:after="0"/>
              <w:rPr>
                <w:sz w:val="18"/>
                <w:szCs w:val="18"/>
                <w:color w:val="auto"/>
              </w:rPr>
            </w:pPr>
          </w:p>
        </w:tc>
      </w:tr>
      <w:tr>
        <w:trPr>
          <w:trHeight w:val="216"/>
        </w:trPr>
        <w:tc>
          <w:tcPr>
            <w:tcW w:w="3860" w:type="dxa"/>
            <w:vAlign w:val="bottom"/>
            <w:shd w:val="clear" w:color="auto" w:fill="EDEDEE"/>
          </w:tcPr>
          <w:p>
            <w:pPr>
              <w:spacing w:after="0"/>
              <w:rPr>
                <w:sz w:val="20"/>
                <w:szCs w:val="20"/>
                <w:color w:val="auto"/>
              </w:rPr>
            </w:pPr>
            <w:r>
              <w:rPr>
                <w:rFonts w:ascii="Arial" w:cs="Arial" w:eastAsia="Arial" w:hAnsi="Arial"/>
                <w:sz w:val="16"/>
                <w:szCs w:val="16"/>
                <w:color w:val="auto"/>
              </w:rPr>
              <w:t>Loan modifications in repayment:</w:t>
            </w:r>
          </w:p>
        </w:tc>
        <w:tc>
          <w:tcPr>
            <w:tcW w:w="220" w:type="dxa"/>
            <w:vAlign w:val="bottom"/>
            <w:shd w:val="clear" w:color="auto" w:fill="EDEDEE"/>
          </w:tcPr>
          <w:p>
            <w:pPr>
              <w:spacing w:after="0"/>
              <w:rPr>
                <w:sz w:val="18"/>
                <w:szCs w:val="18"/>
                <w:color w:val="auto"/>
              </w:rPr>
            </w:pPr>
          </w:p>
        </w:tc>
        <w:tc>
          <w:tcPr>
            <w:tcW w:w="980" w:type="dxa"/>
            <w:vAlign w:val="bottom"/>
            <w:shd w:val="clear" w:color="auto" w:fill="EDEDEE"/>
          </w:tcPr>
          <w:p>
            <w:pPr>
              <w:spacing w:after="0"/>
              <w:rPr>
                <w:sz w:val="18"/>
                <w:szCs w:val="18"/>
                <w:color w:val="auto"/>
              </w:rPr>
            </w:pPr>
          </w:p>
        </w:tc>
        <w:tc>
          <w:tcPr>
            <w:tcW w:w="380" w:type="dxa"/>
            <w:vAlign w:val="bottom"/>
            <w:shd w:val="clear" w:color="auto" w:fill="EDEDEE"/>
          </w:tcPr>
          <w:p>
            <w:pPr>
              <w:spacing w:after="0"/>
              <w:rPr>
                <w:sz w:val="18"/>
                <w:szCs w:val="18"/>
                <w:color w:val="auto"/>
              </w:rPr>
            </w:pPr>
          </w:p>
        </w:tc>
        <w:tc>
          <w:tcPr>
            <w:tcW w:w="54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380" w:type="dxa"/>
            <w:vAlign w:val="bottom"/>
            <w:shd w:val="clear" w:color="auto" w:fill="EDEDEE"/>
          </w:tcPr>
          <w:p>
            <w:pPr>
              <w:spacing w:after="0"/>
              <w:rPr>
                <w:sz w:val="18"/>
                <w:szCs w:val="18"/>
                <w:color w:val="auto"/>
              </w:rPr>
            </w:pPr>
          </w:p>
        </w:tc>
        <w:tc>
          <w:tcPr>
            <w:tcW w:w="54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r>
      <w:tr>
        <w:trPr>
          <w:trHeight w:val="216"/>
        </w:trPr>
        <w:tc>
          <w:tcPr>
            <w:tcW w:w="3860" w:type="dxa"/>
            <w:vAlign w:val="bottom"/>
          </w:tcPr>
          <w:p>
            <w:pPr>
              <w:ind w:left="120"/>
              <w:spacing w:after="0" w:line="216" w:lineRule="exact"/>
              <w:rPr>
                <w:sz w:val="20"/>
                <w:szCs w:val="20"/>
                <w:color w:val="auto"/>
              </w:rPr>
            </w:pPr>
            <w:r>
              <w:rPr>
                <w:rFonts w:ascii="Arial" w:cs="Arial" w:eastAsia="Arial" w:hAnsi="Arial"/>
                <w:sz w:val="16"/>
                <w:szCs w:val="16"/>
                <w:color w:val="auto"/>
              </w:rPr>
              <w:t>Loans current</w:t>
            </w:r>
            <w:r>
              <w:rPr>
                <w:rFonts w:ascii="Arial" w:cs="Arial" w:eastAsia="Arial" w:hAnsi="Arial"/>
                <w:sz w:val="21"/>
                <w:szCs w:val="21"/>
                <w:color w:val="auto"/>
                <w:vertAlign w:val="superscript"/>
              </w:rPr>
              <w:t>(3)(4)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48,710</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692,649</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826,007</w:t>
            </w:r>
          </w:p>
        </w:tc>
        <w:tc>
          <w:tcPr>
            <w:tcW w:w="94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16"/>
        </w:trPr>
        <w:tc>
          <w:tcPr>
            <w:tcW w:w="3860" w:type="dxa"/>
            <w:vAlign w:val="bottom"/>
            <w:shd w:val="clear" w:color="auto" w:fill="EDEDEE"/>
          </w:tcPr>
          <w:p>
            <w:pPr>
              <w:ind w:left="120"/>
              <w:spacing w:after="0" w:line="216" w:lineRule="exact"/>
              <w:rPr>
                <w:sz w:val="20"/>
                <w:szCs w:val="20"/>
                <w:color w:val="auto"/>
              </w:rPr>
            </w:pPr>
            <w:r>
              <w:rPr>
                <w:rFonts w:ascii="Arial" w:cs="Arial" w:eastAsia="Arial" w:hAnsi="Arial"/>
                <w:sz w:val="16"/>
                <w:szCs w:val="16"/>
                <w:color w:val="auto"/>
              </w:rPr>
              <w:t>Loans delinquent 30-59 days</w:t>
            </w:r>
            <w:r>
              <w:rPr>
                <w:rFonts w:ascii="Arial" w:cs="Arial" w:eastAsia="Arial" w:hAnsi="Arial"/>
                <w:sz w:val="21"/>
                <w:szCs w:val="21"/>
                <w:color w:val="auto"/>
                <w:vertAlign w:val="superscript"/>
              </w:rPr>
              <w:t>(3)(4)</w:t>
            </w:r>
          </w:p>
        </w:tc>
        <w:tc>
          <w:tcPr>
            <w:tcW w:w="220" w:type="dxa"/>
            <w:vAlign w:val="bottom"/>
            <w:shd w:val="clear" w:color="auto" w:fill="EDEDEE"/>
          </w:tcPr>
          <w:p>
            <w:pPr>
              <w:spacing w:after="0"/>
              <w:rPr>
                <w:sz w:val="18"/>
                <w:szCs w:val="18"/>
                <w:color w:val="auto"/>
              </w:rPr>
            </w:pPr>
          </w:p>
        </w:tc>
        <w:tc>
          <w:tcPr>
            <w:tcW w:w="9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43,323</w:t>
            </w:r>
          </w:p>
        </w:tc>
        <w:tc>
          <w:tcPr>
            <w:tcW w:w="380" w:type="dxa"/>
            <w:vAlign w:val="bottom"/>
            <w:shd w:val="clear" w:color="auto" w:fill="EDEDEE"/>
          </w:tcPr>
          <w:p>
            <w:pPr>
              <w:spacing w:after="0"/>
              <w:rPr>
                <w:sz w:val="18"/>
                <w:szCs w:val="18"/>
                <w:color w:val="auto"/>
              </w:rPr>
            </w:pPr>
          </w:p>
        </w:tc>
        <w:tc>
          <w:tcPr>
            <w:tcW w:w="5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76,207</w:t>
            </w:r>
          </w:p>
        </w:tc>
        <w:tc>
          <w:tcPr>
            <w:tcW w:w="380" w:type="dxa"/>
            <w:vAlign w:val="bottom"/>
            <w:shd w:val="clear" w:color="auto" w:fill="EDEDEE"/>
          </w:tcPr>
          <w:p>
            <w:pPr>
              <w:spacing w:after="0"/>
              <w:rPr>
                <w:sz w:val="18"/>
                <w:szCs w:val="18"/>
                <w:color w:val="auto"/>
              </w:rPr>
            </w:pPr>
          </w:p>
        </w:tc>
        <w:tc>
          <w:tcPr>
            <w:tcW w:w="5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9 %</w:t>
            </w:r>
          </w:p>
        </w:tc>
        <w:tc>
          <w:tcPr>
            <w:tcW w:w="12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77,446</w:t>
            </w:r>
          </w:p>
        </w:tc>
        <w:tc>
          <w:tcPr>
            <w:tcW w:w="9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8 %</w:t>
            </w:r>
          </w:p>
        </w:tc>
      </w:tr>
      <w:tr>
        <w:trPr>
          <w:trHeight w:val="216"/>
        </w:trPr>
        <w:tc>
          <w:tcPr>
            <w:tcW w:w="3860" w:type="dxa"/>
            <w:vAlign w:val="bottom"/>
          </w:tcPr>
          <w:p>
            <w:pPr>
              <w:ind w:left="120"/>
              <w:spacing w:after="0" w:line="216" w:lineRule="exact"/>
              <w:rPr>
                <w:sz w:val="20"/>
                <w:szCs w:val="20"/>
                <w:color w:val="auto"/>
              </w:rPr>
            </w:pPr>
            <w:r>
              <w:rPr>
                <w:rFonts w:ascii="Arial" w:cs="Arial" w:eastAsia="Arial" w:hAnsi="Arial"/>
                <w:sz w:val="16"/>
                <w:szCs w:val="16"/>
                <w:color w:val="auto"/>
              </w:rPr>
              <w:t>Loans delinquent 60-89 days</w:t>
            </w:r>
            <w:r>
              <w:rPr>
                <w:rFonts w:ascii="Arial" w:cs="Arial" w:eastAsia="Arial" w:hAnsi="Arial"/>
                <w:sz w:val="21"/>
                <w:szCs w:val="21"/>
                <w:color w:val="auto"/>
                <w:vertAlign w:val="superscript"/>
              </w:rPr>
              <w:t>(3)(4)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26,691</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48,976</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43,484</w:t>
            </w:r>
          </w:p>
        </w:tc>
        <w:tc>
          <w:tcPr>
            <w:tcW w:w="94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6"/>
        </w:trPr>
        <w:tc>
          <w:tcPr>
            <w:tcW w:w="3860" w:type="dxa"/>
            <w:vAlign w:val="bottom"/>
            <w:shd w:val="clear" w:color="auto" w:fill="EDEDEE"/>
          </w:tcPr>
          <w:p>
            <w:pPr>
              <w:ind w:left="120"/>
              <w:spacing w:after="0" w:line="216" w:lineRule="exact"/>
              <w:rPr>
                <w:sz w:val="20"/>
                <w:szCs w:val="20"/>
                <w:color w:val="auto"/>
              </w:rPr>
            </w:pPr>
            <w:r>
              <w:rPr>
                <w:rFonts w:ascii="Arial" w:cs="Arial" w:eastAsia="Arial" w:hAnsi="Arial"/>
                <w:sz w:val="16"/>
                <w:szCs w:val="16"/>
                <w:color w:val="auto"/>
              </w:rPr>
              <w:t>Loans 90 days or greater past due</w:t>
            </w:r>
            <w:r>
              <w:rPr>
                <w:rFonts w:ascii="Arial" w:cs="Arial" w:eastAsia="Arial" w:hAnsi="Arial"/>
                <w:sz w:val="21"/>
                <w:szCs w:val="21"/>
                <w:color w:val="auto"/>
                <w:vertAlign w:val="superscript"/>
              </w:rPr>
              <w:t>(3)(4)</w:t>
            </w:r>
          </w:p>
        </w:tc>
        <w:tc>
          <w:tcPr>
            <w:tcW w:w="220" w:type="dxa"/>
            <w:vAlign w:val="bottom"/>
            <w:tcBorders>
              <w:bottom w:val="single" w:sz="8" w:color="auto"/>
            </w:tcBorders>
            <w:shd w:val="clear" w:color="auto" w:fill="EDEDEE"/>
          </w:tcPr>
          <w:p>
            <w:pPr>
              <w:spacing w:after="0"/>
              <w:rPr>
                <w:sz w:val="18"/>
                <w:szCs w:val="18"/>
                <w:color w:val="auto"/>
              </w:rPr>
            </w:pPr>
          </w:p>
        </w:tc>
        <w:tc>
          <w:tcPr>
            <w:tcW w:w="9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24,939</w:t>
            </w:r>
          </w:p>
        </w:tc>
        <w:tc>
          <w:tcPr>
            <w:tcW w:w="380" w:type="dxa"/>
            <w:vAlign w:val="bottom"/>
            <w:tcBorders>
              <w:bottom w:val="single" w:sz="8" w:color="auto"/>
            </w:tcBorders>
            <w:shd w:val="clear" w:color="auto" w:fill="EDEDEE"/>
          </w:tcPr>
          <w:p>
            <w:pPr>
              <w:spacing w:after="0"/>
              <w:rPr>
                <w:sz w:val="18"/>
                <w:szCs w:val="18"/>
                <w:color w:val="auto"/>
              </w:rPr>
            </w:pPr>
          </w:p>
        </w:tc>
        <w:tc>
          <w:tcPr>
            <w:tcW w:w="5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EDEDEE"/>
          </w:tcPr>
          <w:p>
            <w:pPr>
              <w:spacing w:after="0"/>
              <w:rPr>
                <w:sz w:val="18"/>
                <w:szCs w:val="18"/>
                <w:color w:val="auto"/>
              </w:rPr>
            </w:pPr>
          </w:p>
        </w:tc>
        <w:tc>
          <w:tcPr>
            <w:tcW w:w="20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49,463</w:t>
            </w:r>
          </w:p>
        </w:tc>
        <w:tc>
          <w:tcPr>
            <w:tcW w:w="380" w:type="dxa"/>
            <w:vAlign w:val="bottom"/>
            <w:tcBorders>
              <w:bottom w:val="single" w:sz="8" w:color="auto"/>
            </w:tcBorders>
            <w:shd w:val="clear" w:color="auto" w:fill="EDEDEE"/>
          </w:tcPr>
          <w:p>
            <w:pPr>
              <w:spacing w:after="0"/>
              <w:rPr>
                <w:sz w:val="18"/>
                <w:szCs w:val="18"/>
                <w:color w:val="auto"/>
              </w:rPr>
            </w:pPr>
          </w:p>
        </w:tc>
        <w:tc>
          <w:tcPr>
            <w:tcW w:w="5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6 %</w:t>
            </w:r>
          </w:p>
        </w:tc>
        <w:tc>
          <w:tcPr>
            <w:tcW w:w="120" w:type="dxa"/>
            <w:vAlign w:val="bottom"/>
            <w:shd w:val="clear" w:color="auto" w:fill="EDEDEE"/>
          </w:tcPr>
          <w:p>
            <w:pPr>
              <w:spacing w:after="0"/>
              <w:rPr>
                <w:sz w:val="18"/>
                <w:szCs w:val="18"/>
                <w:color w:val="auto"/>
              </w:rPr>
            </w:pPr>
          </w:p>
        </w:tc>
        <w:tc>
          <w:tcPr>
            <w:tcW w:w="22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54,473</w:t>
            </w:r>
          </w:p>
        </w:tc>
        <w:tc>
          <w:tcPr>
            <w:tcW w:w="9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5 %</w:t>
            </w:r>
          </w:p>
        </w:tc>
      </w:tr>
      <w:tr>
        <w:trPr>
          <w:trHeight w:val="209"/>
        </w:trPr>
        <w:tc>
          <w:tcPr>
            <w:tcW w:w="3860" w:type="dxa"/>
            <w:vAlign w:val="bottom"/>
          </w:tcPr>
          <w:p>
            <w:pPr>
              <w:spacing w:after="0"/>
              <w:rPr>
                <w:sz w:val="20"/>
                <w:szCs w:val="20"/>
                <w:color w:val="auto"/>
              </w:rPr>
            </w:pPr>
            <w:r>
              <w:rPr>
                <w:rFonts w:ascii="Arial" w:cs="Arial" w:eastAsia="Arial" w:hAnsi="Arial"/>
                <w:sz w:val="16"/>
                <w:szCs w:val="16"/>
                <w:color w:val="auto"/>
              </w:rPr>
              <w:t>Total loan modifications in repayment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143,663</w:t>
            </w: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867,295</w:t>
            </w: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1,001,410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45"/>
        </w:trPr>
        <w:tc>
          <w:tcPr>
            <w:tcW w:w="3860" w:type="dxa"/>
            <w:vAlign w:val="bottom"/>
            <w:tcBorders>
              <w:bottom w:val="single" w:sz="8" w:color="EDEDEE"/>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EDEDEE"/>
            </w:tcBorders>
          </w:tcPr>
          <w:p>
            <w:pPr>
              <w:spacing w:after="0"/>
              <w:rPr>
                <w:sz w:val="3"/>
                <w:szCs w:val="3"/>
                <w:color w:val="auto"/>
              </w:rPr>
            </w:pPr>
          </w:p>
        </w:tc>
        <w:tc>
          <w:tcPr>
            <w:tcW w:w="540" w:type="dxa"/>
            <w:vAlign w:val="bottom"/>
            <w:tcBorders>
              <w:bottom w:val="single" w:sz="8" w:color="EDEDEE"/>
            </w:tcBorders>
          </w:tcPr>
          <w:p>
            <w:pPr>
              <w:spacing w:after="0"/>
              <w:rPr>
                <w:sz w:val="3"/>
                <w:szCs w:val="3"/>
                <w:color w:val="auto"/>
              </w:rPr>
            </w:pPr>
          </w:p>
        </w:tc>
        <w:tc>
          <w:tcPr>
            <w:tcW w:w="120" w:type="dxa"/>
            <w:vAlign w:val="bottom"/>
            <w:tcBorders>
              <w:bottom w:val="single" w:sz="8" w:color="EDEDEE"/>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80" w:type="dxa"/>
            <w:vAlign w:val="bottom"/>
            <w:tcBorders>
              <w:bottom w:val="single" w:sz="8" w:color="EDEDEE"/>
            </w:tcBorders>
          </w:tcPr>
          <w:p>
            <w:pPr>
              <w:spacing w:after="0"/>
              <w:rPr>
                <w:sz w:val="3"/>
                <w:szCs w:val="3"/>
                <w:color w:val="auto"/>
              </w:rPr>
            </w:pPr>
          </w:p>
        </w:tc>
        <w:tc>
          <w:tcPr>
            <w:tcW w:w="540" w:type="dxa"/>
            <w:vAlign w:val="bottom"/>
            <w:tcBorders>
              <w:bottom w:val="single" w:sz="8" w:color="EDEDEE"/>
            </w:tcBorders>
          </w:tcPr>
          <w:p>
            <w:pPr>
              <w:spacing w:after="0"/>
              <w:rPr>
                <w:sz w:val="3"/>
                <w:szCs w:val="3"/>
                <w:color w:val="auto"/>
              </w:rPr>
            </w:pPr>
          </w:p>
        </w:tc>
        <w:tc>
          <w:tcPr>
            <w:tcW w:w="120" w:type="dxa"/>
            <w:vAlign w:val="bottom"/>
            <w:tcBorders>
              <w:bottom w:val="single" w:sz="8" w:color="EDEDEE"/>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40" w:type="dxa"/>
            <w:vAlign w:val="bottom"/>
            <w:tcBorders>
              <w:bottom w:val="single" w:sz="8" w:color="EDEDEE"/>
            </w:tcBorders>
          </w:tcPr>
          <w:p>
            <w:pPr>
              <w:spacing w:after="0"/>
              <w:rPr>
                <w:sz w:val="3"/>
                <w:szCs w:val="3"/>
                <w:color w:val="auto"/>
              </w:rPr>
            </w:pPr>
          </w:p>
        </w:tc>
      </w:tr>
      <w:tr>
        <w:trPr>
          <w:trHeight w:val="202"/>
        </w:trPr>
        <w:tc>
          <w:tcPr>
            <w:tcW w:w="3860" w:type="dxa"/>
            <w:vAlign w:val="bottom"/>
            <w:tcBorders>
              <w:top w:val="single" w:sz="8" w:color="EDEDEE"/>
              <w:bottom w:val="single" w:sz="8" w:color="EDEDEE"/>
            </w:tcBorders>
            <w:shd w:val="clear" w:color="auto" w:fill="EDEDEE"/>
          </w:tcPr>
          <w:p>
            <w:pPr>
              <w:spacing w:after="0" w:line="177" w:lineRule="exact"/>
              <w:rPr>
                <w:sz w:val="20"/>
                <w:szCs w:val="20"/>
                <w:color w:val="auto"/>
              </w:rPr>
            </w:pPr>
            <w:r>
              <w:rPr>
                <w:rFonts w:ascii="Arial" w:cs="Arial" w:eastAsia="Arial" w:hAnsi="Arial"/>
                <w:sz w:val="16"/>
                <w:szCs w:val="16"/>
                <w:color w:val="auto"/>
              </w:rPr>
              <w:t>Total Private Education Loan modifications</w:t>
            </w:r>
          </w:p>
        </w:tc>
        <w:tc>
          <w:tcPr>
            <w:tcW w:w="220" w:type="dxa"/>
            <w:vAlign w:val="bottom"/>
            <w:tcBorders>
              <w:top w:val="single" w:sz="8" w:color="EDEDEE"/>
              <w:bottom w:val="single" w:sz="8" w:color="auto"/>
            </w:tcBorders>
            <w:shd w:val="clear" w:color="auto" w:fill="EDEDEE"/>
          </w:tcPr>
          <w:p>
            <w:pPr>
              <w:jc w:val="right"/>
              <w:ind w:right="39"/>
              <w:spacing w:after="0" w:line="177"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EDEDEE"/>
              <w:bottom w:val="single" w:sz="8" w:color="auto"/>
            </w:tcBorders>
            <w:shd w:val="clear" w:color="auto" w:fill="EDEDEE"/>
          </w:tcPr>
          <w:p>
            <w:pPr>
              <w:jc w:val="right"/>
              <w:spacing w:after="0" w:line="177" w:lineRule="exact"/>
              <w:rPr>
                <w:sz w:val="20"/>
                <w:szCs w:val="20"/>
                <w:color w:val="auto"/>
              </w:rPr>
            </w:pPr>
            <w:r>
              <w:rPr>
                <w:rFonts w:ascii="Arial" w:cs="Arial" w:eastAsia="Arial" w:hAnsi="Arial"/>
                <w:sz w:val="16"/>
                <w:szCs w:val="16"/>
                <w:color w:val="auto"/>
              </w:rPr>
              <w:t>145,275</w:t>
            </w:r>
          </w:p>
        </w:tc>
        <w:tc>
          <w:tcPr>
            <w:tcW w:w="380" w:type="dxa"/>
            <w:vAlign w:val="bottom"/>
            <w:tcBorders>
              <w:top w:val="single" w:sz="8" w:color="auto"/>
              <w:bottom w:val="single" w:sz="8" w:color="EDEDEE"/>
            </w:tcBorders>
            <w:shd w:val="clear" w:color="auto" w:fill="EDEDEE"/>
          </w:tcPr>
          <w:p>
            <w:pPr>
              <w:spacing w:after="0"/>
              <w:rPr>
                <w:sz w:val="17"/>
                <w:szCs w:val="17"/>
                <w:color w:val="auto"/>
              </w:rPr>
            </w:pPr>
          </w:p>
        </w:tc>
        <w:tc>
          <w:tcPr>
            <w:tcW w:w="540" w:type="dxa"/>
            <w:vAlign w:val="bottom"/>
            <w:tcBorders>
              <w:top w:val="single" w:sz="8" w:color="auto"/>
              <w:bottom w:val="single" w:sz="8" w:color="EDEDEE"/>
            </w:tcBorders>
            <w:shd w:val="clear" w:color="auto" w:fill="EDEDEE"/>
          </w:tcPr>
          <w:p>
            <w:pPr>
              <w:spacing w:after="0"/>
              <w:rPr>
                <w:sz w:val="17"/>
                <w:szCs w:val="17"/>
                <w:color w:val="auto"/>
              </w:rPr>
            </w:pPr>
          </w:p>
        </w:tc>
        <w:tc>
          <w:tcPr>
            <w:tcW w:w="120" w:type="dxa"/>
            <w:vAlign w:val="bottom"/>
            <w:tcBorders>
              <w:top w:val="single" w:sz="8" w:color="EDEDEE"/>
              <w:bottom w:val="single" w:sz="8" w:color="EDEDEE"/>
            </w:tcBorders>
            <w:shd w:val="clear" w:color="auto" w:fill="EDEDEE"/>
          </w:tcPr>
          <w:p>
            <w:pPr>
              <w:spacing w:after="0"/>
              <w:rPr>
                <w:sz w:val="17"/>
                <w:szCs w:val="17"/>
                <w:color w:val="auto"/>
              </w:rPr>
            </w:pPr>
          </w:p>
        </w:tc>
        <w:tc>
          <w:tcPr>
            <w:tcW w:w="200" w:type="dxa"/>
            <w:vAlign w:val="bottom"/>
            <w:tcBorders>
              <w:top w:val="single" w:sz="8" w:color="EDEDEE"/>
              <w:bottom w:val="single" w:sz="8" w:color="auto"/>
            </w:tcBorders>
            <w:shd w:val="clear" w:color="auto" w:fill="EDEDEE"/>
          </w:tcPr>
          <w:p>
            <w:pPr>
              <w:jc w:val="right"/>
              <w:ind w:right="19"/>
              <w:spacing w:after="0" w:line="177"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EDEDEE"/>
              <w:bottom w:val="single" w:sz="8" w:color="auto"/>
            </w:tcBorders>
            <w:shd w:val="clear" w:color="auto" w:fill="EDEDEE"/>
          </w:tcPr>
          <w:p>
            <w:pPr>
              <w:jc w:val="right"/>
              <w:spacing w:after="0" w:line="177" w:lineRule="exact"/>
              <w:rPr>
                <w:sz w:val="20"/>
                <w:szCs w:val="20"/>
                <w:color w:val="auto"/>
              </w:rPr>
            </w:pPr>
            <w:r>
              <w:rPr>
                <w:rFonts w:ascii="Arial" w:cs="Arial" w:eastAsia="Arial" w:hAnsi="Arial"/>
                <w:sz w:val="16"/>
                <w:szCs w:val="16"/>
                <w:color w:val="auto"/>
              </w:rPr>
              <w:t>900,913</w:t>
            </w:r>
          </w:p>
        </w:tc>
        <w:tc>
          <w:tcPr>
            <w:tcW w:w="380" w:type="dxa"/>
            <w:vAlign w:val="bottom"/>
            <w:tcBorders>
              <w:top w:val="single" w:sz="8" w:color="auto"/>
              <w:bottom w:val="single" w:sz="8" w:color="EDEDEE"/>
            </w:tcBorders>
            <w:shd w:val="clear" w:color="auto" w:fill="EDEDEE"/>
          </w:tcPr>
          <w:p>
            <w:pPr>
              <w:spacing w:after="0"/>
              <w:rPr>
                <w:sz w:val="17"/>
                <w:szCs w:val="17"/>
                <w:color w:val="auto"/>
              </w:rPr>
            </w:pPr>
          </w:p>
        </w:tc>
        <w:tc>
          <w:tcPr>
            <w:tcW w:w="540" w:type="dxa"/>
            <w:vAlign w:val="bottom"/>
            <w:tcBorders>
              <w:top w:val="single" w:sz="8" w:color="auto"/>
              <w:bottom w:val="single" w:sz="8" w:color="EDEDEE"/>
            </w:tcBorders>
            <w:shd w:val="clear" w:color="auto" w:fill="EDEDEE"/>
          </w:tcPr>
          <w:p>
            <w:pPr>
              <w:spacing w:after="0"/>
              <w:rPr>
                <w:sz w:val="17"/>
                <w:szCs w:val="17"/>
                <w:color w:val="auto"/>
              </w:rPr>
            </w:pPr>
          </w:p>
        </w:tc>
        <w:tc>
          <w:tcPr>
            <w:tcW w:w="120" w:type="dxa"/>
            <w:vAlign w:val="bottom"/>
            <w:tcBorders>
              <w:top w:val="single" w:sz="8" w:color="EDEDEE"/>
              <w:bottom w:val="single" w:sz="8" w:color="EDEDEE"/>
            </w:tcBorders>
            <w:shd w:val="clear" w:color="auto" w:fill="EDEDEE"/>
          </w:tcPr>
          <w:p>
            <w:pPr>
              <w:spacing w:after="0"/>
              <w:rPr>
                <w:sz w:val="17"/>
                <w:szCs w:val="17"/>
                <w:color w:val="auto"/>
              </w:rPr>
            </w:pPr>
          </w:p>
        </w:tc>
        <w:tc>
          <w:tcPr>
            <w:tcW w:w="220" w:type="dxa"/>
            <w:vAlign w:val="bottom"/>
            <w:tcBorders>
              <w:top w:val="single" w:sz="8" w:color="EDEDEE"/>
              <w:bottom w:val="single" w:sz="8" w:color="auto"/>
            </w:tcBorders>
            <w:shd w:val="clear" w:color="auto" w:fill="EDEDEE"/>
          </w:tcPr>
          <w:p>
            <w:pPr>
              <w:jc w:val="right"/>
              <w:ind w:right="39"/>
              <w:spacing w:after="0" w:line="177"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EDEDEE"/>
              <w:bottom w:val="single" w:sz="8" w:color="auto"/>
            </w:tcBorders>
            <w:shd w:val="clear" w:color="auto" w:fill="EDEDEE"/>
          </w:tcPr>
          <w:p>
            <w:pPr>
              <w:jc w:val="right"/>
              <w:spacing w:after="0" w:line="177" w:lineRule="exact"/>
              <w:rPr>
                <w:sz w:val="20"/>
                <w:szCs w:val="20"/>
                <w:color w:val="auto"/>
              </w:rPr>
            </w:pPr>
            <w:r>
              <w:rPr>
                <w:rFonts w:ascii="Arial" w:cs="Arial" w:eastAsia="Arial" w:hAnsi="Arial"/>
                <w:sz w:val="16"/>
                <w:szCs w:val="16"/>
                <w:color w:val="auto"/>
              </w:rPr>
              <w:t>1,035,055</w:t>
            </w:r>
          </w:p>
        </w:tc>
        <w:tc>
          <w:tcPr>
            <w:tcW w:w="940" w:type="dxa"/>
            <w:vAlign w:val="bottom"/>
            <w:tcBorders>
              <w:top w:val="single" w:sz="8" w:color="auto"/>
              <w:bottom w:val="single" w:sz="8" w:color="EDEDEE"/>
            </w:tcBorders>
            <w:shd w:val="clear" w:color="auto" w:fill="EDEDEE"/>
          </w:tcPr>
          <w:p>
            <w:pPr>
              <w:spacing w:after="0"/>
              <w:rPr>
                <w:sz w:val="17"/>
                <w:szCs w:val="17"/>
                <w:color w:val="auto"/>
              </w:rPr>
            </w:pPr>
          </w:p>
        </w:tc>
      </w:tr>
      <w:tr>
        <w:trPr>
          <w:trHeight w:val="20"/>
        </w:trPr>
        <w:tc>
          <w:tcPr>
            <w:tcW w:w="3860" w:type="dxa"/>
            <w:vAlign w:val="bottom"/>
            <w:tcBorders>
              <w:top w:val="single" w:sz="8" w:color="EDEDEE"/>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980" w:type="dxa"/>
            <w:vAlign w:val="bottom"/>
            <w:tcBorders>
              <w:top w:val="single" w:sz="8" w:color="EDEDEE"/>
              <w:bottom w:val="single" w:sz="8" w:color="auto"/>
            </w:tcBorders>
          </w:tcPr>
          <w:p>
            <w:pPr>
              <w:spacing w:after="0" w:line="20" w:lineRule="exact"/>
              <w:rPr>
                <w:sz w:val="1"/>
                <w:szCs w:val="1"/>
                <w:color w:val="auto"/>
              </w:rPr>
            </w:pPr>
          </w:p>
        </w:tc>
        <w:tc>
          <w:tcPr>
            <w:tcW w:w="380" w:type="dxa"/>
            <w:vAlign w:val="bottom"/>
            <w:tcBorders>
              <w:top w:val="single" w:sz="8" w:color="EDEDEE"/>
            </w:tcBorders>
          </w:tcPr>
          <w:p>
            <w:pPr>
              <w:spacing w:after="0" w:line="20" w:lineRule="exact"/>
              <w:rPr>
                <w:sz w:val="1"/>
                <w:szCs w:val="1"/>
                <w:color w:val="auto"/>
              </w:rPr>
            </w:pPr>
          </w:p>
        </w:tc>
        <w:tc>
          <w:tcPr>
            <w:tcW w:w="54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tcBorders>
          </w:tcPr>
          <w:p>
            <w:pPr>
              <w:spacing w:after="0" w:line="20" w:lineRule="exact"/>
              <w:rPr>
                <w:sz w:val="1"/>
                <w:szCs w:val="1"/>
                <w:color w:val="auto"/>
              </w:rPr>
            </w:pPr>
          </w:p>
        </w:tc>
        <w:tc>
          <w:tcPr>
            <w:tcW w:w="20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380" w:type="dxa"/>
            <w:vAlign w:val="bottom"/>
            <w:tcBorders>
              <w:top w:val="single" w:sz="8" w:color="EDEDEE"/>
            </w:tcBorders>
          </w:tcPr>
          <w:p>
            <w:pPr>
              <w:spacing w:after="0" w:line="20" w:lineRule="exact"/>
              <w:rPr>
                <w:sz w:val="1"/>
                <w:szCs w:val="1"/>
                <w:color w:val="auto"/>
              </w:rPr>
            </w:pPr>
          </w:p>
        </w:tc>
        <w:tc>
          <w:tcPr>
            <w:tcW w:w="54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tcBorders>
          </w:tcPr>
          <w:p>
            <w:pPr>
              <w:spacing w:after="0" w:line="20" w:lineRule="exact"/>
              <w:rPr>
                <w:sz w:val="1"/>
                <w:szCs w:val="1"/>
                <w:color w:val="auto"/>
              </w:rPr>
            </w:pPr>
          </w:p>
        </w:tc>
      </w:tr>
    </w:tbl>
    <w:p>
      <w:pPr>
        <w:spacing w:after="0" w:line="293" w:lineRule="exact"/>
        <w:rPr>
          <w:sz w:val="20"/>
          <w:szCs w:val="20"/>
          <w:color w:val="auto"/>
        </w:rPr>
      </w:pPr>
    </w:p>
    <w:p>
      <w:pPr>
        <w:ind w:left="740" w:right="740" w:hanging="246"/>
        <w:spacing w:after="0" w:line="245" w:lineRule="auto"/>
        <w:tabs>
          <w:tab w:leader="none" w:pos="686" w:val="left"/>
        </w:tabs>
        <w:numPr>
          <w:ilvl w:val="0"/>
          <w:numId w:val="21"/>
        </w:numPr>
        <w:rPr>
          <w:rFonts w:ascii="Arial" w:cs="Arial" w:eastAsia="Arial" w:hAnsi="Arial"/>
          <w:sz w:val="13"/>
          <w:szCs w:val="13"/>
          <w:color w:val="auto"/>
        </w:rPr>
      </w:pPr>
      <w:r>
        <w:rPr>
          <w:rFonts w:ascii="Arial" w:cs="Arial" w:eastAsia="Arial" w:hAnsi="Arial"/>
          <w:sz w:val="13"/>
          <w:szCs w:val="13"/>
          <w:color w:val="auto"/>
        </w:rPr>
        <w:t>Loans that were modified during the twelve months ended March 31, 2025 and subsequently charged-off during the three months ended March 31, 2025 are excluded from the table and had an amortized cost basis of $18.5 million. Loans that were both modified and subsequently charged-off during the twelve months ended March 31, 2025 are excluded from the table and had an amortized cost basis of $50.0 million. Loans that were both modified and subsequently charged-off during the twelve months ended December 31, 2024 are excluded from the table and had an amortized cost basis of $40.4 million. Additionally, loans that received a permanent term extension with no interest rate reduction during the fourth quarter of 2023 are excluded from the table.</w:t>
      </w:r>
    </w:p>
    <w:p>
      <w:pPr>
        <w:spacing w:after="0" w:line="154" w:lineRule="exact"/>
        <w:rPr>
          <w:rFonts w:ascii="Arial" w:cs="Arial" w:eastAsia="Arial" w:hAnsi="Arial"/>
          <w:sz w:val="13"/>
          <w:szCs w:val="13"/>
          <w:color w:val="auto"/>
        </w:rPr>
      </w:pPr>
    </w:p>
    <w:p>
      <w:pPr>
        <w:ind w:left="740" w:right="660" w:hanging="246"/>
        <w:spacing w:after="0" w:line="251" w:lineRule="auto"/>
        <w:tabs>
          <w:tab w:leader="none" w:pos="686"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Deferment includes customers who have returned to school or are engaged in other permitted educational activities and are not yet required to make full principal and interest payments on the loans (e.g., residency periods for medical students or a grace period for bar exam preparation). Deferment also includes loans that have entered a forbearance after the loan modification was granted.</w:t>
      </w:r>
    </w:p>
    <w:p>
      <w:pPr>
        <w:spacing w:after="0" w:line="138" w:lineRule="exact"/>
        <w:rPr>
          <w:rFonts w:ascii="Arial" w:cs="Arial" w:eastAsia="Arial" w:hAnsi="Arial"/>
          <w:sz w:val="13"/>
          <w:szCs w:val="13"/>
          <w:color w:val="auto"/>
        </w:rPr>
      </w:pPr>
    </w:p>
    <w:p>
      <w:pPr>
        <w:ind w:left="740" w:right="620" w:hanging="246"/>
        <w:spacing w:after="0" w:line="264" w:lineRule="auto"/>
        <w:tabs>
          <w:tab w:leader="none" w:pos="686"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loans in repayment, which include loans that have entered full principal and interest repayment status after any applicable grace period (but, for purposes of the table, do not include loans in the “loans in forbearance” metric).</w:t>
      </w:r>
    </w:p>
    <w:p>
      <w:pPr>
        <w:spacing w:after="0" w:line="143" w:lineRule="exact"/>
        <w:rPr>
          <w:rFonts w:ascii="Arial" w:cs="Arial" w:eastAsia="Arial" w:hAnsi="Arial"/>
          <w:sz w:val="13"/>
          <w:szCs w:val="13"/>
          <w:color w:val="auto"/>
        </w:rPr>
      </w:pPr>
    </w:p>
    <w:p>
      <w:pPr>
        <w:ind w:left="680" w:hanging="186"/>
        <w:spacing w:after="0"/>
        <w:tabs>
          <w:tab w:leader="none" w:pos="6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period of delinquency is based on the number of days scheduled payments are contractually past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34F82"/>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0" w:right="379" w:bottom="1440" w:gutter="0" w:footer="0" w:header="0"/>
        </w:sectPr>
      </w:pPr>
    </w:p>
    <w:bookmarkStart w:id="24" w:name="page25"/>
    <w:bookmarkEnd w:id="24"/>
    <w:p>
      <w:pPr>
        <w:ind w:left="380" w:hanging="334"/>
        <w:spacing w:after="0"/>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Private Education Loans Held for Investment - Key Credit Quality Indicators</w:t>
      </w:r>
    </w:p>
    <w:p>
      <w:pPr>
        <w:spacing w:after="0" w:line="11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For Private Education Loans, the key credit quality indicators are FICO scores, the existence of a cosigner, the loan status, and loan seasoning. The FICO scores are assessed at original approval and periodically refreshed/updated through the loan’s term. The following tables highlight the gross principal balance of our Private Education Loan portfolio (held for investment), by year of origination approval/first disbursement, stratified by key credit quality indicators.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192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3"/>
                <w:szCs w:val="13"/>
                <w:b w:val="1"/>
                <w:bCs w:val="1"/>
                <w:color w:val="144F82"/>
              </w:rPr>
              <w:t>As of March 31, 2025</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80" w:type="dxa"/>
            <w:vAlign w:val="bottom"/>
            <w:tcBorders>
              <w:top w:val="single" w:sz="8" w:color="auto"/>
            </w:tcBorders>
            <w:gridSpan w:val="9"/>
            <w:vMerge w:val="restart"/>
          </w:tcPr>
          <w:p>
            <w:pPr>
              <w:jc w:val="right"/>
              <w:ind w:right="437"/>
              <w:spacing w:after="0"/>
              <w:rPr>
                <w:sz w:val="20"/>
                <w:szCs w:val="20"/>
                <w:color w:val="auto"/>
              </w:rPr>
            </w:pPr>
            <w:r>
              <w:rPr>
                <w:rFonts w:ascii="Arial" w:cs="Arial" w:eastAsia="Arial" w:hAnsi="Arial"/>
                <w:sz w:val="13"/>
                <w:szCs w:val="13"/>
                <w:b w:val="1"/>
                <w:bCs w:val="1"/>
                <w:color w:val="144F82"/>
              </w:rPr>
              <w:t>Private Education Loans Held for Investment - Credit Quality Indicators</w:t>
            </w: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80" w:type="dxa"/>
            <w:vAlign w:val="bottom"/>
            <w:tcBorders>
              <w:bottom w:val="single" w:sz="8" w:color="auto"/>
            </w:tcBorders>
            <w:gridSpan w:val="9"/>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20" w:type="dxa"/>
            <w:vAlign w:val="bottom"/>
            <w:vMerge w:val="restart"/>
          </w:tcPr>
          <w:p>
            <w:pPr>
              <w:ind w:left="20"/>
              <w:spacing w:after="0"/>
              <w:rPr>
                <w:sz w:val="20"/>
                <w:szCs w:val="20"/>
                <w:color w:val="auto"/>
              </w:rPr>
            </w:pPr>
            <w:r>
              <w:rPr>
                <w:rFonts w:ascii="Arial" w:cs="Arial" w:eastAsia="Arial" w:hAnsi="Arial"/>
                <w:sz w:val="13"/>
                <w:szCs w:val="13"/>
                <w:b w:val="1"/>
                <w:bCs w:val="1"/>
                <w:color w:val="144F82"/>
              </w:rPr>
              <w:t>Year of Origination Approval</w:t>
            </w:r>
          </w:p>
        </w:tc>
        <w:tc>
          <w:tcPr>
            <w:tcW w:w="180" w:type="dxa"/>
            <w:vAlign w:val="bottom"/>
          </w:tcPr>
          <w:p>
            <w:pPr>
              <w:spacing w:after="0"/>
              <w:rPr>
                <w:sz w:val="10"/>
                <w:szCs w:val="10"/>
                <w:color w:val="auto"/>
              </w:rPr>
            </w:pPr>
          </w:p>
        </w:tc>
        <w:tc>
          <w:tcPr>
            <w:tcW w:w="78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144F82"/>
              </w:rPr>
              <w:t>2025</w:t>
            </w:r>
            <w:r>
              <w:rPr>
                <w:rFonts w:ascii="Arial" w:cs="Arial" w:eastAsia="Arial" w:hAnsi="Arial"/>
                <w:sz w:val="16"/>
                <w:szCs w:val="16"/>
                <w:b w:val="1"/>
                <w:bCs w:val="1"/>
                <w:color w:val="144F82"/>
                <w:vertAlign w:val="superscript"/>
              </w:rPr>
              <w:t>(1)</w:t>
            </w:r>
          </w:p>
        </w:tc>
        <w:tc>
          <w:tcPr>
            <w:tcW w:w="26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144F82"/>
              </w:rPr>
              <w:t>2024</w:t>
            </w:r>
            <w:r>
              <w:rPr>
                <w:rFonts w:ascii="Arial" w:cs="Arial" w:eastAsia="Arial" w:hAnsi="Arial"/>
                <w:sz w:val="16"/>
                <w:szCs w:val="16"/>
                <w:b w:val="1"/>
                <w:bCs w:val="1"/>
                <w:color w:val="144F82"/>
                <w:vertAlign w:val="superscript"/>
              </w:rPr>
              <w:t>(1)</w:t>
            </w:r>
          </w:p>
        </w:tc>
        <w:tc>
          <w:tcPr>
            <w:tcW w:w="240" w:type="dxa"/>
            <w:vAlign w:val="bottom"/>
          </w:tcPr>
          <w:p>
            <w:pPr>
              <w:spacing w:after="0"/>
              <w:rPr>
                <w:sz w:val="10"/>
                <w:szCs w:val="10"/>
                <w:color w:val="auto"/>
              </w:rPr>
            </w:pPr>
          </w:p>
        </w:tc>
        <w:tc>
          <w:tcPr>
            <w:tcW w:w="8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144F82"/>
              </w:rPr>
              <w:t>2023</w:t>
            </w:r>
            <w:r>
              <w:rPr>
                <w:rFonts w:ascii="Arial" w:cs="Arial" w:eastAsia="Arial" w:hAnsi="Arial"/>
                <w:sz w:val="16"/>
                <w:szCs w:val="16"/>
                <w:b w:val="1"/>
                <w:bCs w:val="1"/>
                <w:color w:val="144F82"/>
                <w:vertAlign w:val="superscript"/>
              </w:rPr>
              <w:t>(1)</w:t>
            </w:r>
          </w:p>
        </w:tc>
        <w:tc>
          <w:tcPr>
            <w:tcW w:w="26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144F82"/>
              </w:rPr>
              <w:t>2022</w:t>
            </w:r>
            <w:r>
              <w:rPr>
                <w:rFonts w:ascii="Arial" w:cs="Arial" w:eastAsia="Arial" w:hAnsi="Arial"/>
                <w:sz w:val="16"/>
                <w:szCs w:val="16"/>
                <w:b w:val="1"/>
                <w:bCs w:val="1"/>
                <w:color w:val="144F82"/>
                <w:vertAlign w:val="superscript"/>
              </w:rPr>
              <w:t>(1)</w:t>
            </w:r>
          </w:p>
        </w:tc>
        <w:tc>
          <w:tcPr>
            <w:tcW w:w="26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144F82"/>
              </w:rPr>
              <w:t>2021</w:t>
            </w:r>
            <w:r>
              <w:rPr>
                <w:rFonts w:ascii="Arial" w:cs="Arial" w:eastAsia="Arial" w:hAnsi="Arial"/>
                <w:sz w:val="16"/>
                <w:szCs w:val="16"/>
                <w:b w:val="1"/>
                <w:bCs w:val="1"/>
                <w:color w:val="144F82"/>
                <w:vertAlign w:val="superscript"/>
              </w:rPr>
              <w:t>(1)</w:t>
            </w:r>
          </w:p>
        </w:tc>
        <w:tc>
          <w:tcPr>
            <w:tcW w:w="220" w:type="dxa"/>
            <w:vAlign w:val="bottom"/>
          </w:tcPr>
          <w:p>
            <w:pPr>
              <w:spacing w:after="0"/>
              <w:rPr>
                <w:sz w:val="10"/>
                <w:szCs w:val="10"/>
                <w:color w:val="auto"/>
              </w:rPr>
            </w:pPr>
          </w:p>
        </w:tc>
        <w:tc>
          <w:tcPr>
            <w:tcW w:w="900" w:type="dxa"/>
            <w:vAlign w:val="bottom"/>
          </w:tcPr>
          <w:p>
            <w:pPr>
              <w:jc w:val="right"/>
              <w:ind w:right="217"/>
              <w:spacing w:after="0" w:line="122" w:lineRule="exact"/>
              <w:rPr>
                <w:sz w:val="20"/>
                <w:szCs w:val="20"/>
                <w:color w:val="auto"/>
              </w:rPr>
            </w:pPr>
            <w:r>
              <w:rPr>
                <w:rFonts w:ascii="Arial" w:cs="Arial" w:eastAsia="Arial" w:hAnsi="Arial"/>
                <w:sz w:val="13"/>
                <w:szCs w:val="13"/>
                <w:b w:val="1"/>
                <w:bCs w:val="1"/>
                <w:color w:val="144F82"/>
              </w:rPr>
              <w:t>2020 and</w:t>
            </w:r>
          </w:p>
        </w:tc>
        <w:tc>
          <w:tcPr>
            <w:tcW w:w="240" w:type="dxa"/>
            <w:vAlign w:val="bottom"/>
          </w:tcPr>
          <w:p>
            <w:pPr>
              <w:spacing w:after="0"/>
              <w:rPr>
                <w:sz w:val="10"/>
                <w:szCs w:val="10"/>
                <w:color w:val="auto"/>
              </w:rPr>
            </w:pPr>
          </w:p>
        </w:tc>
        <w:tc>
          <w:tcPr>
            <w:tcW w:w="78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144F82"/>
              </w:rPr>
              <w:t>Total</w:t>
            </w:r>
            <w:r>
              <w:rPr>
                <w:rFonts w:ascii="Arial" w:cs="Arial" w:eastAsia="Arial" w:hAnsi="Arial"/>
                <w:sz w:val="16"/>
                <w:szCs w:val="16"/>
                <w:b w:val="1"/>
                <w:bCs w:val="1"/>
                <w:color w:val="144F82"/>
                <w:vertAlign w:val="superscript"/>
              </w:rPr>
              <w:t>(1)</w:t>
            </w:r>
          </w:p>
        </w:tc>
        <w:tc>
          <w:tcPr>
            <w:tcW w:w="1140" w:type="dxa"/>
            <w:vAlign w:val="bottom"/>
          </w:tcPr>
          <w:p>
            <w:pPr>
              <w:jc w:val="right"/>
              <w:spacing w:after="0" w:line="122" w:lineRule="exact"/>
              <w:rPr>
                <w:sz w:val="20"/>
                <w:szCs w:val="20"/>
                <w:color w:val="auto"/>
              </w:rPr>
            </w:pPr>
            <w:r>
              <w:rPr>
                <w:rFonts w:ascii="Arial" w:cs="Arial" w:eastAsia="Arial" w:hAnsi="Arial"/>
                <w:sz w:val="13"/>
                <w:szCs w:val="13"/>
                <w:b w:val="1"/>
                <w:bCs w:val="1"/>
                <w:color w:val="144F82"/>
              </w:rPr>
              <w:t>% of Balance</w:t>
            </w:r>
          </w:p>
        </w:tc>
        <w:tc>
          <w:tcPr>
            <w:tcW w:w="0" w:type="dxa"/>
            <w:vAlign w:val="bottom"/>
          </w:tcPr>
          <w:p>
            <w:pPr>
              <w:spacing w:after="0"/>
              <w:rPr>
                <w:sz w:val="1"/>
                <w:szCs w:val="1"/>
                <w:color w:val="auto"/>
              </w:rPr>
            </w:pPr>
          </w:p>
        </w:tc>
      </w:tr>
      <w:tr>
        <w:trPr>
          <w:trHeight w:val="189"/>
        </w:trPr>
        <w:tc>
          <w:tcPr>
            <w:tcW w:w="1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144F82"/>
              </w:rPr>
              <w:t>Prior</w:t>
            </w:r>
            <w:r>
              <w:rPr>
                <w:rFonts w:ascii="Arial" w:cs="Arial" w:eastAsia="Arial" w:hAnsi="Arial"/>
                <w:sz w:val="16"/>
                <w:szCs w:val="16"/>
                <w:b w:val="1"/>
                <w:bCs w:val="1"/>
                <w:color w:val="144F82"/>
                <w:vertAlign w:val="superscript"/>
              </w:rPr>
              <w:t>(1)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Cosigners:</w:t>
            </w:r>
          </w:p>
        </w:tc>
        <w:tc>
          <w:tcPr>
            <w:tcW w:w="180" w:type="dxa"/>
            <w:vAlign w:val="bottom"/>
            <w:shd w:val="clear" w:color="auto" w:fill="EDEDEE"/>
          </w:tcPr>
          <w:p>
            <w:pPr>
              <w:spacing w:after="0"/>
              <w:rPr>
                <w:sz w:val="14"/>
                <w:szCs w:val="14"/>
                <w:color w:val="auto"/>
              </w:rPr>
            </w:pPr>
          </w:p>
        </w:tc>
        <w:tc>
          <w:tcPr>
            <w:tcW w:w="78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90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780" w:type="dxa"/>
            <w:vAlign w:val="bottom"/>
            <w:shd w:val="clear" w:color="auto" w:fill="EDEDEE"/>
          </w:tcPr>
          <w:p>
            <w:pPr>
              <w:spacing w:after="0"/>
              <w:rPr>
                <w:sz w:val="14"/>
                <w:szCs w:val="14"/>
                <w:color w:val="auto"/>
              </w:rPr>
            </w:pPr>
          </w:p>
        </w:tc>
        <w:tc>
          <w:tcPr>
            <w:tcW w:w="114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With cosigner</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859,190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5,895,269</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3,629,844</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2,386,878</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1,604,095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5,421,272</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19,796,548</w:t>
            </w:r>
          </w:p>
        </w:tc>
        <w:tc>
          <w:tcPr>
            <w:tcW w:w="1140" w:type="dxa"/>
            <w:vAlign w:val="bottom"/>
          </w:tcPr>
          <w:p>
            <w:pPr>
              <w:jc w:val="right"/>
              <w:spacing w:after="0"/>
              <w:rPr>
                <w:sz w:val="20"/>
                <w:szCs w:val="20"/>
                <w:color w:val="auto"/>
              </w:rPr>
            </w:pPr>
            <w:r>
              <w:rPr>
                <w:rFonts w:ascii="Arial" w:cs="Arial" w:eastAsia="Arial" w:hAnsi="Arial"/>
                <w:sz w:val="13"/>
                <w:szCs w:val="13"/>
                <w:color w:val="auto"/>
              </w:rPr>
              <w:t>88 %</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Without cosigner</w:t>
            </w:r>
          </w:p>
        </w:tc>
        <w:tc>
          <w:tcPr>
            <w:tcW w:w="180" w:type="dxa"/>
            <w:vAlign w:val="bottom"/>
            <w:tcBorders>
              <w:bottom w:val="single" w:sz="8" w:color="auto"/>
            </w:tcBorders>
            <w:shd w:val="clear" w:color="auto" w:fill="EDEDEE"/>
          </w:tcPr>
          <w:p>
            <w:pPr>
              <w:spacing w:after="0"/>
              <w:rPr>
                <w:sz w:val="15"/>
                <w:szCs w:val="15"/>
                <w:color w:val="auto"/>
              </w:rPr>
            </w:pPr>
          </w:p>
        </w:tc>
        <w:tc>
          <w:tcPr>
            <w:tcW w:w="78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83,188</w:t>
            </w:r>
          </w:p>
        </w:tc>
        <w:tc>
          <w:tcPr>
            <w:tcW w:w="26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566,097</w:t>
            </w:r>
          </w:p>
        </w:tc>
        <w:tc>
          <w:tcPr>
            <w:tcW w:w="24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511,306</w:t>
            </w:r>
          </w:p>
        </w:tc>
        <w:tc>
          <w:tcPr>
            <w:tcW w:w="26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397,767</w:t>
            </w:r>
          </w:p>
        </w:tc>
        <w:tc>
          <w:tcPr>
            <w:tcW w:w="26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286,663</w:t>
            </w:r>
          </w:p>
        </w:tc>
        <w:tc>
          <w:tcPr>
            <w:tcW w:w="220" w:type="dxa"/>
            <w:vAlign w:val="bottom"/>
            <w:tcBorders>
              <w:bottom w:val="single" w:sz="8" w:color="auto"/>
            </w:tcBorders>
            <w:shd w:val="clear" w:color="auto" w:fill="EDEDEE"/>
          </w:tcPr>
          <w:p>
            <w:pPr>
              <w:spacing w:after="0"/>
              <w:rPr>
                <w:sz w:val="15"/>
                <w:szCs w:val="15"/>
                <w:color w:val="auto"/>
              </w:rPr>
            </w:pPr>
          </w:p>
        </w:tc>
        <w:tc>
          <w:tcPr>
            <w:tcW w:w="9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790,556</w:t>
            </w:r>
          </w:p>
        </w:tc>
        <w:tc>
          <w:tcPr>
            <w:tcW w:w="240" w:type="dxa"/>
            <w:vAlign w:val="bottom"/>
            <w:tcBorders>
              <w:bottom w:val="single" w:sz="8" w:color="auto"/>
            </w:tcBorders>
            <w:shd w:val="clear" w:color="auto" w:fill="EDEDEE"/>
          </w:tcPr>
          <w:p>
            <w:pPr>
              <w:spacing w:after="0"/>
              <w:rPr>
                <w:sz w:val="15"/>
                <w:szCs w:val="15"/>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2,635,577</w:t>
            </w:r>
          </w:p>
        </w:tc>
        <w:tc>
          <w:tcPr>
            <w:tcW w:w="1140" w:type="dxa"/>
            <w:vAlign w:val="bottom"/>
            <w:tcBorders>
              <w:bottom w:val="single" w:sz="8" w:color="auto"/>
            </w:tcBorders>
            <w:shd w:val="clear" w:color="auto" w:fill="EDEDEE"/>
          </w:tcPr>
          <w:p>
            <w:pPr>
              <w:jc w:val="right"/>
              <w:ind w:right="11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4"/>
        </w:trPr>
        <w:tc>
          <w:tcPr>
            <w:tcW w:w="1920" w:type="dxa"/>
            <w:vAlign w:val="bottom"/>
          </w:tcPr>
          <w:p>
            <w:pPr>
              <w:ind w:left="20"/>
              <w:spacing w:after="0" w:line="146" w:lineRule="exact"/>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942,378</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6,461,366</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4,141,150</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2,784,645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1,890,758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6,211,828</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22,432,125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1920" w:type="dxa"/>
            <w:vAlign w:val="bottom"/>
            <w:tcBorders>
              <w:bottom w:val="single" w:sz="8" w:color="EDEDEE"/>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920" w:type="dxa"/>
            <w:vAlign w:val="bottom"/>
            <w:shd w:val="clear" w:color="auto" w:fill="EDEDEE"/>
          </w:tcPr>
          <w:p>
            <w:pPr>
              <w:spacing w:after="0"/>
              <w:rPr>
                <w:sz w:val="11"/>
                <w:szCs w:val="11"/>
                <w:color w:val="auto"/>
              </w:rPr>
            </w:pPr>
          </w:p>
        </w:tc>
        <w:tc>
          <w:tcPr>
            <w:tcW w:w="180" w:type="dxa"/>
            <w:vAlign w:val="bottom"/>
            <w:shd w:val="clear" w:color="auto" w:fill="EDEDEE"/>
          </w:tcPr>
          <w:p>
            <w:pPr>
              <w:spacing w:after="0"/>
              <w:rPr>
                <w:sz w:val="11"/>
                <w:szCs w:val="11"/>
                <w:color w:val="auto"/>
              </w:rPr>
            </w:pPr>
          </w:p>
        </w:tc>
        <w:tc>
          <w:tcPr>
            <w:tcW w:w="78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4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20" w:type="dxa"/>
            <w:vAlign w:val="bottom"/>
            <w:shd w:val="clear" w:color="auto" w:fill="EDEDEE"/>
          </w:tcPr>
          <w:p>
            <w:pPr>
              <w:spacing w:after="0"/>
              <w:rPr>
                <w:sz w:val="11"/>
                <w:szCs w:val="11"/>
                <w:color w:val="auto"/>
              </w:rPr>
            </w:pPr>
          </w:p>
        </w:tc>
        <w:tc>
          <w:tcPr>
            <w:tcW w:w="900" w:type="dxa"/>
            <w:vAlign w:val="bottom"/>
            <w:shd w:val="clear" w:color="auto" w:fill="EDEDEE"/>
          </w:tcPr>
          <w:p>
            <w:pPr>
              <w:spacing w:after="0"/>
              <w:rPr>
                <w:sz w:val="11"/>
                <w:szCs w:val="11"/>
                <w:color w:val="auto"/>
              </w:rPr>
            </w:pPr>
          </w:p>
        </w:tc>
        <w:tc>
          <w:tcPr>
            <w:tcW w:w="240" w:type="dxa"/>
            <w:vAlign w:val="bottom"/>
            <w:shd w:val="clear" w:color="auto" w:fill="EDEDEE"/>
          </w:tcPr>
          <w:p>
            <w:pPr>
              <w:spacing w:after="0"/>
              <w:rPr>
                <w:sz w:val="11"/>
                <w:szCs w:val="11"/>
                <w:color w:val="auto"/>
              </w:rPr>
            </w:pPr>
          </w:p>
        </w:tc>
        <w:tc>
          <w:tcPr>
            <w:tcW w:w="780" w:type="dxa"/>
            <w:vAlign w:val="bottom"/>
            <w:shd w:val="clear" w:color="auto" w:fill="EDEDEE"/>
          </w:tcPr>
          <w:p>
            <w:pPr>
              <w:spacing w:after="0"/>
              <w:rPr>
                <w:sz w:val="11"/>
                <w:szCs w:val="11"/>
                <w:color w:val="auto"/>
              </w:rPr>
            </w:pPr>
          </w:p>
        </w:tc>
        <w:tc>
          <w:tcPr>
            <w:tcW w:w="114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5" w:lineRule="exact"/>
              <w:rPr>
                <w:sz w:val="20"/>
                <w:szCs w:val="20"/>
                <w:color w:val="auto"/>
              </w:rPr>
            </w:pPr>
            <w:r>
              <w:rPr>
                <w:rFonts w:ascii="Arial" w:cs="Arial" w:eastAsia="Arial" w:hAnsi="Arial"/>
                <w:sz w:val="13"/>
                <w:szCs w:val="13"/>
                <w:color w:val="auto"/>
              </w:rPr>
              <w:t>FICO at Origination Approval</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Less than 670</w:t>
            </w:r>
          </w:p>
        </w:tc>
        <w:tc>
          <w:tcPr>
            <w:tcW w:w="18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51,495</w:t>
            </w:r>
          </w:p>
        </w:tc>
        <w:tc>
          <w:tcPr>
            <w:tcW w:w="26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379,320</w:t>
            </w:r>
          </w:p>
        </w:tc>
        <w:tc>
          <w:tcPr>
            <w:tcW w:w="2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310,698</w:t>
            </w:r>
          </w:p>
        </w:tc>
        <w:tc>
          <w:tcPr>
            <w:tcW w:w="26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231,818</w:t>
            </w:r>
          </w:p>
        </w:tc>
        <w:tc>
          <w:tcPr>
            <w:tcW w:w="26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144,364</w:t>
            </w:r>
          </w:p>
        </w:tc>
        <w:tc>
          <w:tcPr>
            <w:tcW w:w="22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537,354</w:t>
            </w:r>
          </w:p>
        </w:tc>
        <w:tc>
          <w:tcPr>
            <w:tcW w:w="2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1,655,049</w:t>
            </w:r>
          </w:p>
        </w:tc>
        <w:tc>
          <w:tcPr>
            <w:tcW w:w="11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670-699</w:t>
            </w:r>
          </w:p>
        </w:tc>
        <w:tc>
          <w:tcPr>
            <w:tcW w:w="18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124,044</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783,165</w:t>
            </w: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590,368</w:t>
            </w:r>
          </w:p>
        </w:tc>
        <w:tc>
          <w:tcPr>
            <w:tcW w:w="2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394,851</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260,696</w:t>
            </w:r>
          </w:p>
        </w:tc>
        <w:tc>
          <w:tcPr>
            <w:tcW w:w="22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1,029,177</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3,182,301</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700-749</w:t>
            </w:r>
          </w:p>
        </w:tc>
        <w:tc>
          <w:tcPr>
            <w:tcW w:w="180" w:type="dxa"/>
            <w:vAlign w:val="bottom"/>
            <w:shd w:val="clear" w:color="auto" w:fill="EDEDEE"/>
          </w:tcPr>
          <w:p>
            <w:pPr>
              <w:spacing w:after="0"/>
              <w:rPr>
                <w:sz w:val="15"/>
                <w:szCs w:val="15"/>
                <w:color w:val="auto"/>
              </w:rPr>
            </w:pPr>
          </w:p>
        </w:tc>
        <w:tc>
          <w:tcPr>
            <w:tcW w:w="78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294,174</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1,955,019</w:t>
            </w: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1,278,201</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872,195</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603,290</w:t>
            </w: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2,093,039</w:t>
            </w:r>
          </w:p>
        </w:tc>
        <w:tc>
          <w:tcPr>
            <w:tcW w:w="240" w:type="dxa"/>
            <w:vAlign w:val="bottom"/>
            <w:shd w:val="clear" w:color="auto" w:fill="EDEDEE"/>
          </w:tcPr>
          <w:p>
            <w:pPr>
              <w:spacing w:after="0"/>
              <w:rPr>
                <w:sz w:val="15"/>
                <w:szCs w:val="15"/>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7,095,918</w:t>
            </w:r>
          </w:p>
        </w:tc>
        <w:tc>
          <w:tcPr>
            <w:tcW w:w="11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EDEDEE"/>
            </w:tcBorders>
          </w:tcPr>
          <w:p>
            <w:pPr>
              <w:ind w:left="20"/>
              <w:spacing w:after="0"/>
              <w:rPr>
                <w:sz w:val="20"/>
                <w:szCs w:val="20"/>
                <w:color w:val="auto"/>
              </w:rPr>
            </w:pPr>
            <w:r>
              <w:rPr>
                <w:rFonts w:ascii="Arial" w:cs="Arial" w:eastAsia="Arial" w:hAnsi="Arial"/>
                <w:sz w:val="13"/>
                <w:szCs w:val="13"/>
                <w:color w:val="auto"/>
              </w:rPr>
              <w:t>Greater than or equal to 750</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472,665</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3,343,862</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1,961,883</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1,285,781</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882,408</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2,552,258</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10,498,857</w:t>
            </w: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99"/>
        </w:trPr>
        <w:tc>
          <w:tcPr>
            <w:tcW w:w="19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942,378</w:t>
            </w:r>
          </w:p>
        </w:tc>
        <w:tc>
          <w:tcPr>
            <w:tcW w:w="26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6,461,366</w:t>
            </w:r>
          </w:p>
        </w:tc>
        <w:tc>
          <w:tcPr>
            <w:tcW w:w="24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4,141,150</w:t>
            </w:r>
          </w:p>
        </w:tc>
        <w:tc>
          <w:tcPr>
            <w:tcW w:w="26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2,784,645</w:t>
            </w:r>
          </w:p>
        </w:tc>
        <w:tc>
          <w:tcPr>
            <w:tcW w:w="26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1,890,758</w:t>
            </w:r>
          </w:p>
        </w:tc>
        <w:tc>
          <w:tcPr>
            <w:tcW w:w="2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6,211,828</w:t>
            </w:r>
          </w:p>
        </w:tc>
        <w:tc>
          <w:tcPr>
            <w:tcW w:w="24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22,432,125</w:t>
            </w:r>
          </w:p>
        </w:tc>
        <w:tc>
          <w:tcPr>
            <w:tcW w:w="1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1920" w:type="dxa"/>
            <w:vAlign w:val="bottom"/>
            <w:tcBorders>
              <w:top w:val="single" w:sz="8" w:color="EDEDEE"/>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11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EDEDEE"/>
            </w:tcBorders>
          </w:tcPr>
          <w:p>
            <w:pPr>
              <w:spacing w:after="0"/>
              <w:rPr>
                <w:sz w:val="6"/>
                <w:szCs w:val="6"/>
                <w:color w:val="auto"/>
              </w:rPr>
            </w:pPr>
          </w:p>
        </w:tc>
        <w:tc>
          <w:tcPr>
            <w:tcW w:w="180" w:type="dxa"/>
            <w:vAlign w:val="bottom"/>
            <w:tcBorders>
              <w:bottom w:val="single" w:sz="8" w:color="EDEDEE"/>
            </w:tcBorders>
          </w:tcPr>
          <w:p>
            <w:pPr>
              <w:spacing w:after="0"/>
              <w:rPr>
                <w:sz w:val="6"/>
                <w:szCs w:val="6"/>
                <w:color w:val="auto"/>
              </w:rPr>
            </w:pPr>
          </w:p>
        </w:tc>
        <w:tc>
          <w:tcPr>
            <w:tcW w:w="780" w:type="dxa"/>
            <w:vAlign w:val="bottom"/>
            <w:tcBorders>
              <w:bottom w:val="single" w:sz="8" w:color="EDEDEE"/>
            </w:tcBorders>
          </w:tcPr>
          <w:p>
            <w:pPr>
              <w:spacing w:after="0"/>
              <w:rPr>
                <w:sz w:val="6"/>
                <w:szCs w:val="6"/>
                <w:color w:val="auto"/>
              </w:rPr>
            </w:pPr>
          </w:p>
        </w:tc>
        <w:tc>
          <w:tcPr>
            <w:tcW w:w="260" w:type="dxa"/>
            <w:vAlign w:val="bottom"/>
            <w:tcBorders>
              <w:bottom w:val="single" w:sz="8" w:color="EDEDEE"/>
            </w:tcBorders>
          </w:tcPr>
          <w:p>
            <w:pPr>
              <w:spacing w:after="0"/>
              <w:rPr>
                <w:sz w:val="6"/>
                <w:szCs w:val="6"/>
                <w:color w:val="auto"/>
              </w:rPr>
            </w:pPr>
          </w:p>
        </w:tc>
        <w:tc>
          <w:tcPr>
            <w:tcW w:w="800" w:type="dxa"/>
            <w:vAlign w:val="bottom"/>
            <w:tcBorders>
              <w:bottom w:val="single" w:sz="8" w:color="EDEDEE"/>
            </w:tcBorders>
          </w:tcPr>
          <w:p>
            <w:pPr>
              <w:spacing w:after="0"/>
              <w:rPr>
                <w:sz w:val="6"/>
                <w:szCs w:val="6"/>
                <w:color w:val="auto"/>
              </w:rPr>
            </w:pPr>
          </w:p>
        </w:tc>
        <w:tc>
          <w:tcPr>
            <w:tcW w:w="240" w:type="dxa"/>
            <w:vAlign w:val="bottom"/>
            <w:tcBorders>
              <w:bottom w:val="single" w:sz="8" w:color="EDEDEE"/>
            </w:tcBorders>
          </w:tcPr>
          <w:p>
            <w:pPr>
              <w:spacing w:after="0"/>
              <w:rPr>
                <w:sz w:val="6"/>
                <w:szCs w:val="6"/>
                <w:color w:val="auto"/>
              </w:rPr>
            </w:pPr>
          </w:p>
        </w:tc>
        <w:tc>
          <w:tcPr>
            <w:tcW w:w="800" w:type="dxa"/>
            <w:vAlign w:val="bottom"/>
            <w:tcBorders>
              <w:bottom w:val="single" w:sz="8" w:color="EDEDEE"/>
            </w:tcBorders>
          </w:tcPr>
          <w:p>
            <w:pPr>
              <w:spacing w:after="0"/>
              <w:rPr>
                <w:sz w:val="6"/>
                <w:szCs w:val="6"/>
                <w:color w:val="auto"/>
              </w:rPr>
            </w:pPr>
          </w:p>
        </w:tc>
        <w:tc>
          <w:tcPr>
            <w:tcW w:w="260" w:type="dxa"/>
            <w:vAlign w:val="bottom"/>
            <w:tcBorders>
              <w:bottom w:val="single" w:sz="8" w:color="EDEDEE"/>
            </w:tcBorders>
          </w:tcPr>
          <w:p>
            <w:pPr>
              <w:spacing w:after="0"/>
              <w:rPr>
                <w:sz w:val="6"/>
                <w:szCs w:val="6"/>
                <w:color w:val="auto"/>
              </w:rPr>
            </w:pPr>
          </w:p>
        </w:tc>
        <w:tc>
          <w:tcPr>
            <w:tcW w:w="800" w:type="dxa"/>
            <w:vAlign w:val="bottom"/>
            <w:tcBorders>
              <w:bottom w:val="single" w:sz="8" w:color="EDEDEE"/>
            </w:tcBorders>
          </w:tcPr>
          <w:p>
            <w:pPr>
              <w:spacing w:after="0"/>
              <w:rPr>
                <w:sz w:val="6"/>
                <w:szCs w:val="6"/>
                <w:color w:val="auto"/>
              </w:rPr>
            </w:pPr>
          </w:p>
        </w:tc>
        <w:tc>
          <w:tcPr>
            <w:tcW w:w="260" w:type="dxa"/>
            <w:vAlign w:val="bottom"/>
            <w:tcBorders>
              <w:bottom w:val="single" w:sz="8" w:color="EDEDEE"/>
            </w:tcBorders>
          </w:tcPr>
          <w:p>
            <w:pPr>
              <w:spacing w:after="0"/>
              <w:rPr>
                <w:sz w:val="6"/>
                <w:szCs w:val="6"/>
                <w:color w:val="auto"/>
              </w:rPr>
            </w:pPr>
          </w:p>
        </w:tc>
        <w:tc>
          <w:tcPr>
            <w:tcW w:w="800" w:type="dxa"/>
            <w:vAlign w:val="bottom"/>
            <w:tcBorders>
              <w:bottom w:val="single" w:sz="8" w:color="EDEDEE"/>
            </w:tcBorders>
          </w:tcPr>
          <w:p>
            <w:pPr>
              <w:spacing w:after="0"/>
              <w:rPr>
                <w:sz w:val="6"/>
                <w:szCs w:val="6"/>
                <w:color w:val="auto"/>
              </w:rPr>
            </w:pPr>
          </w:p>
        </w:tc>
        <w:tc>
          <w:tcPr>
            <w:tcW w:w="220" w:type="dxa"/>
            <w:vAlign w:val="bottom"/>
            <w:tcBorders>
              <w:bottom w:val="single" w:sz="8" w:color="EDEDEE"/>
            </w:tcBorders>
          </w:tcPr>
          <w:p>
            <w:pPr>
              <w:spacing w:after="0"/>
              <w:rPr>
                <w:sz w:val="6"/>
                <w:szCs w:val="6"/>
                <w:color w:val="auto"/>
              </w:rPr>
            </w:pPr>
          </w:p>
        </w:tc>
        <w:tc>
          <w:tcPr>
            <w:tcW w:w="900" w:type="dxa"/>
            <w:vAlign w:val="bottom"/>
            <w:tcBorders>
              <w:bottom w:val="single" w:sz="8" w:color="EDEDEE"/>
            </w:tcBorders>
          </w:tcPr>
          <w:p>
            <w:pPr>
              <w:spacing w:after="0"/>
              <w:rPr>
                <w:sz w:val="6"/>
                <w:szCs w:val="6"/>
                <w:color w:val="auto"/>
              </w:rPr>
            </w:pPr>
          </w:p>
        </w:tc>
        <w:tc>
          <w:tcPr>
            <w:tcW w:w="240" w:type="dxa"/>
            <w:vAlign w:val="bottom"/>
            <w:tcBorders>
              <w:bottom w:val="single" w:sz="8" w:color="EDEDEE"/>
            </w:tcBorders>
          </w:tcPr>
          <w:p>
            <w:pPr>
              <w:spacing w:after="0"/>
              <w:rPr>
                <w:sz w:val="6"/>
                <w:szCs w:val="6"/>
                <w:color w:val="auto"/>
              </w:rPr>
            </w:pPr>
          </w:p>
        </w:tc>
        <w:tc>
          <w:tcPr>
            <w:tcW w:w="780" w:type="dxa"/>
            <w:vAlign w:val="bottom"/>
            <w:tcBorders>
              <w:bottom w:val="single" w:sz="8" w:color="EDEDEE"/>
            </w:tcBorders>
          </w:tcPr>
          <w:p>
            <w:pPr>
              <w:spacing w:after="0"/>
              <w:rPr>
                <w:sz w:val="6"/>
                <w:szCs w:val="6"/>
                <w:color w:val="auto"/>
              </w:rPr>
            </w:pPr>
          </w:p>
        </w:tc>
        <w:tc>
          <w:tcPr>
            <w:tcW w:w="1140" w:type="dxa"/>
            <w:vAlign w:val="bottom"/>
            <w:tcBorders>
              <w:bottom w:val="single" w:sz="8" w:color="EDEDEE"/>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5" w:lineRule="exact"/>
              <w:rPr>
                <w:sz w:val="20"/>
                <w:szCs w:val="20"/>
                <w:color w:val="auto"/>
              </w:rPr>
            </w:pPr>
            <w:r>
              <w:rPr>
                <w:rFonts w:ascii="Arial" w:cs="Arial" w:eastAsia="Arial" w:hAnsi="Arial"/>
                <w:sz w:val="13"/>
                <w:szCs w:val="13"/>
                <w:color w:val="auto"/>
              </w:rPr>
              <w:t>FICO Refreshed</w:t>
            </w:r>
            <w:r>
              <w:rPr>
                <w:rFonts w:ascii="Arial" w:cs="Arial" w:eastAsia="Arial" w:hAnsi="Arial"/>
                <w:sz w:val="16"/>
                <w:szCs w:val="16"/>
                <w:color w:val="auto"/>
                <w:vertAlign w:val="superscript"/>
              </w:rPr>
              <w:t>(2)(3)</w:t>
            </w: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Less than 670</w:t>
            </w:r>
          </w:p>
        </w:tc>
        <w:tc>
          <w:tcPr>
            <w:tcW w:w="18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78,272</w:t>
            </w:r>
          </w:p>
        </w:tc>
        <w:tc>
          <w:tcPr>
            <w:tcW w:w="26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616,695</w:t>
            </w:r>
          </w:p>
        </w:tc>
        <w:tc>
          <w:tcPr>
            <w:tcW w:w="2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578,313</w:t>
            </w:r>
          </w:p>
        </w:tc>
        <w:tc>
          <w:tcPr>
            <w:tcW w:w="26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449,560</w:t>
            </w:r>
          </w:p>
        </w:tc>
        <w:tc>
          <w:tcPr>
            <w:tcW w:w="26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302,294</w:t>
            </w:r>
          </w:p>
        </w:tc>
        <w:tc>
          <w:tcPr>
            <w:tcW w:w="22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1,037,950</w:t>
            </w:r>
          </w:p>
        </w:tc>
        <w:tc>
          <w:tcPr>
            <w:tcW w:w="2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3,063,084</w:t>
            </w:r>
          </w:p>
        </w:tc>
        <w:tc>
          <w:tcPr>
            <w:tcW w:w="11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670-699</w:t>
            </w:r>
          </w:p>
        </w:tc>
        <w:tc>
          <w:tcPr>
            <w:tcW w:w="18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126,040</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800,321</w:t>
            </w: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530,393</w:t>
            </w:r>
          </w:p>
        </w:tc>
        <w:tc>
          <w:tcPr>
            <w:tcW w:w="2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344,692</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222,205</w:t>
            </w:r>
          </w:p>
        </w:tc>
        <w:tc>
          <w:tcPr>
            <w:tcW w:w="22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664,969</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2,688,620</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700-749</w:t>
            </w:r>
          </w:p>
        </w:tc>
        <w:tc>
          <w:tcPr>
            <w:tcW w:w="180" w:type="dxa"/>
            <w:vAlign w:val="bottom"/>
            <w:shd w:val="clear" w:color="auto" w:fill="EDEDEE"/>
          </w:tcPr>
          <w:p>
            <w:pPr>
              <w:spacing w:after="0"/>
              <w:rPr>
                <w:sz w:val="15"/>
                <w:szCs w:val="15"/>
                <w:color w:val="auto"/>
              </w:rPr>
            </w:pPr>
          </w:p>
        </w:tc>
        <w:tc>
          <w:tcPr>
            <w:tcW w:w="78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286,159</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1,863,056</w:t>
            </w: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1,148,737</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742,163</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494,666</w:t>
            </w: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1,590,227</w:t>
            </w:r>
          </w:p>
        </w:tc>
        <w:tc>
          <w:tcPr>
            <w:tcW w:w="240" w:type="dxa"/>
            <w:vAlign w:val="bottom"/>
            <w:shd w:val="clear" w:color="auto" w:fill="EDEDEE"/>
          </w:tcPr>
          <w:p>
            <w:pPr>
              <w:spacing w:after="0"/>
              <w:rPr>
                <w:sz w:val="15"/>
                <w:szCs w:val="15"/>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6,125,008</w:t>
            </w:r>
          </w:p>
        </w:tc>
        <w:tc>
          <w:tcPr>
            <w:tcW w:w="11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EDEDEE"/>
            </w:tcBorders>
          </w:tcPr>
          <w:p>
            <w:pPr>
              <w:ind w:left="20"/>
              <w:spacing w:after="0"/>
              <w:rPr>
                <w:sz w:val="20"/>
                <w:szCs w:val="20"/>
                <w:color w:val="auto"/>
              </w:rPr>
            </w:pPr>
            <w:r>
              <w:rPr>
                <w:rFonts w:ascii="Arial" w:cs="Arial" w:eastAsia="Arial" w:hAnsi="Arial"/>
                <w:sz w:val="13"/>
                <w:szCs w:val="13"/>
                <w:color w:val="auto"/>
              </w:rPr>
              <w:t>Greater than or equal to 750</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451,907</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3,181,294</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1,883,707</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1,248,230</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871,593</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2,918,682</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10,555,413</w:t>
            </w: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99"/>
        </w:trPr>
        <w:tc>
          <w:tcPr>
            <w:tcW w:w="19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942,378</w:t>
            </w:r>
          </w:p>
        </w:tc>
        <w:tc>
          <w:tcPr>
            <w:tcW w:w="26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6,461,366</w:t>
            </w:r>
          </w:p>
        </w:tc>
        <w:tc>
          <w:tcPr>
            <w:tcW w:w="24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4,141,150</w:t>
            </w:r>
          </w:p>
        </w:tc>
        <w:tc>
          <w:tcPr>
            <w:tcW w:w="26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2,784,645</w:t>
            </w:r>
          </w:p>
        </w:tc>
        <w:tc>
          <w:tcPr>
            <w:tcW w:w="26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1,890,758</w:t>
            </w:r>
          </w:p>
        </w:tc>
        <w:tc>
          <w:tcPr>
            <w:tcW w:w="2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6,211,828</w:t>
            </w:r>
          </w:p>
        </w:tc>
        <w:tc>
          <w:tcPr>
            <w:tcW w:w="24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22,432,125</w:t>
            </w:r>
          </w:p>
        </w:tc>
        <w:tc>
          <w:tcPr>
            <w:tcW w:w="1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1920" w:type="dxa"/>
            <w:vAlign w:val="bottom"/>
            <w:tcBorders>
              <w:top w:val="single" w:sz="8" w:color="EDEDEE"/>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11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20" w:type="dxa"/>
            <w:vAlign w:val="bottom"/>
            <w:shd w:val="clear" w:color="auto" w:fill="EDEDEE"/>
          </w:tcPr>
          <w:p>
            <w:pPr>
              <w:ind w:left="20"/>
              <w:spacing w:after="0" w:line="175" w:lineRule="exact"/>
              <w:rPr>
                <w:sz w:val="20"/>
                <w:szCs w:val="20"/>
                <w:color w:val="auto"/>
              </w:rPr>
            </w:pPr>
            <w:r>
              <w:rPr>
                <w:rFonts w:ascii="Arial" w:cs="Arial" w:eastAsia="Arial" w:hAnsi="Arial"/>
                <w:sz w:val="13"/>
                <w:szCs w:val="13"/>
                <w:color w:val="auto"/>
              </w:rPr>
              <w:t>Seasoning</w:t>
            </w:r>
            <w:r>
              <w:rPr>
                <w:rFonts w:ascii="Arial" w:cs="Arial" w:eastAsia="Arial" w:hAnsi="Arial"/>
                <w:sz w:val="16"/>
                <w:szCs w:val="16"/>
                <w:color w:val="auto"/>
                <w:vertAlign w:val="superscript"/>
              </w:rPr>
              <w:t>(4)</w:t>
            </w:r>
            <w:r>
              <w:rPr>
                <w:rFonts w:ascii="Arial" w:cs="Arial" w:eastAsia="Arial" w:hAnsi="Arial"/>
                <w:sz w:val="13"/>
                <w:szCs w:val="13"/>
                <w:color w:val="auto"/>
              </w:rPr>
              <w:t>:</w:t>
            </w:r>
          </w:p>
        </w:tc>
        <w:tc>
          <w:tcPr>
            <w:tcW w:w="180" w:type="dxa"/>
            <w:vAlign w:val="bottom"/>
            <w:shd w:val="clear" w:color="auto" w:fill="EDEDEE"/>
          </w:tcPr>
          <w:p>
            <w:pPr>
              <w:spacing w:after="0"/>
              <w:rPr>
                <w:sz w:val="15"/>
                <w:szCs w:val="15"/>
                <w:color w:val="auto"/>
              </w:rPr>
            </w:pPr>
          </w:p>
        </w:tc>
        <w:tc>
          <w:tcPr>
            <w:tcW w:w="780" w:type="dxa"/>
            <w:vAlign w:val="bottom"/>
            <w:shd w:val="clear" w:color="auto" w:fill="EDEDEE"/>
          </w:tcPr>
          <w:p>
            <w:pPr>
              <w:spacing w:after="0"/>
              <w:rPr>
                <w:sz w:val="15"/>
                <w:szCs w:val="15"/>
                <w:color w:val="auto"/>
              </w:rPr>
            </w:pP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spacing w:after="0"/>
              <w:rPr>
                <w:sz w:val="15"/>
                <w:szCs w:val="15"/>
                <w:color w:val="auto"/>
              </w:rPr>
            </w:pPr>
          </w:p>
        </w:tc>
        <w:tc>
          <w:tcPr>
            <w:tcW w:w="240" w:type="dxa"/>
            <w:vAlign w:val="bottom"/>
            <w:shd w:val="clear" w:color="auto" w:fill="EDEDEE"/>
          </w:tcPr>
          <w:p>
            <w:pPr>
              <w:spacing w:after="0"/>
              <w:rPr>
                <w:sz w:val="15"/>
                <w:szCs w:val="15"/>
                <w:color w:val="auto"/>
              </w:rPr>
            </w:pPr>
          </w:p>
        </w:tc>
        <w:tc>
          <w:tcPr>
            <w:tcW w:w="780" w:type="dxa"/>
            <w:vAlign w:val="bottom"/>
            <w:shd w:val="clear" w:color="auto" w:fill="EDEDEE"/>
          </w:tcPr>
          <w:p>
            <w:pPr>
              <w:spacing w:after="0"/>
              <w:rPr>
                <w:sz w:val="15"/>
                <w:szCs w:val="15"/>
                <w:color w:val="auto"/>
              </w:rPr>
            </w:pPr>
          </w:p>
        </w:tc>
        <w:tc>
          <w:tcPr>
            <w:tcW w:w="1140" w:type="dxa"/>
            <w:vAlign w:val="bottom"/>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1-12 payments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506,319</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3,438,840</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544,214</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398,355</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227,135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389,019</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5,503,882</w:t>
            </w:r>
          </w:p>
        </w:tc>
        <w:tc>
          <w:tcPr>
            <w:tcW w:w="1140" w:type="dxa"/>
            <w:vAlign w:val="bottom"/>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13-24 payments</w:t>
            </w:r>
          </w:p>
        </w:tc>
        <w:tc>
          <w:tcPr>
            <w:tcW w:w="180" w:type="dxa"/>
            <w:vAlign w:val="bottom"/>
            <w:shd w:val="clear" w:color="auto" w:fill="EDEDEE"/>
          </w:tcPr>
          <w:p>
            <w:pPr>
              <w:spacing w:after="0"/>
              <w:rPr>
                <w:sz w:val="15"/>
                <w:szCs w:val="15"/>
                <w:color w:val="auto"/>
              </w:rPr>
            </w:pPr>
          </w:p>
        </w:tc>
        <w:tc>
          <w:tcPr>
            <w:tcW w:w="78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295,985</w:t>
            </w: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2,093,179</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263,144</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169,556</w:t>
            </w: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406,222</w:t>
            </w:r>
          </w:p>
        </w:tc>
        <w:tc>
          <w:tcPr>
            <w:tcW w:w="240" w:type="dxa"/>
            <w:vAlign w:val="bottom"/>
            <w:shd w:val="clear" w:color="auto" w:fill="EDEDEE"/>
          </w:tcPr>
          <w:p>
            <w:pPr>
              <w:spacing w:after="0"/>
              <w:rPr>
                <w:sz w:val="15"/>
                <w:szCs w:val="15"/>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3,228,086</w:t>
            </w:r>
          </w:p>
        </w:tc>
        <w:tc>
          <w:tcPr>
            <w:tcW w:w="11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25-36 payments</w:t>
            </w:r>
          </w:p>
        </w:tc>
        <w:tc>
          <w:tcPr>
            <w:tcW w:w="18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161,894</w:t>
            </w:r>
          </w:p>
        </w:tc>
        <w:tc>
          <w:tcPr>
            <w:tcW w:w="2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1,384,100</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172,968</w:t>
            </w:r>
          </w:p>
        </w:tc>
        <w:tc>
          <w:tcPr>
            <w:tcW w:w="22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483,553</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2,202,515</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37-48 payments</w:t>
            </w:r>
          </w:p>
        </w:tc>
        <w:tc>
          <w:tcPr>
            <w:tcW w:w="180" w:type="dxa"/>
            <w:vAlign w:val="bottom"/>
            <w:shd w:val="clear" w:color="auto" w:fill="EDEDEE"/>
          </w:tcPr>
          <w:p>
            <w:pPr>
              <w:spacing w:after="0"/>
              <w:rPr>
                <w:sz w:val="15"/>
                <w:szCs w:val="15"/>
                <w:color w:val="auto"/>
              </w:rPr>
            </w:pPr>
          </w:p>
        </w:tc>
        <w:tc>
          <w:tcPr>
            <w:tcW w:w="78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103,094</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947,463</w:t>
            </w: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547,483</w:t>
            </w:r>
          </w:p>
        </w:tc>
        <w:tc>
          <w:tcPr>
            <w:tcW w:w="240" w:type="dxa"/>
            <w:vAlign w:val="bottom"/>
            <w:shd w:val="clear" w:color="auto" w:fill="EDEDEE"/>
          </w:tcPr>
          <w:p>
            <w:pPr>
              <w:spacing w:after="0"/>
              <w:rPr>
                <w:sz w:val="15"/>
                <w:szCs w:val="15"/>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1,598,040</w:t>
            </w:r>
          </w:p>
        </w:tc>
        <w:tc>
          <w:tcPr>
            <w:tcW w:w="11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More than 48 payments</w:t>
            </w:r>
          </w:p>
        </w:tc>
        <w:tc>
          <w:tcPr>
            <w:tcW w:w="18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53,621</w:t>
            </w:r>
          </w:p>
        </w:tc>
        <w:tc>
          <w:tcPr>
            <w:tcW w:w="22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3,782,254</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3,835,875</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5"/>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Not yet in repayment</w:t>
            </w:r>
          </w:p>
        </w:tc>
        <w:tc>
          <w:tcPr>
            <w:tcW w:w="180" w:type="dxa"/>
            <w:vAlign w:val="bottom"/>
            <w:tcBorders>
              <w:bottom w:val="single" w:sz="8" w:color="auto"/>
            </w:tcBorders>
            <w:shd w:val="clear" w:color="auto" w:fill="EDEDEE"/>
          </w:tcPr>
          <w:p>
            <w:pPr>
              <w:spacing w:after="0"/>
              <w:rPr>
                <w:sz w:val="15"/>
                <w:szCs w:val="15"/>
                <w:color w:val="auto"/>
              </w:rPr>
            </w:pPr>
          </w:p>
        </w:tc>
        <w:tc>
          <w:tcPr>
            <w:tcW w:w="78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436,059</w:t>
            </w:r>
          </w:p>
        </w:tc>
        <w:tc>
          <w:tcPr>
            <w:tcW w:w="26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2,726,541</w:t>
            </w:r>
          </w:p>
        </w:tc>
        <w:tc>
          <w:tcPr>
            <w:tcW w:w="24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1,341,863</w:t>
            </w:r>
          </w:p>
        </w:tc>
        <w:tc>
          <w:tcPr>
            <w:tcW w:w="26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635,952</w:t>
            </w:r>
          </w:p>
        </w:tc>
        <w:tc>
          <w:tcPr>
            <w:tcW w:w="26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320,015</w:t>
            </w:r>
          </w:p>
        </w:tc>
        <w:tc>
          <w:tcPr>
            <w:tcW w:w="220" w:type="dxa"/>
            <w:vAlign w:val="bottom"/>
            <w:tcBorders>
              <w:bottom w:val="single" w:sz="8" w:color="auto"/>
            </w:tcBorders>
            <w:shd w:val="clear" w:color="auto" w:fill="EDEDEE"/>
          </w:tcPr>
          <w:p>
            <w:pPr>
              <w:spacing w:after="0"/>
              <w:rPr>
                <w:sz w:val="15"/>
                <w:szCs w:val="15"/>
                <w:color w:val="auto"/>
              </w:rPr>
            </w:pPr>
          </w:p>
        </w:tc>
        <w:tc>
          <w:tcPr>
            <w:tcW w:w="9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603,297</w:t>
            </w:r>
          </w:p>
        </w:tc>
        <w:tc>
          <w:tcPr>
            <w:tcW w:w="240" w:type="dxa"/>
            <w:vAlign w:val="bottom"/>
            <w:tcBorders>
              <w:bottom w:val="single" w:sz="8" w:color="auto"/>
            </w:tcBorders>
            <w:shd w:val="clear" w:color="auto" w:fill="EDEDEE"/>
          </w:tcPr>
          <w:p>
            <w:pPr>
              <w:spacing w:after="0"/>
              <w:rPr>
                <w:sz w:val="15"/>
                <w:szCs w:val="15"/>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6,063,727</w:t>
            </w:r>
          </w:p>
        </w:tc>
        <w:tc>
          <w:tcPr>
            <w:tcW w:w="1140" w:type="dxa"/>
            <w:vAlign w:val="bottom"/>
            <w:tcBorders>
              <w:bottom w:val="single" w:sz="8" w:color="auto"/>
            </w:tcBorders>
            <w:shd w:val="clear" w:color="auto" w:fill="EDEDEE"/>
          </w:tcPr>
          <w:p>
            <w:pPr>
              <w:jc w:val="right"/>
              <w:ind w:right="11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4"/>
        </w:trPr>
        <w:tc>
          <w:tcPr>
            <w:tcW w:w="1920" w:type="dxa"/>
            <w:vAlign w:val="bottom"/>
          </w:tcPr>
          <w:p>
            <w:pPr>
              <w:ind w:left="20"/>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942,378</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6,461,366</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4,141,150</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2,784,645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1,890,758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6,211,828</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22,432,125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1920" w:type="dxa"/>
            <w:vAlign w:val="bottom"/>
            <w:tcBorders>
              <w:bottom w:val="single" w:sz="8" w:color="EDEDEE"/>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20" w:type="dxa"/>
            <w:vAlign w:val="bottom"/>
            <w:shd w:val="clear" w:color="auto" w:fill="EDEDEE"/>
          </w:tcPr>
          <w:p>
            <w:pPr>
              <w:spacing w:after="0"/>
              <w:rPr>
                <w:sz w:val="15"/>
                <w:szCs w:val="15"/>
                <w:color w:val="auto"/>
              </w:rPr>
            </w:pPr>
          </w:p>
        </w:tc>
        <w:tc>
          <w:tcPr>
            <w:tcW w:w="180" w:type="dxa"/>
            <w:vAlign w:val="bottom"/>
            <w:shd w:val="clear" w:color="auto" w:fill="EDEDEE"/>
          </w:tcPr>
          <w:p>
            <w:pPr>
              <w:spacing w:after="0"/>
              <w:rPr>
                <w:sz w:val="15"/>
                <w:szCs w:val="15"/>
                <w:color w:val="auto"/>
              </w:rPr>
            </w:pPr>
          </w:p>
        </w:tc>
        <w:tc>
          <w:tcPr>
            <w:tcW w:w="780" w:type="dxa"/>
            <w:vAlign w:val="bottom"/>
            <w:shd w:val="clear" w:color="auto" w:fill="EDEDEE"/>
          </w:tcPr>
          <w:p>
            <w:pPr>
              <w:spacing w:after="0"/>
              <w:rPr>
                <w:sz w:val="15"/>
                <w:szCs w:val="15"/>
                <w:color w:val="auto"/>
              </w:rPr>
            </w:pP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spacing w:after="0"/>
              <w:rPr>
                <w:sz w:val="15"/>
                <w:szCs w:val="15"/>
                <w:color w:val="auto"/>
              </w:rPr>
            </w:pPr>
          </w:p>
        </w:tc>
        <w:tc>
          <w:tcPr>
            <w:tcW w:w="240" w:type="dxa"/>
            <w:vAlign w:val="bottom"/>
            <w:shd w:val="clear" w:color="auto" w:fill="EDEDEE"/>
          </w:tcPr>
          <w:p>
            <w:pPr>
              <w:spacing w:after="0"/>
              <w:rPr>
                <w:sz w:val="15"/>
                <w:szCs w:val="15"/>
                <w:color w:val="auto"/>
              </w:rPr>
            </w:pPr>
          </w:p>
        </w:tc>
        <w:tc>
          <w:tcPr>
            <w:tcW w:w="780" w:type="dxa"/>
            <w:vAlign w:val="bottom"/>
            <w:shd w:val="clear" w:color="auto" w:fill="EDEDEE"/>
          </w:tcPr>
          <w:p>
            <w:pPr>
              <w:spacing w:after="0"/>
              <w:rPr>
                <w:sz w:val="15"/>
                <w:szCs w:val="15"/>
                <w:color w:val="auto"/>
              </w:rPr>
            </w:pPr>
          </w:p>
        </w:tc>
        <w:tc>
          <w:tcPr>
            <w:tcW w:w="1140" w:type="dxa"/>
            <w:vAlign w:val="bottom"/>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920" w:type="dxa"/>
            <w:vAlign w:val="bottom"/>
          </w:tcPr>
          <w:p>
            <w:pPr>
              <w:ind w:left="20"/>
              <w:spacing w:after="0" w:line="122" w:lineRule="exact"/>
              <w:rPr>
                <w:sz w:val="20"/>
                <w:szCs w:val="20"/>
                <w:color w:val="auto"/>
              </w:rPr>
            </w:pPr>
            <w:r>
              <w:rPr>
                <w:rFonts w:ascii="Arial" w:cs="Arial" w:eastAsia="Arial" w:hAnsi="Arial"/>
                <w:sz w:val="11"/>
                <w:szCs w:val="11"/>
                <w:color w:val="auto"/>
              </w:rPr>
              <w:t>2025 Current period</w:t>
            </w:r>
            <w:r>
              <w:rPr>
                <w:rFonts w:ascii="Arial" w:cs="Arial" w:eastAsia="Arial" w:hAnsi="Arial"/>
                <w:sz w:val="14"/>
                <w:szCs w:val="14"/>
                <w:color w:val="auto"/>
                <w:vertAlign w:val="superscript"/>
              </w:rPr>
              <w:t>(5)</w:t>
            </w:r>
            <w:r>
              <w:rPr>
                <w:rFonts w:ascii="Arial" w:cs="Arial" w:eastAsia="Arial" w:hAnsi="Arial"/>
                <w:sz w:val="11"/>
                <w:szCs w:val="11"/>
                <w:color w:val="auto"/>
              </w:rPr>
              <w:t xml:space="preserve"> gross</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20"/>
              <w:spacing w:after="0"/>
              <w:rPr>
                <w:sz w:val="20"/>
                <w:szCs w:val="20"/>
                <w:color w:val="auto"/>
              </w:rPr>
            </w:pPr>
            <w:r>
              <w:rPr>
                <w:rFonts w:ascii="Arial" w:cs="Arial" w:eastAsia="Arial" w:hAnsi="Arial"/>
                <w:sz w:val="13"/>
                <w:szCs w:val="13"/>
                <w:color w:val="auto"/>
              </w:rPr>
              <w:t>charge-offs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(2,204)</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(11,879)</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(14,517)</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(11,192)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(47,081)</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(86,903)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20" w:type="dxa"/>
            <w:vAlign w:val="bottom"/>
            <w:shd w:val="clear" w:color="auto" w:fill="EDEDEE"/>
          </w:tcPr>
          <w:p>
            <w:pPr>
              <w:ind w:left="20"/>
              <w:spacing w:after="0" w:line="129" w:lineRule="exact"/>
              <w:rPr>
                <w:sz w:val="20"/>
                <w:szCs w:val="20"/>
                <w:color w:val="auto"/>
              </w:rPr>
            </w:pPr>
            <w:r>
              <w:rPr>
                <w:rFonts w:ascii="Arial" w:cs="Arial" w:eastAsia="Arial" w:hAnsi="Arial"/>
                <w:sz w:val="11"/>
                <w:szCs w:val="11"/>
                <w:color w:val="auto"/>
              </w:rPr>
              <w:t>2025 Current period</w:t>
            </w:r>
            <w:r>
              <w:rPr>
                <w:rFonts w:ascii="Arial" w:cs="Arial" w:eastAsia="Arial" w:hAnsi="Arial"/>
                <w:sz w:val="14"/>
                <w:szCs w:val="14"/>
                <w:color w:val="auto"/>
                <w:vertAlign w:val="superscript"/>
              </w:rPr>
              <w:t>(5)</w:t>
            </w:r>
          </w:p>
        </w:tc>
        <w:tc>
          <w:tcPr>
            <w:tcW w:w="180" w:type="dxa"/>
            <w:vAlign w:val="bottom"/>
            <w:shd w:val="clear" w:color="auto" w:fill="EDEDEE"/>
          </w:tcPr>
          <w:p>
            <w:pPr>
              <w:spacing w:after="0"/>
              <w:rPr>
                <w:sz w:val="11"/>
                <w:szCs w:val="11"/>
                <w:color w:val="auto"/>
              </w:rPr>
            </w:pPr>
          </w:p>
        </w:tc>
        <w:tc>
          <w:tcPr>
            <w:tcW w:w="78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4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20" w:type="dxa"/>
            <w:vAlign w:val="bottom"/>
            <w:shd w:val="clear" w:color="auto" w:fill="EDEDEE"/>
          </w:tcPr>
          <w:p>
            <w:pPr>
              <w:spacing w:after="0"/>
              <w:rPr>
                <w:sz w:val="11"/>
                <w:szCs w:val="11"/>
                <w:color w:val="auto"/>
              </w:rPr>
            </w:pPr>
          </w:p>
        </w:tc>
        <w:tc>
          <w:tcPr>
            <w:tcW w:w="900" w:type="dxa"/>
            <w:vAlign w:val="bottom"/>
            <w:shd w:val="clear" w:color="auto" w:fill="EDEDEE"/>
          </w:tcPr>
          <w:p>
            <w:pPr>
              <w:spacing w:after="0"/>
              <w:rPr>
                <w:sz w:val="11"/>
                <w:szCs w:val="11"/>
                <w:color w:val="auto"/>
              </w:rPr>
            </w:pPr>
          </w:p>
        </w:tc>
        <w:tc>
          <w:tcPr>
            <w:tcW w:w="240" w:type="dxa"/>
            <w:vAlign w:val="bottom"/>
            <w:shd w:val="clear" w:color="auto" w:fill="EDEDEE"/>
          </w:tcPr>
          <w:p>
            <w:pPr>
              <w:spacing w:after="0"/>
              <w:rPr>
                <w:sz w:val="11"/>
                <w:szCs w:val="11"/>
                <w:color w:val="auto"/>
              </w:rPr>
            </w:pPr>
          </w:p>
        </w:tc>
        <w:tc>
          <w:tcPr>
            <w:tcW w:w="780" w:type="dxa"/>
            <w:vAlign w:val="bottom"/>
            <w:shd w:val="clear" w:color="auto" w:fill="EDEDEE"/>
          </w:tcPr>
          <w:p>
            <w:pPr>
              <w:spacing w:after="0"/>
              <w:rPr>
                <w:sz w:val="11"/>
                <w:szCs w:val="11"/>
                <w:color w:val="auto"/>
              </w:rPr>
            </w:pPr>
          </w:p>
        </w:tc>
        <w:tc>
          <w:tcPr>
            <w:tcW w:w="114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recoveries</w:t>
            </w:r>
          </w:p>
        </w:tc>
        <w:tc>
          <w:tcPr>
            <w:tcW w:w="180" w:type="dxa"/>
            <w:vAlign w:val="bottom"/>
            <w:tcBorders>
              <w:bottom w:val="single" w:sz="8" w:color="auto"/>
            </w:tcBorders>
            <w:shd w:val="clear" w:color="auto" w:fill="EDEDEE"/>
          </w:tcPr>
          <w:p>
            <w:pPr>
              <w:spacing w:after="0"/>
              <w:rPr>
                <w:sz w:val="16"/>
                <w:szCs w:val="16"/>
                <w:color w:val="auto"/>
              </w:rPr>
            </w:pPr>
          </w:p>
        </w:tc>
        <w:tc>
          <w:tcPr>
            <w:tcW w:w="78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EDEDEE"/>
          </w:tcPr>
          <w:p>
            <w:pPr>
              <w:spacing w:after="0"/>
              <w:rPr>
                <w:sz w:val="16"/>
                <w:szCs w:val="16"/>
                <w:color w:val="auto"/>
              </w:rPr>
            </w:pP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167</w:t>
            </w:r>
          </w:p>
        </w:tc>
        <w:tc>
          <w:tcPr>
            <w:tcW w:w="240" w:type="dxa"/>
            <w:vAlign w:val="bottom"/>
            <w:tcBorders>
              <w:bottom w:val="single" w:sz="8" w:color="auto"/>
            </w:tcBorders>
            <w:shd w:val="clear" w:color="auto" w:fill="EDEDEE"/>
          </w:tcPr>
          <w:p>
            <w:pPr>
              <w:spacing w:after="0"/>
              <w:rPr>
                <w:sz w:val="16"/>
                <w:szCs w:val="16"/>
                <w:color w:val="auto"/>
              </w:rPr>
            </w:pP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1,045</w:t>
            </w:r>
          </w:p>
        </w:tc>
        <w:tc>
          <w:tcPr>
            <w:tcW w:w="260" w:type="dxa"/>
            <w:vAlign w:val="bottom"/>
            <w:tcBorders>
              <w:bottom w:val="single" w:sz="8" w:color="auto"/>
            </w:tcBorders>
            <w:shd w:val="clear" w:color="auto" w:fill="EDEDEE"/>
          </w:tcPr>
          <w:p>
            <w:pPr>
              <w:spacing w:after="0"/>
              <w:rPr>
                <w:sz w:val="16"/>
                <w:szCs w:val="16"/>
                <w:color w:val="auto"/>
              </w:rPr>
            </w:pP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1,515</w:t>
            </w:r>
          </w:p>
        </w:tc>
        <w:tc>
          <w:tcPr>
            <w:tcW w:w="260" w:type="dxa"/>
            <w:vAlign w:val="bottom"/>
            <w:tcBorders>
              <w:bottom w:val="single" w:sz="8" w:color="auto"/>
            </w:tcBorders>
            <w:shd w:val="clear" w:color="auto" w:fill="EDEDEE"/>
          </w:tcPr>
          <w:p>
            <w:pPr>
              <w:spacing w:after="0"/>
              <w:rPr>
                <w:sz w:val="16"/>
                <w:szCs w:val="16"/>
                <w:color w:val="auto"/>
              </w:rPr>
            </w:pP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1,135</w:t>
            </w:r>
          </w:p>
        </w:tc>
        <w:tc>
          <w:tcPr>
            <w:tcW w:w="220" w:type="dxa"/>
            <w:vAlign w:val="bottom"/>
            <w:tcBorders>
              <w:bottom w:val="single" w:sz="8" w:color="auto"/>
            </w:tcBorders>
            <w:shd w:val="clear" w:color="auto" w:fill="EDEDEE"/>
          </w:tcPr>
          <w:p>
            <w:pPr>
              <w:spacing w:after="0"/>
              <w:rPr>
                <w:sz w:val="16"/>
                <w:szCs w:val="16"/>
                <w:color w:val="auto"/>
              </w:rPr>
            </w:pPr>
          </w:p>
        </w:tc>
        <w:tc>
          <w:tcPr>
            <w:tcW w:w="9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6,872</w:t>
            </w:r>
          </w:p>
        </w:tc>
        <w:tc>
          <w:tcPr>
            <w:tcW w:w="240" w:type="dxa"/>
            <w:vAlign w:val="bottom"/>
            <w:tcBorders>
              <w:bottom w:val="single" w:sz="8" w:color="auto"/>
            </w:tcBorders>
            <w:shd w:val="clear" w:color="auto" w:fill="EDEDEE"/>
          </w:tcPr>
          <w:p>
            <w:pPr>
              <w:spacing w:after="0"/>
              <w:rPr>
                <w:sz w:val="16"/>
                <w:szCs w:val="16"/>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10,734</w:t>
            </w:r>
          </w:p>
        </w:tc>
        <w:tc>
          <w:tcPr>
            <w:tcW w:w="1140" w:type="dxa"/>
            <w:vAlign w:val="bottom"/>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920" w:type="dxa"/>
            <w:vAlign w:val="bottom"/>
          </w:tcPr>
          <w:p>
            <w:pPr>
              <w:ind w:left="20"/>
              <w:spacing w:after="0" w:line="102" w:lineRule="exact"/>
              <w:rPr>
                <w:sz w:val="20"/>
                <w:szCs w:val="20"/>
                <w:color w:val="auto"/>
              </w:rPr>
            </w:pPr>
            <w:r>
              <w:rPr>
                <w:rFonts w:ascii="Arial" w:cs="Arial" w:eastAsia="Arial" w:hAnsi="Arial"/>
                <w:sz w:val="9"/>
                <w:szCs w:val="9"/>
                <w:color w:val="auto"/>
              </w:rPr>
              <w:t>2025 Current period</w:t>
            </w:r>
            <w:r>
              <w:rPr>
                <w:rFonts w:ascii="Arial" w:cs="Arial" w:eastAsia="Arial" w:hAnsi="Arial"/>
                <w:sz w:val="11"/>
                <w:szCs w:val="11"/>
                <w:color w:val="auto"/>
                <w:vertAlign w:val="superscript"/>
              </w:rPr>
              <w:t>(5)</w:t>
            </w:r>
            <w:r>
              <w:rPr>
                <w:rFonts w:ascii="Arial" w:cs="Arial" w:eastAsia="Arial" w:hAnsi="Arial"/>
                <w:sz w:val="9"/>
                <w:szCs w:val="9"/>
                <w:color w:val="auto"/>
              </w:rPr>
              <w:t xml:space="preserve"> net</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(30)</w:t>
            </w:r>
          </w:p>
        </w:tc>
        <w:tc>
          <w:tcPr>
            <w:tcW w:w="2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(2,037)</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(10,834)</w:t>
            </w:r>
          </w:p>
        </w:tc>
        <w:tc>
          <w:tcPr>
            <w:tcW w:w="2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(13,002)</w:t>
            </w:r>
          </w:p>
        </w:tc>
        <w:tc>
          <w:tcPr>
            <w:tcW w:w="2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(10,057)</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(40,209)</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(76,169)</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Arial" w:cs="Arial" w:eastAsia="Arial" w:hAnsi="Arial"/>
                <w:sz w:val="13"/>
                <w:szCs w:val="13"/>
                <w:color w:val="auto"/>
              </w:rPr>
              <w:t>charge-offs</w:t>
            </w:r>
          </w:p>
        </w:tc>
        <w:tc>
          <w:tcPr>
            <w:tcW w:w="1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EDEDEE"/>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EDED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20" w:type="dxa"/>
            <w:vAlign w:val="bottom"/>
            <w:shd w:val="clear" w:color="auto" w:fill="EDEDEE"/>
          </w:tcPr>
          <w:p>
            <w:pPr>
              <w:spacing w:after="0"/>
              <w:rPr>
                <w:sz w:val="11"/>
                <w:szCs w:val="11"/>
                <w:color w:val="auto"/>
              </w:rPr>
            </w:pPr>
          </w:p>
        </w:tc>
        <w:tc>
          <w:tcPr>
            <w:tcW w:w="180" w:type="dxa"/>
            <w:vAlign w:val="bottom"/>
            <w:shd w:val="clear" w:color="auto" w:fill="EDEDEE"/>
          </w:tcPr>
          <w:p>
            <w:pPr>
              <w:spacing w:after="0"/>
              <w:rPr>
                <w:sz w:val="11"/>
                <w:szCs w:val="11"/>
                <w:color w:val="auto"/>
              </w:rPr>
            </w:pPr>
          </w:p>
        </w:tc>
        <w:tc>
          <w:tcPr>
            <w:tcW w:w="78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4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20" w:type="dxa"/>
            <w:vAlign w:val="bottom"/>
            <w:shd w:val="clear" w:color="auto" w:fill="EDEDEE"/>
          </w:tcPr>
          <w:p>
            <w:pPr>
              <w:spacing w:after="0"/>
              <w:rPr>
                <w:sz w:val="11"/>
                <w:szCs w:val="11"/>
                <w:color w:val="auto"/>
              </w:rPr>
            </w:pPr>
          </w:p>
        </w:tc>
        <w:tc>
          <w:tcPr>
            <w:tcW w:w="900" w:type="dxa"/>
            <w:vAlign w:val="bottom"/>
            <w:shd w:val="clear" w:color="auto" w:fill="EDEDEE"/>
          </w:tcPr>
          <w:p>
            <w:pPr>
              <w:spacing w:after="0"/>
              <w:rPr>
                <w:sz w:val="11"/>
                <w:szCs w:val="11"/>
                <w:color w:val="auto"/>
              </w:rPr>
            </w:pPr>
          </w:p>
        </w:tc>
        <w:tc>
          <w:tcPr>
            <w:tcW w:w="240" w:type="dxa"/>
            <w:vAlign w:val="bottom"/>
            <w:shd w:val="clear" w:color="auto" w:fill="EDEDEE"/>
          </w:tcPr>
          <w:p>
            <w:pPr>
              <w:spacing w:after="0"/>
              <w:rPr>
                <w:sz w:val="11"/>
                <w:szCs w:val="11"/>
                <w:color w:val="auto"/>
              </w:rPr>
            </w:pPr>
          </w:p>
        </w:tc>
        <w:tc>
          <w:tcPr>
            <w:tcW w:w="780" w:type="dxa"/>
            <w:vAlign w:val="bottom"/>
            <w:shd w:val="clear" w:color="auto" w:fill="EDEDEE"/>
          </w:tcPr>
          <w:p>
            <w:pPr>
              <w:spacing w:after="0"/>
              <w:rPr>
                <w:sz w:val="11"/>
                <w:szCs w:val="11"/>
                <w:color w:val="auto"/>
              </w:rPr>
            </w:pPr>
          </w:p>
        </w:tc>
        <w:tc>
          <w:tcPr>
            <w:tcW w:w="114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20"/>
              <w:spacing w:after="0" w:line="122" w:lineRule="exact"/>
              <w:rPr>
                <w:sz w:val="20"/>
                <w:szCs w:val="20"/>
                <w:color w:val="auto"/>
              </w:rPr>
            </w:pPr>
            <w:r>
              <w:rPr>
                <w:rFonts w:ascii="Arial" w:cs="Arial" w:eastAsia="Arial" w:hAnsi="Arial"/>
                <w:sz w:val="13"/>
                <w:szCs w:val="13"/>
                <w:color w:val="auto"/>
              </w:rPr>
              <w:t>Total accrued interest by</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rPr>
                <w:sz w:val="20"/>
                <w:szCs w:val="20"/>
                <w:color w:val="auto"/>
              </w:rPr>
            </w:pPr>
            <w:r>
              <w:rPr>
                <w:rFonts w:ascii="Arial" w:cs="Arial" w:eastAsia="Arial" w:hAnsi="Arial"/>
                <w:sz w:val="13"/>
                <w:szCs w:val="13"/>
                <w:color w:val="auto"/>
              </w:rPr>
              <w:t>origination approval vintage</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14,681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304,006</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427,589</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300,194</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186,056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325,939</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1,558,465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1760" w:hanging="317"/>
        <w:spacing w:after="0"/>
        <w:tabs>
          <w:tab w:leader="none" w:pos="1760" w:val="left"/>
        </w:tabs>
        <w:numPr>
          <w:ilvl w:val="0"/>
          <w:numId w:val="23"/>
        </w:numPr>
        <w:rPr>
          <w:rFonts w:ascii="Arial" w:cs="Arial" w:eastAsia="Arial" w:hAnsi="Arial"/>
          <w:sz w:val="7"/>
          <w:szCs w:val="7"/>
          <w:color w:val="auto"/>
        </w:rPr>
      </w:pPr>
      <w:r>
        <w:rPr>
          <w:rFonts w:ascii="Arial" w:cs="Arial" w:eastAsia="Arial" w:hAnsi="Arial"/>
          <w:sz w:val="11"/>
          <w:szCs w:val="11"/>
          <w:color w:val="auto"/>
        </w:rPr>
        <w:t>Balance represents gross Private Education Loans held for investment.</w:t>
      </w:r>
    </w:p>
    <w:p>
      <w:pPr>
        <w:spacing w:after="0" w:line="35" w:lineRule="exact"/>
        <w:rPr>
          <w:rFonts w:ascii="Arial" w:cs="Arial" w:eastAsia="Arial" w:hAnsi="Arial"/>
          <w:sz w:val="7"/>
          <w:szCs w:val="7"/>
          <w:color w:val="auto"/>
        </w:rPr>
      </w:pPr>
    </w:p>
    <w:p>
      <w:pPr>
        <w:ind w:left="1760" w:hanging="317"/>
        <w:spacing w:after="0"/>
        <w:tabs>
          <w:tab w:leader="none" w:pos="1760" w:val="left"/>
        </w:tabs>
        <w:numPr>
          <w:ilvl w:val="0"/>
          <w:numId w:val="23"/>
        </w:numPr>
        <w:rPr>
          <w:rFonts w:ascii="Arial" w:cs="Arial" w:eastAsia="Arial" w:hAnsi="Arial"/>
          <w:sz w:val="7"/>
          <w:szCs w:val="7"/>
          <w:color w:val="auto"/>
        </w:rPr>
      </w:pPr>
      <w:r>
        <w:rPr>
          <w:rFonts w:ascii="Arial" w:cs="Arial" w:eastAsia="Arial" w:hAnsi="Arial"/>
          <w:sz w:val="11"/>
          <w:szCs w:val="11"/>
          <w:color w:val="auto"/>
        </w:rPr>
        <w:t>Represents the higher credit score of the cosigner or the borrower.</w:t>
      </w:r>
    </w:p>
    <w:p>
      <w:pPr>
        <w:spacing w:after="0" w:line="35" w:lineRule="exact"/>
        <w:rPr>
          <w:rFonts w:ascii="Arial" w:cs="Arial" w:eastAsia="Arial" w:hAnsi="Arial"/>
          <w:sz w:val="7"/>
          <w:szCs w:val="7"/>
          <w:color w:val="auto"/>
        </w:rPr>
      </w:pPr>
    </w:p>
    <w:p>
      <w:pPr>
        <w:ind w:left="1760" w:hanging="317"/>
        <w:spacing w:after="0"/>
        <w:tabs>
          <w:tab w:leader="none" w:pos="1760" w:val="left"/>
        </w:tabs>
        <w:numPr>
          <w:ilvl w:val="0"/>
          <w:numId w:val="23"/>
        </w:numPr>
        <w:rPr>
          <w:rFonts w:ascii="Arial" w:cs="Arial" w:eastAsia="Arial" w:hAnsi="Arial"/>
          <w:sz w:val="7"/>
          <w:szCs w:val="7"/>
          <w:color w:val="auto"/>
        </w:rPr>
      </w:pPr>
      <w:r>
        <w:rPr>
          <w:rFonts w:ascii="Arial" w:cs="Arial" w:eastAsia="Arial" w:hAnsi="Arial"/>
          <w:sz w:val="11"/>
          <w:szCs w:val="11"/>
          <w:color w:val="auto"/>
        </w:rPr>
        <w:t>Represents the FICO score updated as of the first-quarter 2025.</w:t>
      </w:r>
    </w:p>
    <w:p>
      <w:pPr>
        <w:spacing w:after="0" w:line="35" w:lineRule="exact"/>
        <w:rPr>
          <w:rFonts w:ascii="Arial" w:cs="Arial" w:eastAsia="Arial" w:hAnsi="Arial"/>
          <w:sz w:val="7"/>
          <w:szCs w:val="7"/>
          <w:color w:val="auto"/>
        </w:rPr>
      </w:pPr>
    </w:p>
    <w:p>
      <w:pPr>
        <w:ind w:left="1760" w:right="1540" w:hanging="317"/>
        <w:spacing w:after="0" w:line="236" w:lineRule="auto"/>
        <w:tabs>
          <w:tab w:leader="none" w:pos="1751" w:val="left"/>
        </w:tabs>
        <w:numPr>
          <w:ilvl w:val="0"/>
          <w:numId w:val="23"/>
        </w:numPr>
        <w:rPr>
          <w:rFonts w:ascii="Arial" w:cs="Arial" w:eastAsia="Arial" w:hAnsi="Arial"/>
          <w:sz w:val="7"/>
          <w:szCs w:val="7"/>
          <w:color w:val="auto"/>
        </w:rPr>
      </w:pPr>
      <w:r>
        <w:rPr>
          <w:rFonts w:ascii="Arial" w:cs="Arial" w:eastAsia="Arial" w:hAnsi="Arial"/>
          <w:sz w:val="11"/>
          <w:szCs w:val="11"/>
          <w:color w:val="auto"/>
        </w:rPr>
        <w:t>Number of months in active repayment (whether interest only payment, fixed payment, or full principal and interest payment status) for which a scheduled payment was due.</w:t>
      </w:r>
    </w:p>
    <w:p>
      <w:pPr>
        <w:spacing w:after="0" w:line="21" w:lineRule="exact"/>
        <w:rPr>
          <w:rFonts w:ascii="Arial" w:cs="Arial" w:eastAsia="Arial" w:hAnsi="Arial"/>
          <w:sz w:val="7"/>
          <w:szCs w:val="7"/>
          <w:color w:val="auto"/>
        </w:rPr>
      </w:pPr>
    </w:p>
    <w:p>
      <w:pPr>
        <w:ind w:left="1760" w:hanging="317"/>
        <w:spacing w:after="0"/>
        <w:tabs>
          <w:tab w:leader="none" w:pos="1760" w:val="left"/>
        </w:tabs>
        <w:numPr>
          <w:ilvl w:val="0"/>
          <w:numId w:val="23"/>
        </w:numPr>
        <w:rPr>
          <w:rFonts w:ascii="Arial" w:cs="Arial" w:eastAsia="Arial" w:hAnsi="Arial"/>
          <w:sz w:val="7"/>
          <w:szCs w:val="7"/>
          <w:color w:val="auto"/>
        </w:rPr>
      </w:pPr>
      <w:r>
        <w:rPr>
          <w:rFonts w:ascii="Arial" w:cs="Arial" w:eastAsia="Arial" w:hAnsi="Arial"/>
          <w:sz w:val="11"/>
          <w:szCs w:val="11"/>
          <w:color w:val="auto"/>
        </w:rPr>
        <w:t>Current period refers to period from January 1, 2025 through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134F82"/>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20" w:right="519" w:bottom="1440" w:gutter="0" w:footer="0" w:header="0"/>
        </w:sectPr>
      </w:pPr>
    </w:p>
    <w:bookmarkStart w:id="25" w:name="page26"/>
    <w:bookmarkEnd w:id="25"/>
    <w:p>
      <w:pPr>
        <w:ind w:left="334" w:hanging="334"/>
        <w:spacing w:after="0"/>
        <w:tabs>
          <w:tab w:leader="none" w:pos="33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200" w:lineRule="exact"/>
        <w:rPr>
          <w:sz w:val="20"/>
          <w:szCs w:val="20"/>
          <w:color w:val="auto"/>
        </w:rPr>
      </w:pPr>
    </w:p>
    <w:p>
      <w:pPr>
        <w:spacing w:after="0" w:line="307" w:lineRule="exact"/>
        <w:rPr>
          <w:sz w:val="20"/>
          <w:szCs w:val="20"/>
          <w:color w:val="auto"/>
        </w:rPr>
      </w:pPr>
    </w:p>
    <w:tbl>
      <w:tblPr>
        <w:tblLayout w:type="fixed"/>
        <w:tblInd w:w="614" w:type="dxa"/>
        <w:tblCellMar>
          <w:top w:w="0" w:type="dxa"/>
          <w:left w:w="0" w:type="dxa"/>
          <w:bottom w:w="0" w:type="dxa"/>
          <w:right w:w="0" w:type="dxa"/>
        </w:tblCellMar>
      </w:tblPr>
      <w:tr>
        <w:trPr>
          <w:trHeight w:val="135"/>
        </w:trPr>
        <w:tc>
          <w:tcPr>
            <w:tcW w:w="192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3"/>
                <w:szCs w:val="13"/>
                <w:b w:val="1"/>
                <w:bCs w:val="1"/>
                <w:color w:val="144F82"/>
              </w:rPr>
              <w:t>As of December 31, 2024</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100" w:type="dxa"/>
            <w:vAlign w:val="bottom"/>
            <w:tcBorders>
              <w:top w:val="single" w:sz="8" w:color="auto"/>
            </w:tcBorders>
            <w:gridSpan w:val="9"/>
            <w:vMerge w:val="restart"/>
          </w:tcPr>
          <w:p>
            <w:pPr>
              <w:jc w:val="right"/>
              <w:ind w:right="477"/>
              <w:spacing w:after="0"/>
              <w:rPr>
                <w:sz w:val="20"/>
                <w:szCs w:val="20"/>
                <w:color w:val="auto"/>
              </w:rPr>
            </w:pPr>
            <w:r>
              <w:rPr>
                <w:rFonts w:ascii="Arial" w:cs="Arial" w:eastAsia="Arial" w:hAnsi="Arial"/>
                <w:sz w:val="13"/>
                <w:szCs w:val="13"/>
                <w:b w:val="1"/>
                <w:bCs w:val="1"/>
                <w:color w:val="144F82"/>
              </w:rPr>
              <w:t>Private Education Loans Held for Investment - Credit Quality Indicators</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9"/>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920" w:type="dxa"/>
            <w:vAlign w:val="bottom"/>
            <w:vMerge w:val="restart"/>
          </w:tcPr>
          <w:p>
            <w:pPr>
              <w:ind w:left="20"/>
              <w:spacing w:after="0"/>
              <w:rPr>
                <w:sz w:val="20"/>
                <w:szCs w:val="20"/>
                <w:color w:val="auto"/>
              </w:rPr>
            </w:pPr>
            <w:r>
              <w:rPr>
                <w:rFonts w:ascii="Arial" w:cs="Arial" w:eastAsia="Arial" w:hAnsi="Arial"/>
                <w:sz w:val="13"/>
                <w:szCs w:val="13"/>
                <w:b w:val="1"/>
                <w:bCs w:val="1"/>
                <w:color w:val="144F82"/>
              </w:rPr>
              <w:t>Year of Origination Approval</w:t>
            </w:r>
          </w:p>
        </w:tc>
        <w:tc>
          <w:tcPr>
            <w:tcW w:w="18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144F82"/>
              </w:rPr>
              <w:t>2024</w:t>
            </w:r>
            <w:r>
              <w:rPr>
                <w:rFonts w:ascii="Arial" w:cs="Arial" w:eastAsia="Arial" w:hAnsi="Arial"/>
                <w:sz w:val="16"/>
                <w:szCs w:val="16"/>
                <w:b w:val="1"/>
                <w:bCs w:val="1"/>
                <w:color w:val="144F82"/>
                <w:vertAlign w:val="superscript"/>
              </w:rPr>
              <w:t>(1)</w:t>
            </w:r>
          </w:p>
        </w:tc>
        <w:tc>
          <w:tcPr>
            <w:tcW w:w="240" w:type="dxa"/>
            <w:vAlign w:val="bottom"/>
          </w:tcPr>
          <w:p>
            <w:pPr>
              <w:spacing w:after="0"/>
              <w:rPr>
                <w:sz w:val="10"/>
                <w:szCs w:val="10"/>
                <w:color w:val="auto"/>
              </w:rPr>
            </w:pPr>
          </w:p>
        </w:tc>
        <w:tc>
          <w:tcPr>
            <w:tcW w:w="82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144F82"/>
              </w:rPr>
              <w:t>2023</w:t>
            </w:r>
            <w:r>
              <w:rPr>
                <w:rFonts w:ascii="Arial" w:cs="Arial" w:eastAsia="Arial" w:hAnsi="Arial"/>
                <w:sz w:val="16"/>
                <w:szCs w:val="16"/>
                <w:b w:val="1"/>
                <w:bCs w:val="1"/>
                <w:color w:val="144F82"/>
                <w:vertAlign w:val="superscript"/>
              </w:rPr>
              <w:t>(1)</w:t>
            </w:r>
          </w:p>
        </w:tc>
        <w:tc>
          <w:tcPr>
            <w:tcW w:w="24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144F82"/>
              </w:rPr>
              <w:t>2022</w:t>
            </w:r>
            <w:r>
              <w:rPr>
                <w:rFonts w:ascii="Arial" w:cs="Arial" w:eastAsia="Arial" w:hAnsi="Arial"/>
                <w:sz w:val="16"/>
                <w:szCs w:val="16"/>
                <w:b w:val="1"/>
                <w:bCs w:val="1"/>
                <w:color w:val="144F82"/>
                <w:vertAlign w:val="superscript"/>
              </w:rPr>
              <w:t>(1)</w:t>
            </w:r>
          </w:p>
        </w:tc>
        <w:tc>
          <w:tcPr>
            <w:tcW w:w="26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144F82"/>
              </w:rPr>
              <w:t>2021</w:t>
            </w:r>
            <w:r>
              <w:rPr>
                <w:rFonts w:ascii="Arial" w:cs="Arial" w:eastAsia="Arial" w:hAnsi="Arial"/>
                <w:sz w:val="16"/>
                <w:szCs w:val="16"/>
                <w:b w:val="1"/>
                <w:bCs w:val="1"/>
                <w:color w:val="144F82"/>
                <w:vertAlign w:val="superscript"/>
              </w:rPr>
              <w:t>(1)</w:t>
            </w:r>
          </w:p>
        </w:tc>
        <w:tc>
          <w:tcPr>
            <w:tcW w:w="240" w:type="dxa"/>
            <w:vAlign w:val="bottom"/>
          </w:tcPr>
          <w:p>
            <w:pPr>
              <w:spacing w:after="0"/>
              <w:rPr>
                <w:sz w:val="10"/>
                <w:szCs w:val="10"/>
                <w:color w:val="auto"/>
              </w:rPr>
            </w:pPr>
          </w:p>
        </w:tc>
        <w:tc>
          <w:tcPr>
            <w:tcW w:w="82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144F82"/>
              </w:rPr>
              <w:t>2020</w:t>
            </w:r>
            <w:r>
              <w:rPr>
                <w:rFonts w:ascii="Arial" w:cs="Arial" w:eastAsia="Arial" w:hAnsi="Arial"/>
                <w:sz w:val="16"/>
                <w:szCs w:val="16"/>
                <w:b w:val="1"/>
                <w:bCs w:val="1"/>
                <w:color w:val="144F82"/>
                <w:vertAlign w:val="superscript"/>
              </w:rPr>
              <w:t>(1)</w:t>
            </w:r>
          </w:p>
        </w:tc>
        <w:tc>
          <w:tcPr>
            <w:tcW w:w="220" w:type="dxa"/>
            <w:vAlign w:val="bottom"/>
          </w:tcPr>
          <w:p>
            <w:pPr>
              <w:spacing w:after="0"/>
              <w:rPr>
                <w:sz w:val="10"/>
                <w:szCs w:val="10"/>
                <w:color w:val="auto"/>
              </w:rPr>
            </w:pPr>
          </w:p>
        </w:tc>
        <w:tc>
          <w:tcPr>
            <w:tcW w:w="900" w:type="dxa"/>
            <w:vAlign w:val="bottom"/>
          </w:tcPr>
          <w:p>
            <w:pPr>
              <w:jc w:val="right"/>
              <w:ind w:right="237"/>
              <w:spacing w:after="0" w:line="119" w:lineRule="exact"/>
              <w:rPr>
                <w:sz w:val="20"/>
                <w:szCs w:val="20"/>
                <w:color w:val="auto"/>
              </w:rPr>
            </w:pPr>
            <w:r>
              <w:rPr>
                <w:rFonts w:ascii="Arial" w:cs="Arial" w:eastAsia="Arial" w:hAnsi="Arial"/>
                <w:sz w:val="13"/>
                <w:szCs w:val="13"/>
                <w:b w:val="1"/>
                <w:bCs w:val="1"/>
                <w:color w:val="144F82"/>
              </w:rPr>
              <w:t>2019 and</w:t>
            </w:r>
          </w:p>
        </w:tc>
        <w:tc>
          <w:tcPr>
            <w:tcW w:w="220" w:type="dxa"/>
            <w:vAlign w:val="bottom"/>
          </w:tcPr>
          <w:p>
            <w:pPr>
              <w:spacing w:after="0"/>
              <w:rPr>
                <w:sz w:val="10"/>
                <w:szCs w:val="10"/>
                <w:color w:val="auto"/>
              </w:rPr>
            </w:pPr>
          </w:p>
        </w:tc>
        <w:tc>
          <w:tcPr>
            <w:tcW w:w="78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144F82"/>
              </w:rPr>
              <w:t>Total</w:t>
            </w:r>
            <w:r>
              <w:rPr>
                <w:rFonts w:ascii="Arial" w:cs="Arial" w:eastAsia="Arial" w:hAnsi="Arial"/>
                <w:sz w:val="16"/>
                <w:szCs w:val="16"/>
                <w:b w:val="1"/>
                <w:bCs w:val="1"/>
                <w:color w:val="144F82"/>
                <w:vertAlign w:val="superscript"/>
              </w:rPr>
              <w:t>(1)</w:t>
            </w: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144F82"/>
              </w:rPr>
              <w:t>% of Balance</w:t>
            </w:r>
          </w:p>
        </w:tc>
        <w:tc>
          <w:tcPr>
            <w:tcW w:w="0" w:type="dxa"/>
            <w:vAlign w:val="bottom"/>
          </w:tcPr>
          <w:p>
            <w:pPr>
              <w:spacing w:after="0"/>
              <w:rPr>
                <w:sz w:val="1"/>
                <w:szCs w:val="1"/>
                <w:color w:val="auto"/>
              </w:rPr>
            </w:pPr>
          </w:p>
        </w:tc>
      </w:tr>
      <w:tr>
        <w:trPr>
          <w:trHeight w:val="189"/>
        </w:trPr>
        <w:tc>
          <w:tcPr>
            <w:tcW w:w="1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144F82"/>
              </w:rPr>
              <w:t>Prior</w:t>
            </w:r>
            <w:r>
              <w:rPr>
                <w:rFonts w:ascii="Arial" w:cs="Arial" w:eastAsia="Arial" w:hAnsi="Arial"/>
                <w:sz w:val="16"/>
                <w:szCs w:val="16"/>
                <w:b w:val="1"/>
                <w:bCs w:val="1"/>
                <w:color w:val="144F82"/>
                <w:vertAlign w:val="superscript"/>
              </w:rPr>
              <w:t>(1)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Cosigners:</w:t>
            </w:r>
          </w:p>
        </w:tc>
        <w:tc>
          <w:tcPr>
            <w:tcW w:w="18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2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2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90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780" w:type="dxa"/>
            <w:vAlign w:val="bottom"/>
            <w:shd w:val="clear" w:color="auto" w:fill="EDEDEE"/>
          </w:tcPr>
          <w:p>
            <w:pPr>
              <w:spacing w:after="0"/>
              <w:rPr>
                <w:sz w:val="14"/>
                <w:szCs w:val="14"/>
                <w:color w:val="auto"/>
              </w:rPr>
            </w:pPr>
          </w:p>
        </w:tc>
        <w:tc>
          <w:tcPr>
            <w:tcW w:w="114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With cosigner</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4,519,952</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4,707,685</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2,741,871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1,759,261</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1,151,751</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4,642,019</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19,522,539</w:t>
            </w:r>
          </w:p>
        </w:tc>
        <w:tc>
          <w:tcPr>
            <w:tcW w:w="1140" w:type="dxa"/>
            <w:vAlign w:val="bottom"/>
          </w:tcPr>
          <w:p>
            <w:pPr>
              <w:jc w:val="right"/>
              <w:spacing w:after="0"/>
              <w:rPr>
                <w:sz w:val="20"/>
                <w:szCs w:val="20"/>
                <w:color w:val="auto"/>
              </w:rPr>
            </w:pPr>
            <w:r>
              <w:rPr>
                <w:rFonts w:ascii="Arial" w:cs="Arial" w:eastAsia="Arial" w:hAnsi="Arial"/>
                <w:sz w:val="13"/>
                <w:szCs w:val="13"/>
                <w:color w:val="auto"/>
              </w:rPr>
              <w:t>88 %</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Without cosigner</w:t>
            </w:r>
          </w:p>
        </w:tc>
        <w:tc>
          <w:tcPr>
            <w:tcW w:w="18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504,640</w:t>
            </w:r>
          </w:p>
        </w:tc>
        <w:tc>
          <w:tcPr>
            <w:tcW w:w="240" w:type="dxa"/>
            <w:vAlign w:val="bottom"/>
            <w:tcBorders>
              <w:bottom w:val="single" w:sz="8" w:color="auto"/>
            </w:tcBorders>
            <w:shd w:val="clear" w:color="auto" w:fill="EDEDEE"/>
          </w:tcPr>
          <w:p>
            <w:pPr>
              <w:spacing w:after="0"/>
              <w:rPr>
                <w:sz w:val="15"/>
                <w:szCs w:val="15"/>
                <w:color w:val="auto"/>
              </w:rPr>
            </w:pPr>
          </w:p>
        </w:tc>
        <w:tc>
          <w:tcPr>
            <w:tcW w:w="82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613,825</w:t>
            </w:r>
          </w:p>
        </w:tc>
        <w:tc>
          <w:tcPr>
            <w:tcW w:w="24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443,376</w:t>
            </w:r>
          </w:p>
        </w:tc>
        <w:tc>
          <w:tcPr>
            <w:tcW w:w="26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310,175</w:t>
            </w:r>
          </w:p>
        </w:tc>
        <w:tc>
          <w:tcPr>
            <w:tcW w:w="240" w:type="dxa"/>
            <w:vAlign w:val="bottom"/>
            <w:tcBorders>
              <w:bottom w:val="single" w:sz="8" w:color="auto"/>
            </w:tcBorders>
            <w:shd w:val="clear" w:color="auto" w:fill="EDEDEE"/>
          </w:tcPr>
          <w:p>
            <w:pPr>
              <w:spacing w:after="0"/>
              <w:rPr>
                <w:sz w:val="15"/>
                <w:szCs w:val="15"/>
                <w:color w:val="auto"/>
              </w:rPr>
            </w:pPr>
          </w:p>
        </w:tc>
        <w:tc>
          <w:tcPr>
            <w:tcW w:w="82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222,245</w:t>
            </w:r>
          </w:p>
        </w:tc>
        <w:tc>
          <w:tcPr>
            <w:tcW w:w="220" w:type="dxa"/>
            <w:vAlign w:val="bottom"/>
            <w:tcBorders>
              <w:bottom w:val="single" w:sz="8" w:color="auto"/>
            </w:tcBorders>
            <w:shd w:val="clear" w:color="auto" w:fill="EDEDEE"/>
          </w:tcPr>
          <w:p>
            <w:pPr>
              <w:spacing w:after="0"/>
              <w:rPr>
                <w:sz w:val="15"/>
                <w:szCs w:val="15"/>
                <w:color w:val="auto"/>
              </w:rPr>
            </w:pPr>
          </w:p>
        </w:tc>
        <w:tc>
          <w:tcPr>
            <w:tcW w:w="9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618,208</w:t>
            </w:r>
          </w:p>
        </w:tc>
        <w:tc>
          <w:tcPr>
            <w:tcW w:w="220" w:type="dxa"/>
            <w:vAlign w:val="bottom"/>
            <w:tcBorders>
              <w:bottom w:val="single" w:sz="8" w:color="auto"/>
            </w:tcBorders>
            <w:shd w:val="clear" w:color="auto" w:fill="EDEDEE"/>
          </w:tcPr>
          <w:p>
            <w:pPr>
              <w:spacing w:after="0"/>
              <w:rPr>
                <w:sz w:val="15"/>
                <w:szCs w:val="15"/>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2,712,469</w:t>
            </w:r>
          </w:p>
        </w:tc>
        <w:tc>
          <w:tcPr>
            <w:tcW w:w="1140" w:type="dxa"/>
            <w:vAlign w:val="bottom"/>
            <w:tcBorders>
              <w:bottom w:val="single" w:sz="8" w:color="auto"/>
            </w:tcBorders>
            <w:shd w:val="clear" w:color="auto" w:fill="EDEDEE"/>
          </w:tcPr>
          <w:p>
            <w:pPr>
              <w:jc w:val="right"/>
              <w:ind w:right="11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4"/>
        </w:trPr>
        <w:tc>
          <w:tcPr>
            <w:tcW w:w="1920" w:type="dxa"/>
            <w:vAlign w:val="bottom"/>
          </w:tcPr>
          <w:p>
            <w:pPr>
              <w:ind w:left="20"/>
              <w:spacing w:after="0" w:line="146" w:lineRule="exact"/>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5,024,592</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5,321,510</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3,185,247</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2,069,436</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1,373,996</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5,260,227</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22,235,008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1920" w:type="dxa"/>
            <w:vAlign w:val="bottom"/>
            <w:tcBorders>
              <w:bottom w:val="single" w:sz="8" w:color="EDEDEE"/>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920" w:type="dxa"/>
            <w:vAlign w:val="bottom"/>
            <w:shd w:val="clear" w:color="auto" w:fill="EDEDEE"/>
          </w:tcPr>
          <w:p>
            <w:pPr>
              <w:spacing w:after="0"/>
              <w:rPr>
                <w:sz w:val="21"/>
                <w:szCs w:val="21"/>
                <w:color w:val="auto"/>
              </w:rPr>
            </w:pPr>
          </w:p>
        </w:tc>
        <w:tc>
          <w:tcPr>
            <w:tcW w:w="180" w:type="dxa"/>
            <w:vAlign w:val="bottom"/>
            <w:shd w:val="clear" w:color="auto" w:fill="EDEDEE"/>
          </w:tcPr>
          <w:p>
            <w:pPr>
              <w:spacing w:after="0"/>
              <w:rPr>
                <w:sz w:val="21"/>
                <w:szCs w:val="21"/>
                <w:color w:val="auto"/>
              </w:rPr>
            </w:pPr>
          </w:p>
        </w:tc>
        <w:tc>
          <w:tcPr>
            <w:tcW w:w="800" w:type="dxa"/>
            <w:vAlign w:val="bottom"/>
            <w:shd w:val="clear" w:color="auto" w:fill="EDEDEE"/>
          </w:tcPr>
          <w:p>
            <w:pPr>
              <w:spacing w:after="0"/>
              <w:rPr>
                <w:sz w:val="21"/>
                <w:szCs w:val="21"/>
                <w:color w:val="auto"/>
              </w:rPr>
            </w:pPr>
          </w:p>
        </w:tc>
        <w:tc>
          <w:tcPr>
            <w:tcW w:w="240" w:type="dxa"/>
            <w:vAlign w:val="bottom"/>
            <w:shd w:val="clear" w:color="auto" w:fill="EDEDEE"/>
          </w:tcPr>
          <w:p>
            <w:pPr>
              <w:spacing w:after="0"/>
              <w:rPr>
                <w:sz w:val="21"/>
                <w:szCs w:val="21"/>
                <w:color w:val="auto"/>
              </w:rPr>
            </w:pPr>
          </w:p>
        </w:tc>
        <w:tc>
          <w:tcPr>
            <w:tcW w:w="820" w:type="dxa"/>
            <w:vAlign w:val="bottom"/>
            <w:shd w:val="clear" w:color="auto" w:fill="EDEDEE"/>
          </w:tcPr>
          <w:p>
            <w:pPr>
              <w:spacing w:after="0"/>
              <w:rPr>
                <w:sz w:val="21"/>
                <w:szCs w:val="21"/>
                <w:color w:val="auto"/>
              </w:rPr>
            </w:pPr>
          </w:p>
        </w:tc>
        <w:tc>
          <w:tcPr>
            <w:tcW w:w="240" w:type="dxa"/>
            <w:vAlign w:val="bottom"/>
            <w:shd w:val="clear" w:color="auto" w:fill="EDEDEE"/>
          </w:tcPr>
          <w:p>
            <w:pPr>
              <w:spacing w:after="0"/>
              <w:rPr>
                <w:sz w:val="21"/>
                <w:szCs w:val="21"/>
                <w:color w:val="auto"/>
              </w:rPr>
            </w:pPr>
          </w:p>
        </w:tc>
        <w:tc>
          <w:tcPr>
            <w:tcW w:w="800" w:type="dxa"/>
            <w:vAlign w:val="bottom"/>
            <w:shd w:val="clear" w:color="auto" w:fill="EDEDEE"/>
          </w:tcPr>
          <w:p>
            <w:pPr>
              <w:spacing w:after="0"/>
              <w:rPr>
                <w:sz w:val="21"/>
                <w:szCs w:val="21"/>
                <w:color w:val="auto"/>
              </w:rPr>
            </w:pPr>
          </w:p>
        </w:tc>
        <w:tc>
          <w:tcPr>
            <w:tcW w:w="260" w:type="dxa"/>
            <w:vAlign w:val="bottom"/>
            <w:shd w:val="clear" w:color="auto" w:fill="EDEDEE"/>
          </w:tcPr>
          <w:p>
            <w:pPr>
              <w:spacing w:after="0"/>
              <w:rPr>
                <w:sz w:val="21"/>
                <w:szCs w:val="21"/>
                <w:color w:val="auto"/>
              </w:rPr>
            </w:pPr>
          </w:p>
        </w:tc>
        <w:tc>
          <w:tcPr>
            <w:tcW w:w="800" w:type="dxa"/>
            <w:vAlign w:val="bottom"/>
            <w:shd w:val="clear" w:color="auto" w:fill="EDEDEE"/>
          </w:tcPr>
          <w:p>
            <w:pPr>
              <w:spacing w:after="0"/>
              <w:rPr>
                <w:sz w:val="21"/>
                <w:szCs w:val="21"/>
                <w:color w:val="auto"/>
              </w:rPr>
            </w:pPr>
          </w:p>
        </w:tc>
        <w:tc>
          <w:tcPr>
            <w:tcW w:w="240" w:type="dxa"/>
            <w:vAlign w:val="bottom"/>
            <w:shd w:val="clear" w:color="auto" w:fill="EDEDEE"/>
          </w:tcPr>
          <w:p>
            <w:pPr>
              <w:spacing w:after="0"/>
              <w:rPr>
                <w:sz w:val="21"/>
                <w:szCs w:val="21"/>
                <w:color w:val="auto"/>
              </w:rPr>
            </w:pPr>
          </w:p>
        </w:tc>
        <w:tc>
          <w:tcPr>
            <w:tcW w:w="820" w:type="dxa"/>
            <w:vAlign w:val="bottom"/>
            <w:shd w:val="clear" w:color="auto" w:fill="EDEDEE"/>
          </w:tcPr>
          <w:p>
            <w:pPr>
              <w:spacing w:after="0"/>
              <w:rPr>
                <w:sz w:val="21"/>
                <w:szCs w:val="21"/>
                <w:color w:val="auto"/>
              </w:rPr>
            </w:pPr>
          </w:p>
        </w:tc>
        <w:tc>
          <w:tcPr>
            <w:tcW w:w="220" w:type="dxa"/>
            <w:vAlign w:val="bottom"/>
            <w:shd w:val="clear" w:color="auto" w:fill="EDEDEE"/>
          </w:tcPr>
          <w:p>
            <w:pPr>
              <w:spacing w:after="0"/>
              <w:rPr>
                <w:sz w:val="21"/>
                <w:szCs w:val="21"/>
                <w:color w:val="auto"/>
              </w:rPr>
            </w:pPr>
          </w:p>
        </w:tc>
        <w:tc>
          <w:tcPr>
            <w:tcW w:w="900" w:type="dxa"/>
            <w:vAlign w:val="bottom"/>
            <w:shd w:val="clear" w:color="auto" w:fill="EDEDEE"/>
          </w:tcPr>
          <w:p>
            <w:pPr>
              <w:spacing w:after="0"/>
              <w:rPr>
                <w:sz w:val="21"/>
                <w:szCs w:val="21"/>
                <w:color w:val="auto"/>
              </w:rPr>
            </w:pPr>
          </w:p>
        </w:tc>
        <w:tc>
          <w:tcPr>
            <w:tcW w:w="220" w:type="dxa"/>
            <w:vAlign w:val="bottom"/>
            <w:shd w:val="clear" w:color="auto" w:fill="EDEDEE"/>
          </w:tcPr>
          <w:p>
            <w:pPr>
              <w:spacing w:after="0"/>
              <w:rPr>
                <w:sz w:val="21"/>
                <w:szCs w:val="21"/>
                <w:color w:val="auto"/>
              </w:rPr>
            </w:pPr>
          </w:p>
        </w:tc>
        <w:tc>
          <w:tcPr>
            <w:tcW w:w="780" w:type="dxa"/>
            <w:vAlign w:val="bottom"/>
            <w:shd w:val="clear" w:color="auto" w:fill="EDEDEE"/>
          </w:tcPr>
          <w:p>
            <w:pPr>
              <w:spacing w:after="0"/>
              <w:rPr>
                <w:sz w:val="21"/>
                <w:szCs w:val="21"/>
                <w:color w:val="auto"/>
              </w:rPr>
            </w:pPr>
          </w:p>
        </w:tc>
        <w:tc>
          <w:tcPr>
            <w:tcW w:w="1140" w:type="dxa"/>
            <w:vAlign w:val="bottom"/>
            <w:shd w:val="clear" w:color="auto" w:fill="EDEDE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5" w:lineRule="exact"/>
              <w:rPr>
                <w:sz w:val="20"/>
                <w:szCs w:val="20"/>
                <w:color w:val="auto"/>
              </w:rPr>
            </w:pPr>
            <w:r>
              <w:rPr>
                <w:rFonts w:ascii="Arial" w:cs="Arial" w:eastAsia="Arial" w:hAnsi="Arial"/>
                <w:sz w:val="13"/>
                <w:szCs w:val="13"/>
                <w:color w:val="auto"/>
              </w:rPr>
              <w:t>FICO at Origination Approval</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Less than 670</w:t>
            </w:r>
          </w:p>
        </w:tc>
        <w:tc>
          <w:tcPr>
            <w:tcW w:w="18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293,025</w:t>
            </w:r>
          </w:p>
        </w:tc>
        <w:tc>
          <w:tcPr>
            <w:tcW w:w="2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394,962</w:t>
            </w:r>
          </w:p>
        </w:tc>
        <w:tc>
          <w:tcPr>
            <w:tcW w:w="24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261,589</w:t>
            </w:r>
          </w:p>
        </w:tc>
        <w:tc>
          <w:tcPr>
            <w:tcW w:w="26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155,661</w:t>
            </w:r>
          </w:p>
        </w:tc>
        <w:tc>
          <w:tcPr>
            <w:tcW w:w="2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94,355</w:t>
            </w:r>
          </w:p>
        </w:tc>
        <w:tc>
          <w:tcPr>
            <w:tcW w:w="22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475,186</w:t>
            </w:r>
          </w:p>
        </w:tc>
        <w:tc>
          <w:tcPr>
            <w:tcW w:w="22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1,674,778</w:t>
            </w:r>
          </w:p>
        </w:tc>
        <w:tc>
          <w:tcPr>
            <w:tcW w:w="11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670-699</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615,617</w:t>
            </w:r>
          </w:p>
        </w:tc>
        <w:tc>
          <w:tcPr>
            <w:tcW w:w="24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753,548</w:t>
            </w: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449,214</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285,181</w:t>
            </w:r>
          </w:p>
        </w:tc>
        <w:tc>
          <w:tcPr>
            <w:tcW w:w="24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197,205</w:t>
            </w:r>
          </w:p>
        </w:tc>
        <w:tc>
          <w:tcPr>
            <w:tcW w:w="22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898,535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3,199,300</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700-749</w:t>
            </w:r>
          </w:p>
        </w:tc>
        <w:tc>
          <w:tcPr>
            <w:tcW w:w="18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1,525,547</w:t>
            </w:r>
          </w:p>
        </w:tc>
        <w:tc>
          <w:tcPr>
            <w:tcW w:w="24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1,641,641</w:t>
            </w: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998,834</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660,373</w:t>
            </w:r>
          </w:p>
        </w:tc>
        <w:tc>
          <w:tcPr>
            <w:tcW w:w="24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451,695</w:t>
            </w: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1,782,121</w:t>
            </w:r>
          </w:p>
        </w:tc>
        <w:tc>
          <w:tcPr>
            <w:tcW w:w="220" w:type="dxa"/>
            <w:vAlign w:val="bottom"/>
            <w:shd w:val="clear" w:color="auto" w:fill="EDEDEE"/>
          </w:tcPr>
          <w:p>
            <w:pPr>
              <w:spacing w:after="0"/>
              <w:rPr>
                <w:sz w:val="15"/>
                <w:szCs w:val="15"/>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7,060,211</w:t>
            </w:r>
          </w:p>
        </w:tc>
        <w:tc>
          <w:tcPr>
            <w:tcW w:w="11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EDEDEE"/>
            </w:tcBorders>
          </w:tcPr>
          <w:p>
            <w:pPr>
              <w:ind w:left="20"/>
              <w:spacing w:after="0"/>
              <w:rPr>
                <w:sz w:val="20"/>
                <w:szCs w:val="20"/>
                <w:color w:val="auto"/>
              </w:rPr>
            </w:pPr>
            <w:r>
              <w:rPr>
                <w:rFonts w:ascii="Arial" w:cs="Arial" w:eastAsia="Arial" w:hAnsi="Arial"/>
                <w:sz w:val="13"/>
                <w:szCs w:val="13"/>
                <w:color w:val="auto"/>
              </w:rPr>
              <w:t>Greater than or equal to 750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2,590,403</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2,531,359</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1,475,610</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968,221</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630,741</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2,104,385</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10,300,719</w:t>
            </w: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94"/>
        </w:trPr>
        <w:tc>
          <w:tcPr>
            <w:tcW w:w="19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5,024,592</w:t>
            </w:r>
          </w:p>
        </w:tc>
        <w:tc>
          <w:tcPr>
            <w:tcW w:w="24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5,321,510</w:t>
            </w:r>
          </w:p>
        </w:tc>
        <w:tc>
          <w:tcPr>
            <w:tcW w:w="24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3,185,247</w:t>
            </w:r>
          </w:p>
        </w:tc>
        <w:tc>
          <w:tcPr>
            <w:tcW w:w="26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2,069,436</w:t>
            </w:r>
          </w:p>
        </w:tc>
        <w:tc>
          <w:tcPr>
            <w:tcW w:w="24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1,373,996</w:t>
            </w:r>
          </w:p>
        </w:tc>
        <w:tc>
          <w:tcPr>
            <w:tcW w:w="22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5,260,227</w:t>
            </w:r>
          </w:p>
        </w:tc>
        <w:tc>
          <w:tcPr>
            <w:tcW w:w="22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22,235,008</w:t>
            </w:r>
          </w:p>
        </w:tc>
        <w:tc>
          <w:tcPr>
            <w:tcW w:w="1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1920" w:type="dxa"/>
            <w:vAlign w:val="bottom"/>
            <w:tcBorders>
              <w:top w:val="single" w:sz="8" w:color="EDEDEE"/>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82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82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11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1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EDEDEE"/>
          </w:tcPr>
          <w:p>
            <w:pPr>
              <w:spacing w:after="0"/>
              <w:rPr>
                <w:sz w:val="14"/>
                <w:szCs w:val="14"/>
                <w:color w:val="auto"/>
              </w:rPr>
            </w:pPr>
          </w:p>
        </w:tc>
        <w:tc>
          <w:tcPr>
            <w:tcW w:w="18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2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2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90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780" w:type="dxa"/>
            <w:vAlign w:val="bottom"/>
            <w:shd w:val="clear" w:color="auto" w:fill="EDEDEE"/>
          </w:tcPr>
          <w:p>
            <w:pPr>
              <w:spacing w:after="0"/>
              <w:rPr>
                <w:sz w:val="14"/>
                <w:szCs w:val="14"/>
                <w:color w:val="auto"/>
              </w:rPr>
            </w:pPr>
          </w:p>
        </w:tc>
        <w:tc>
          <w:tcPr>
            <w:tcW w:w="114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5" w:lineRule="exact"/>
              <w:rPr>
                <w:sz w:val="20"/>
                <w:szCs w:val="20"/>
                <w:color w:val="auto"/>
              </w:rPr>
            </w:pPr>
            <w:r>
              <w:rPr>
                <w:rFonts w:ascii="Arial" w:cs="Arial" w:eastAsia="Arial" w:hAnsi="Arial"/>
                <w:sz w:val="13"/>
                <w:szCs w:val="13"/>
                <w:color w:val="auto"/>
              </w:rPr>
              <w:t>FICO Refreshed</w:t>
            </w:r>
            <w:r>
              <w:rPr>
                <w:rFonts w:ascii="Arial" w:cs="Arial" w:eastAsia="Arial" w:hAnsi="Arial"/>
                <w:sz w:val="16"/>
                <w:szCs w:val="16"/>
                <w:color w:val="auto"/>
                <w:vertAlign w:val="superscript"/>
              </w:rPr>
              <w:t>(2)(3)</w:t>
            </w: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Less than 670</w:t>
            </w:r>
          </w:p>
        </w:tc>
        <w:tc>
          <w:tcPr>
            <w:tcW w:w="18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453,705</w:t>
            </w:r>
          </w:p>
        </w:tc>
        <w:tc>
          <w:tcPr>
            <w:tcW w:w="2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666,049</w:t>
            </w:r>
          </w:p>
        </w:tc>
        <w:tc>
          <w:tcPr>
            <w:tcW w:w="24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467,562</w:t>
            </w:r>
          </w:p>
        </w:tc>
        <w:tc>
          <w:tcPr>
            <w:tcW w:w="26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301,367</w:t>
            </w:r>
          </w:p>
        </w:tc>
        <w:tc>
          <w:tcPr>
            <w:tcW w:w="2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194,124</w:t>
            </w:r>
          </w:p>
        </w:tc>
        <w:tc>
          <w:tcPr>
            <w:tcW w:w="22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831,053</w:t>
            </w:r>
          </w:p>
        </w:tc>
        <w:tc>
          <w:tcPr>
            <w:tcW w:w="22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2,913,860</w:t>
            </w:r>
          </w:p>
        </w:tc>
        <w:tc>
          <w:tcPr>
            <w:tcW w:w="11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670-699</w:t>
            </w:r>
          </w:p>
        </w:tc>
        <w:tc>
          <w:tcPr>
            <w:tcW w:w="1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633,749</w:t>
            </w:r>
          </w:p>
        </w:tc>
        <w:tc>
          <w:tcPr>
            <w:tcW w:w="24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710,546</w:t>
            </w: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409,808</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248,325</w:t>
            </w:r>
          </w:p>
        </w:tc>
        <w:tc>
          <w:tcPr>
            <w:tcW w:w="24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138,730</w:t>
            </w:r>
          </w:p>
        </w:tc>
        <w:tc>
          <w:tcPr>
            <w:tcW w:w="22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578,639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2,719,797</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700-749</w:t>
            </w:r>
          </w:p>
        </w:tc>
        <w:tc>
          <w:tcPr>
            <w:tcW w:w="18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1,485,771</w:t>
            </w:r>
          </w:p>
        </w:tc>
        <w:tc>
          <w:tcPr>
            <w:tcW w:w="24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1,512,643</w:t>
            </w: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879,450</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563,941</w:t>
            </w:r>
          </w:p>
        </w:tc>
        <w:tc>
          <w:tcPr>
            <w:tcW w:w="24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362,715</w:t>
            </w: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1,398,737</w:t>
            </w:r>
          </w:p>
        </w:tc>
        <w:tc>
          <w:tcPr>
            <w:tcW w:w="220" w:type="dxa"/>
            <w:vAlign w:val="bottom"/>
            <w:shd w:val="clear" w:color="auto" w:fill="EDEDEE"/>
          </w:tcPr>
          <w:p>
            <w:pPr>
              <w:spacing w:after="0"/>
              <w:rPr>
                <w:sz w:val="15"/>
                <w:szCs w:val="15"/>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6,203,257</w:t>
            </w:r>
          </w:p>
        </w:tc>
        <w:tc>
          <w:tcPr>
            <w:tcW w:w="11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EDEDEE"/>
            </w:tcBorders>
          </w:tcPr>
          <w:p>
            <w:pPr>
              <w:ind w:left="20"/>
              <w:spacing w:after="0"/>
              <w:rPr>
                <w:sz w:val="20"/>
                <w:szCs w:val="20"/>
                <w:color w:val="auto"/>
              </w:rPr>
            </w:pPr>
            <w:r>
              <w:rPr>
                <w:rFonts w:ascii="Arial" w:cs="Arial" w:eastAsia="Arial" w:hAnsi="Arial"/>
                <w:sz w:val="13"/>
                <w:szCs w:val="13"/>
                <w:color w:val="auto"/>
              </w:rPr>
              <w:t>Greater than or equal to 750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2,451,367</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2,432,272</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1,428,427</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955,803</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678,427</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2,451,798</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10,398,094</w:t>
            </w: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99"/>
        </w:trPr>
        <w:tc>
          <w:tcPr>
            <w:tcW w:w="19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5,024,592</w:t>
            </w:r>
          </w:p>
        </w:tc>
        <w:tc>
          <w:tcPr>
            <w:tcW w:w="24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5,321,510</w:t>
            </w:r>
          </w:p>
        </w:tc>
        <w:tc>
          <w:tcPr>
            <w:tcW w:w="24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3,185,247</w:t>
            </w:r>
          </w:p>
        </w:tc>
        <w:tc>
          <w:tcPr>
            <w:tcW w:w="26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2,069,436</w:t>
            </w:r>
          </w:p>
        </w:tc>
        <w:tc>
          <w:tcPr>
            <w:tcW w:w="24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1,373,996</w:t>
            </w:r>
          </w:p>
        </w:tc>
        <w:tc>
          <w:tcPr>
            <w:tcW w:w="22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5,260,227</w:t>
            </w:r>
          </w:p>
        </w:tc>
        <w:tc>
          <w:tcPr>
            <w:tcW w:w="22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22,235,008</w:t>
            </w:r>
          </w:p>
        </w:tc>
        <w:tc>
          <w:tcPr>
            <w:tcW w:w="1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1920" w:type="dxa"/>
            <w:vAlign w:val="bottom"/>
            <w:tcBorders>
              <w:top w:val="single" w:sz="8" w:color="EDEDEE"/>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82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82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11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920" w:type="dxa"/>
            <w:vAlign w:val="bottom"/>
            <w:shd w:val="clear" w:color="auto" w:fill="EDEDEE"/>
          </w:tcPr>
          <w:p>
            <w:pPr>
              <w:ind w:left="20"/>
              <w:spacing w:after="0" w:line="175" w:lineRule="exact"/>
              <w:rPr>
                <w:sz w:val="20"/>
                <w:szCs w:val="20"/>
                <w:color w:val="auto"/>
              </w:rPr>
            </w:pPr>
            <w:r>
              <w:rPr>
                <w:rFonts w:ascii="Arial" w:cs="Arial" w:eastAsia="Arial" w:hAnsi="Arial"/>
                <w:sz w:val="13"/>
                <w:szCs w:val="13"/>
                <w:color w:val="auto"/>
              </w:rPr>
              <w:t>Seasoning</w:t>
            </w:r>
            <w:r>
              <w:rPr>
                <w:rFonts w:ascii="Arial" w:cs="Arial" w:eastAsia="Arial" w:hAnsi="Arial"/>
                <w:sz w:val="16"/>
                <w:szCs w:val="16"/>
                <w:color w:val="auto"/>
                <w:vertAlign w:val="superscript"/>
              </w:rPr>
              <w:t>(4)</w:t>
            </w:r>
            <w:r>
              <w:rPr>
                <w:rFonts w:ascii="Arial" w:cs="Arial" w:eastAsia="Arial" w:hAnsi="Arial"/>
                <w:sz w:val="13"/>
                <w:szCs w:val="13"/>
                <w:color w:val="auto"/>
              </w:rPr>
              <w:t>:</w:t>
            </w:r>
          </w:p>
        </w:tc>
        <w:tc>
          <w:tcPr>
            <w:tcW w:w="18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40" w:type="dxa"/>
            <w:vAlign w:val="bottom"/>
            <w:shd w:val="clear" w:color="auto" w:fill="EDEDEE"/>
          </w:tcPr>
          <w:p>
            <w:pPr>
              <w:spacing w:after="0"/>
              <w:rPr>
                <w:sz w:val="15"/>
                <w:szCs w:val="15"/>
                <w:color w:val="auto"/>
              </w:rPr>
            </w:pPr>
          </w:p>
        </w:tc>
        <w:tc>
          <w:tcPr>
            <w:tcW w:w="820" w:type="dxa"/>
            <w:vAlign w:val="bottom"/>
            <w:shd w:val="clear" w:color="auto" w:fill="EDEDEE"/>
          </w:tcPr>
          <w:p>
            <w:pPr>
              <w:spacing w:after="0"/>
              <w:rPr>
                <w:sz w:val="15"/>
                <w:szCs w:val="15"/>
                <w:color w:val="auto"/>
              </w:rPr>
            </w:pP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240" w:type="dxa"/>
            <w:vAlign w:val="bottom"/>
            <w:shd w:val="clear" w:color="auto" w:fill="EDEDEE"/>
          </w:tcPr>
          <w:p>
            <w:pPr>
              <w:spacing w:after="0"/>
              <w:rPr>
                <w:sz w:val="15"/>
                <w:szCs w:val="15"/>
                <w:color w:val="auto"/>
              </w:rPr>
            </w:pPr>
          </w:p>
        </w:tc>
        <w:tc>
          <w:tcPr>
            <w:tcW w:w="820" w:type="dxa"/>
            <w:vAlign w:val="bottom"/>
            <w:shd w:val="clear" w:color="auto" w:fill="EDEDEE"/>
          </w:tcPr>
          <w:p>
            <w:pPr>
              <w:spacing w:after="0"/>
              <w:rPr>
                <w:sz w:val="15"/>
                <w:szCs w:val="15"/>
                <w:color w:val="auto"/>
              </w:rPr>
            </w:pP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spacing w:after="0"/>
              <w:rPr>
                <w:sz w:val="15"/>
                <w:szCs w:val="15"/>
                <w:color w:val="auto"/>
              </w:rPr>
            </w:pPr>
          </w:p>
        </w:tc>
        <w:tc>
          <w:tcPr>
            <w:tcW w:w="220" w:type="dxa"/>
            <w:vAlign w:val="bottom"/>
            <w:shd w:val="clear" w:color="auto" w:fill="EDEDEE"/>
          </w:tcPr>
          <w:p>
            <w:pPr>
              <w:spacing w:after="0"/>
              <w:rPr>
                <w:sz w:val="15"/>
                <w:szCs w:val="15"/>
                <w:color w:val="auto"/>
              </w:rPr>
            </w:pPr>
          </w:p>
        </w:tc>
        <w:tc>
          <w:tcPr>
            <w:tcW w:w="780" w:type="dxa"/>
            <w:vAlign w:val="bottom"/>
            <w:shd w:val="clear" w:color="auto" w:fill="EDEDEE"/>
          </w:tcPr>
          <w:p>
            <w:pPr>
              <w:spacing w:after="0"/>
              <w:rPr>
                <w:sz w:val="15"/>
                <w:szCs w:val="15"/>
                <w:color w:val="auto"/>
              </w:rPr>
            </w:pPr>
          </w:p>
        </w:tc>
        <w:tc>
          <w:tcPr>
            <w:tcW w:w="1140" w:type="dxa"/>
            <w:vAlign w:val="bottom"/>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1-12 payments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2,860,113</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774,471</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499,812</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280,154</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159,762</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324,506</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4,898,818</w:t>
            </w:r>
          </w:p>
        </w:tc>
        <w:tc>
          <w:tcPr>
            <w:tcW w:w="1140" w:type="dxa"/>
            <w:vAlign w:val="bottom"/>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13-24 payments</w:t>
            </w:r>
          </w:p>
        </w:tc>
        <w:tc>
          <w:tcPr>
            <w:tcW w:w="18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2,729,334</w:t>
            </w: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372,496</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191,989</w:t>
            </w:r>
          </w:p>
        </w:tc>
        <w:tc>
          <w:tcPr>
            <w:tcW w:w="24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122,938</w:t>
            </w: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340,556</w:t>
            </w:r>
          </w:p>
        </w:tc>
        <w:tc>
          <w:tcPr>
            <w:tcW w:w="220" w:type="dxa"/>
            <w:vAlign w:val="bottom"/>
            <w:shd w:val="clear" w:color="auto" w:fill="EDEDEE"/>
          </w:tcPr>
          <w:p>
            <w:pPr>
              <w:spacing w:after="0"/>
              <w:rPr>
                <w:sz w:val="15"/>
                <w:szCs w:val="15"/>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3,757,313</w:t>
            </w:r>
          </w:p>
        </w:tc>
        <w:tc>
          <w:tcPr>
            <w:tcW w:w="11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25-36 payments</w:t>
            </w:r>
          </w:p>
        </w:tc>
        <w:tc>
          <w:tcPr>
            <w:tcW w:w="18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1,564,157</w:t>
            </w:r>
          </w:p>
        </w:tc>
        <w:tc>
          <w:tcPr>
            <w:tcW w:w="26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254,068</w:t>
            </w:r>
          </w:p>
        </w:tc>
        <w:tc>
          <w:tcPr>
            <w:tcW w:w="24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110,952</w:t>
            </w:r>
          </w:p>
        </w:tc>
        <w:tc>
          <w:tcPr>
            <w:tcW w:w="2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429,127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2,358,304</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37-48 payments</w:t>
            </w:r>
          </w:p>
        </w:tc>
        <w:tc>
          <w:tcPr>
            <w:tcW w:w="18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987,977</w:t>
            </w:r>
          </w:p>
        </w:tc>
        <w:tc>
          <w:tcPr>
            <w:tcW w:w="24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170,051</w:t>
            </w:r>
          </w:p>
        </w:tc>
        <w:tc>
          <w:tcPr>
            <w:tcW w:w="22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451,494</w:t>
            </w:r>
          </w:p>
        </w:tc>
        <w:tc>
          <w:tcPr>
            <w:tcW w:w="220" w:type="dxa"/>
            <w:vAlign w:val="bottom"/>
            <w:shd w:val="clear" w:color="auto" w:fill="EDEDEE"/>
          </w:tcPr>
          <w:p>
            <w:pPr>
              <w:spacing w:after="0"/>
              <w:rPr>
                <w:sz w:val="15"/>
                <w:szCs w:val="15"/>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1,609,522</w:t>
            </w:r>
          </w:p>
        </w:tc>
        <w:tc>
          <w:tcPr>
            <w:tcW w:w="11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More than 48 payments</w:t>
            </w:r>
          </w:p>
        </w:tc>
        <w:tc>
          <w:tcPr>
            <w:tcW w:w="18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625,916</w:t>
            </w:r>
          </w:p>
        </w:tc>
        <w:tc>
          <w:tcPr>
            <w:tcW w:w="2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3,262,308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3,888,224</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Not yet in repayment</w:t>
            </w:r>
          </w:p>
        </w:tc>
        <w:tc>
          <w:tcPr>
            <w:tcW w:w="18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2,164,479</w:t>
            </w:r>
          </w:p>
        </w:tc>
        <w:tc>
          <w:tcPr>
            <w:tcW w:w="240" w:type="dxa"/>
            <w:vAlign w:val="bottom"/>
            <w:tcBorders>
              <w:bottom w:val="single" w:sz="8" w:color="auto"/>
            </w:tcBorders>
            <w:shd w:val="clear" w:color="auto" w:fill="EDEDEE"/>
          </w:tcPr>
          <w:p>
            <w:pPr>
              <w:spacing w:after="0"/>
              <w:rPr>
                <w:sz w:val="15"/>
                <w:szCs w:val="15"/>
                <w:color w:val="auto"/>
              </w:rPr>
            </w:pPr>
          </w:p>
        </w:tc>
        <w:tc>
          <w:tcPr>
            <w:tcW w:w="82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1,817,705</w:t>
            </w:r>
          </w:p>
        </w:tc>
        <w:tc>
          <w:tcPr>
            <w:tcW w:w="24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748,782</w:t>
            </w:r>
          </w:p>
        </w:tc>
        <w:tc>
          <w:tcPr>
            <w:tcW w:w="260" w:type="dxa"/>
            <w:vAlign w:val="bottom"/>
            <w:tcBorders>
              <w:bottom w:val="single" w:sz="8" w:color="auto"/>
            </w:tcBorders>
            <w:shd w:val="clear" w:color="auto" w:fill="EDEDEE"/>
          </w:tcPr>
          <w:p>
            <w:pPr>
              <w:spacing w:after="0"/>
              <w:rPr>
                <w:sz w:val="15"/>
                <w:szCs w:val="15"/>
                <w:color w:val="auto"/>
              </w:rPr>
            </w:pPr>
          </w:p>
        </w:tc>
        <w:tc>
          <w:tcPr>
            <w:tcW w:w="80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355,248</w:t>
            </w:r>
          </w:p>
        </w:tc>
        <w:tc>
          <w:tcPr>
            <w:tcW w:w="240" w:type="dxa"/>
            <w:vAlign w:val="bottom"/>
            <w:tcBorders>
              <w:bottom w:val="single" w:sz="8" w:color="auto"/>
            </w:tcBorders>
            <w:shd w:val="clear" w:color="auto" w:fill="EDEDEE"/>
          </w:tcPr>
          <w:p>
            <w:pPr>
              <w:spacing w:after="0"/>
              <w:rPr>
                <w:sz w:val="15"/>
                <w:szCs w:val="15"/>
                <w:color w:val="auto"/>
              </w:rPr>
            </w:pPr>
          </w:p>
        </w:tc>
        <w:tc>
          <w:tcPr>
            <w:tcW w:w="82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184,377</w:t>
            </w:r>
          </w:p>
        </w:tc>
        <w:tc>
          <w:tcPr>
            <w:tcW w:w="220" w:type="dxa"/>
            <w:vAlign w:val="bottom"/>
            <w:tcBorders>
              <w:bottom w:val="single" w:sz="8" w:color="auto"/>
            </w:tcBorders>
            <w:shd w:val="clear" w:color="auto" w:fill="EDEDEE"/>
          </w:tcPr>
          <w:p>
            <w:pPr>
              <w:spacing w:after="0"/>
              <w:rPr>
                <w:sz w:val="15"/>
                <w:szCs w:val="15"/>
                <w:color w:val="auto"/>
              </w:rPr>
            </w:pPr>
          </w:p>
        </w:tc>
        <w:tc>
          <w:tcPr>
            <w:tcW w:w="90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452,236</w:t>
            </w:r>
          </w:p>
        </w:tc>
        <w:tc>
          <w:tcPr>
            <w:tcW w:w="220" w:type="dxa"/>
            <w:vAlign w:val="bottom"/>
            <w:tcBorders>
              <w:bottom w:val="single" w:sz="8" w:color="auto"/>
            </w:tcBorders>
            <w:shd w:val="clear" w:color="auto" w:fill="EDEDEE"/>
          </w:tcPr>
          <w:p>
            <w:pPr>
              <w:spacing w:after="0"/>
              <w:rPr>
                <w:sz w:val="15"/>
                <w:szCs w:val="15"/>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5,722,827</w:t>
            </w:r>
          </w:p>
        </w:tc>
        <w:tc>
          <w:tcPr>
            <w:tcW w:w="1140" w:type="dxa"/>
            <w:vAlign w:val="bottom"/>
            <w:tcBorders>
              <w:bottom w:val="single" w:sz="8" w:color="auto"/>
            </w:tcBorders>
            <w:shd w:val="clear" w:color="auto" w:fill="EDEDEE"/>
          </w:tcPr>
          <w:p>
            <w:pPr>
              <w:jc w:val="right"/>
              <w:ind w:right="117"/>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4"/>
        </w:trPr>
        <w:tc>
          <w:tcPr>
            <w:tcW w:w="1920" w:type="dxa"/>
            <w:vAlign w:val="bottom"/>
          </w:tcPr>
          <w:p>
            <w:pPr>
              <w:ind w:left="20"/>
              <w:spacing w:after="0" w:line="146" w:lineRule="exact"/>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5,024,592</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5,321,510</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3,185,247</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2,069,436</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1,373,996</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5,260,227</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22,235,008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1920" w:type="dxa"/>
            <w:vAlign w:val="bottom"/>
            <w:tcBorders>
              <w:bottom w:val="single" w:sz="8" w:color="EDEDEE"/>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920" w:type="dxa"/>
            <w:vAlign w:val="bottom"/>
            <w:shd w:val="clear" w:color="auto" w:fill="EDEDEE"/>
          </w:tcPr>
          <w:p>
            <w:pPr>
              <w:spacing w:after="0"/>
              <w:rPr>
                <w:sz w:val="21"/>
                <w:szCs w:val="21"/>
                <w:color w:val="auto"/>
              </w:rPr>
            </w:pPr>
          </w:p>
        </w:tc>
        <w:tc>
          <w:tcPr>
            <w:tcW w:w="180" w:type="dxa"/>
            <w:vAlign w:val="bottom"/>
            <w:shd w:val="clear" w:color="auto" w:fill="EDEDEE"/>
          </w:tcPr>
          <w:p>
            <w:pPr>
              <w:spacing w:after="0"/>
              <w:rPr>
                <w:sz w:val="21"/>
                <w:szCs w:val="21"/>
                <w:color w:val="auto"/>
              </w:rPr>
            </w:pPr>
          </w:p>
        </w:tc>
        <w:tc>
          <w:tcPr>
            <w:tcW w:w="800" w:type="dxa"/>
            <w:vAlign w:val="bottom"/>
            <w:shd w:val="clear" w:color="auto" w:fill="EDEDEE"/>
          </w:tcPr>
          <w:p>
            <w:pPr>
              <w:spacing w:after="0"/>
              <w:rPr>
                <w:sz w:val="21"/>
                <w:szCs w:val="21"/>
                <w:color w:val="auto"/>
              </w:rPr>
            </w:pPr>
          </w:p>
        </w:tc>
        <w:tc>
          <w:tcPr>
            <w:tcW w:w="240" w:type="dxa"/>
            <w:vAlign w:val="bottom"/>
            <w:shd w:val="clear" w:color="auto" w:fill="EDEDEE"/>
          </w:tcPr>
          <w:p>
            <w:pPr>
              <w:spacing w:after="0"/>
              <w:rPr>
                <w:sz w:val="21"/>
                <w:szCs w:val="21"/>
                <w:color w:val="auto"/>
              </w:rPr>
            </w:pPr>
          </w:p>
        </w:tc>
        <w:tc>
          <w:tcPr>
            <w:tcW w:w="820" w:type="dxa"/>
            <w:vAlign w:val="bottom"/>
            <w:shd w:val="clear" w:color="auto" w:fill="EDEDEE"/>
          </w:tcPr>
          <w:p>
            <w:pPr>
              <w:spacing w:after="0"/>
              <w:rPr>
                <w:sz w:val="21"/>
                <w:szCs w:val="21"/>
                <w:color w:val="auto"/>
              </w:rPr>
            </w:pPr>
          </w:p>
        </w:tc>
        <w:tc>
          <w:tcPr>
            <w:tcW w:w="240" w:type="dxa"/>
            <w:vAlign w:val="bottom"/>
            <w:shd w:val="clear" w:color="auto" w:fill="EDEDEE"/>
          </w:tcPr>
          <w:p>
            <w:pPr>
              <w:spacing w:after="0"/>
              <w:rPr>
                <w:sz w:val="21"/>
                <w:szCs w:val="21"/>
                <w:color w:val="auto"/>
              </w:rPr>
            </w:pPr>
          </w:p>
        </w:tc>
        <w:tc>
          <w:tcPr>
            <w:tcW w:w="800" w:type="dxa"/>
            <w:vAlign w:val="bottom"/>
            <w:shd w:val="clear" w:color="auto" w:fill="EDEDEE"/>
          </w:tcPr>
          <w:p>
            <w:pPr>
              <w:spacing w:after="0"/>
              <w:rPr>
                <w:sz w:val="21"/>
                <w:szCs w:val="21"/>
                <w:color w:val="auto"/>
              </w:rPr>
            </w:pPr>
          </w:p>
        </w:tc>
        <w:tc>
          <w:tcPr>
            <w:tcW w:w="260" w:type="dxa"/>
            <w:vAlign w:val="bottom"/>
            <w:shd w:val="clear" w:color="auto" w:fill="EDEDEE"/>
          </w:tcPr>
          <w:p>
            <w:pPr>
              <w:spacing w:after="0"/>
              <w:rPr>
                <w:sz w:val="21"/>
                <w:szCs w:val="21"/>
                <w:color w:val="auto"/>
              </w:rPr>
            </w:pPr>
          </w:p>
        </w:tc>
        <w:tc>
          <w:tcPr>
            <w:tcW w:w="800" w:type="dxa"/>
            <w:vAlign w:val="bottom"/>
            <w:shd w:val="clear" w:color="auto" w:fill="EDEDEE"/>
          </w:tcPr>
          <w:p>
            <w:pPr>
              <w:spacing w:after="0"/>
              <w:rPr>
                <w:sz w:val="21"/>
                <w:szCs w:val="21"/>
                <w:color w:val="auto"/>
              </w:rPr>
            </w:pPr>
          </w:p>
        </w:tc>
        <w:tc>
          <w:tcPr>
            <w:tcW w:w="240" w:type="dxa"/>
            <w:vAlign w:val="bottom"/>
            <w:shd w:val="clear" w:color="auto" w:fill="EDEDEE"/>
          </w:tcPr>
          <w:p>
            <w:pPr>
              <w:spacing w:after="0"/>
              <w:rPr>
                <w:sz w:val="21"/>
                <w:szCs w:val="21"/>
                <w:color w:val="auto"/>
              </w:rPr>
            </w:pPr>
          </w:p>
        </w:tc>
        <w:tc>
          <w:tcPr>
            <w:tcW w:w="820" w:type="dxa"/>
            <w:vAlign w:val="bottom"/>
            <w:shd w:val="clear" w:color="auto" w:fill="EDEDEE"/>
          </w:tcPr>
          <w:p>
            <w:pPr>
              <w:spacing w:after="0"/>
              <w:rPr>
                <w:sz w:val="21"/>
                <w:szCs w:val="21"/>
                <w:color w:val="auto"/>
              </w:rPr>
            </w:pPr>
          </w:p>
        </w:tc>
        <w:tc>
          <w:tcPr>
            <w:tcW w:w="220" w:type="dxa"/>
            <w:vAlign w:val="bottom"/>
            <w:shd w:val="clear" w:color="auto" w:fill="EDEDEE"/>
          </w:tcPr>
          <w:p>
            <w:pPr>
              <w:spacing w:after="0"/>
              <w:rPr>
                <w:sz w:val="21"/>
                <w:szCs w:val="21"/>
                <w:color w:val="auto"/>
              </w:rPr>
            </w:pPr>
          </w:p>
        </w:tc>
        <w:tc>
          <w:tcPr>
            <w:tcW w:w="900" w:type="dxa"/>
            <w:vAlign w:val="bottom"/>
            <w:shd w:val="clear" w:color="auto" w:fill="EDEDEE"/>
          </w:tcPr>
          <w:p>
            <w:pPr>
              <w:spacing w:after="0"/>
              <w:rPr>
                <w:sz w:val="21"/>
                <w:szCs w:val="21"/>
                <w:color w:val="auto"/>
              </w:rPr>
            </w:pPr>
          </w:p>
        </w:tc>
        <w:tc>
          <w:tcPr>
            <w:tcW w:w="220" w:type="dxa"/>
            <w:vAlign w:val="bottom"/>
            <w:shd w:val="clear" w:color="auto" w:fill="EDEDEE"/>
          </w:tcPr>
          <w:p>
            <w:pPr>
              <w:spacing w:after="0"/>
              <w:rPr>
                <w:sz w:val="21"/>
                <w:szCs w:val="21"/>
                <w:color w:val="auto"/>
              </w:rPr>
            </w:pPr>
          </w:p>
        </w:tc>
        <w:tc>
          <w:tcPr>
            <w:tcW w:w="780" w:type="dxa"/>
            <w:vAlign w:val="bottom"/>
            <w:shd w:val="clear" w:color="auto" w:fill="EDEDEE"/>
          </w:tcPr>
          <w:p>
            <w:pPr>
              <w:spacing w:after="0"/>
              <w:rPr>
                <w:sz w:val="21"/>
                <w:szCs w:val="21"/>
                <w:color w:val="auto"/>
              </w:rPr>
            </w:pPr>
          </w:p>
        </w:tc>
        <w:tc>
          <w:tcPr>
            <w:tcW w:w="1140" w:type="dxa"/>
            <w:vAlign w:val="bottom"/>
            <w:shd w:val="clear" w:color="auto" w:fill="EDEDEE"/>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20"/>
              <w:spacing w:after="0" w:line="122" w:lineRule="exact"/>
              <w:rPr>
                <w:sz w:val="20"/>
                <w:szCs w:val="20"/>
                <w:color w:val="auto"/>
              </w:rPr>
            </w:pPr>
            <w:r>
              <w:rPr>
                <w:rFonts w:ascii="Arial" w:cs="Arial" w:eastAsia="Arial" w:hAnsi="Arial"/>
                <w:sz w:val="11"/>
                <w:szCs w:val="11"/>
                <w:color w:val="auto"/>
              </w:rPr>
              <w:t>2024 Current period</w:t>
            </w:r>
            <w:r>
              <w:rPr>
                <w:rFonts w:ascii="Arial" w:cs="Arial" w:eastAsia="Arial" w:hAnsi="Arial"/>
                <w:sz w:val="14"/>
                <w:szCs w:val="14"/>
                <w:color w:val="auto"/>
                <w:vertAlign w:val="superscript"/>
              </w:rPr>
              <w:t>(5)</w:t>
            </w:r>
            <w:r>
              <w:rPr>
                <w:rFonts w:ascii="Arial" w:cs="Arial" w:eastAsia="Arial" w:hAnsi="Arial"/>
                <w:sz w:val="11"/>
                <w:szCs w:val="11"/>
                <w:color w:val="auto"/>
              </w:rPr>
              <w:t xml:space="preserve"> gross</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20"/>
              <w:spacing w:after="0"/>
              <w:rPr>
                <w:sz w:val="20"/>
                <w:szCs w:val="20"/>
                <w:color w:val="auto"/>
              </w:rPr>
            </w:pPr>
            <w:r>
              <w:rPr>
                <w:rFonts w:ascii="Arial" w:cs="Arial" w:eastAsia="Arial" w:hAnsi="Arial"/>
                <w:sz w:val="13"/>
                <w:szCs w:val="13"/>
                <w:color w:val="auto"/>
              </w:rPr>
              <w:t>charge-offs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(1,826)</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(29,094)</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(68,454)</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(53,697)</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(37,318)</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(186,451)</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(376,840)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20" w:type="dxa"/>
            <w:vAlign w:val="bottom"/>
            <w:shd w:val="clear" w:color="auto" w:fill="EDEDEE"/>
          </w:tcPr>
          <w:p>
            <w:pPr>
              <w:ind w:left="20"/>
              <w:spacing w:after="0" w:line="129" w:lineRule="exact"/>
              <w:rPr>
                <w:sz w:val="20"/>
                <w:szCs w:val="20"/>
                <w:color w:val="auto"/>
              </w:rPr>
            </w:pPr>
            <w:r>
              <w:rPr>
                <w:rFonts w:ascii="Arial" w:cs="Arial" w:eastAsia="Arial" w:hAnsi="Arial"/>
                <w:sz w:val="11"/>
                <w:szCs w:val="11"/>
                <w:color w:val="auto"/>
              </w:rPr>
              <w:t>2024 Current period</w:t>
            </w:r>
            <w:r>
              <w:rPr>
                <w:rFonts w:ascii="Arial" w:cs="Arial" w:eastAsia="Arial" w:hAnsi="Arial"/>
                <w:sz w:val="14"/>
                <w:szCs w:val="14"/>
                <w:color w:val="auto"/>
                <w:vertAlign w:val="superscript"/>
              </w:rPr>
              <w:t>(5)</w:t>
            </w:r>
          </w:p>
        </w:tc>
        <w:tc>
          <w:tcPr>
            <w:tcW w:w="18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4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24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24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220" w:type="dxa"/>
            <w:vAlign w:val="bottom"/>
            <w:shd w:val="clear" w:color="auto" w:fill="EDEDEE"/>
          </w:tcPr>
          <w:p>
            <w:pPr>
              <w:spacing w:after="0"/>
              <w:rPr>
                <w:sz w:val="11"/>
                <w:szCs w:val="11"/>
                <w:color w:val="auto"/>
              </w:rPr>
            </w:pPr>
          </w:p>
        </w:tc>
        <w:tc>
          <w:tcPr>
            <w:tcW w:w="900" w:type="dxa"/>
            <w:vAlign w:val="bottom"/>
            <w:shd w:val="clear" w:color="auto" w:fill="EDEDEE"/>
          </w:tcPr>
          <w:p>
            <w:pPr>
              <w:spacing w:after="0"/>
              <w:rPr>
                <w:sz w:val="11"/>
                <w:szCs w:val="11"/>
                <w:color w:val="auto"/>
              </w:rPr>
            </w:pPr>
          </w:p>
        </w:tc>
        <w:tc>
          <w:tcPr>
            <w:tcW w:w="220" w:type="dxa"/>
            <w:vAlign w:val="bottom"/>
            <w:shd w:val="clear" w:color="auto" w:fill="EDEDEE"/>
          </w:tcPr>
          <w:p>
            <w:pPr>
              <w:spacing w:after="0"/>
              <w:rPr>
                <w:sz w:val="11"/>
                <w:szCs w:val="11"/>
                <w:color w:val="auto"/>
              </w:rPr>
            </w:pPr>
          </w:p>
        </w:tc>
        <w:tc>
          <w:tcPr>
            <w:tcW w:w="780" w:type="dxa"/>
            <w:vAlign w:val="bottom"/>
            <w:shd w:val="clear" w:color="auto" w:fill="EDEDEE"/>
          </w:tcPr>
          <w:p>
            <w:pPr>
              <w:spacing w:after="0"/>
              <w:rPr>
                <w:sz w:val="11"/>
                <w:szCs w:val="11"/>
                <w:color w:val="auto"/>
              </w:rPr>
            </w:pPr>
          </w:p>
        </w:tc>
        <w:tc>
          <w:tcPr>
            <w:tcW w:w="114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recoveries</w:t>
            </w:r>
          </w:p>
        </w:tc>
        <w:tc>
          <w:tcPr>
            <w:tcW w:w="180" w:type="dxa"/>
            <w:vAlign w:val="bottom"/>
            <w:tcBorders>
              <w:bottom w:val="single" w:sz="8" w:color="auto"/>
            </w:tcBorders>
            <w:shd w:val="clear" w:color="auto" w:fill="EDEDEE"/>
          </w:tcPr>
          <w:p>
            <w:pPr>
              <w:spacing w:after="0"/>
              <w:rPr>
                <w:sz w:val="16"/>
                <w:szCs w:val="16"/>
                <w:color w:val="auto"/>
              </w:rPr>
            </w:pP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117</w:t>
            </w:r>
          </w:p>
        </w:tc>
        <w:tc>
          <w:tcPr>
            <w:tcW w:w="240" w:type="dxa"/>
            <w:vAlign w:val="bottom"/>
            <w:tcBorders>
              <w:bottom w:val="single" w:sz="8" w:color="auto"/>
            </w:tcBorders>
            <w:shd w:val="clear" w:color="auto" w:fill="EDEDEE"/>
          </w:tcPr>
          <w:p>
            <w:pPr>
              <w:spacing w:after="0"/>
              <w:rPr>
                <w:sz w:val="16"/>
                <w:szCs w:val="16"/>
                <w:color w:val="auto"/>
              </w:rPr>
            </w:pPr>
          </w:p>
        </w:tc>
        <w:tc>
          <w:tcPr>
            <w:tcW w:w="82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2,191</w:t>
            </w:r>
          </w:p>
        </w:tc>
        <w:tc>
          <w:tcPr>
            <w:tcW w:w="240" w:type="dxa"/>
            <w:vAlign w:val="bottom"/>
            <w:tcBorders>
              <w:bottom w:val="single" w:sz="8" w:color="auto"/>
            </w:tcBorders>
            <w:shd w:val="clear" w:color="auto" w:fill="EDEDEE"/>
          </w:tcPr>
          <w:p>
            <w:pPr>
              <w:spacing w:after="0"/>
              <w:rPr>
                <w:sz w:val="16"/>
                <w:szCs w:val="16"/>
                <w:color w:val="auto"/>
              </w:rPr>
            </w:pPr>
          </w:p>
        </w:tc>
        <w:tc>
          <w:tcPr>
            <w:tcW w:w="80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6,487</w:t>
            </w:r>
          </w:p>
        </w:tc>
        <w:tc>
          <w:tcPr>
            <w:tcW w:w="260" w:type="dxa"/>
            <w:vAlign w:val="bottom"/>
            <w:tcBorders>
              <w:bottom w:val="single" w:sz="8" w:color="auto"/>
            </w:tcBorders>
            <w:shd w:val="clear" w:color="auto" w:fill="EDEDEE"/>
          </w:tcPr>
          <w:p>
            <w:pPr>
              <w:spacing w:after="0"/>
              <w:rPr>
                <w:sz w:val="16"/>
                <w:szCs w:val="16"/>
                <w:color w:val="auto"/>
              </w:rPr>
            </w:pPr>
          </w:p>
        </w:tc>
        <w:tc>
          <w:tcPr>
            <w:tcW w:w="8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5,771</w:t>
            </w:r>
          </w:p>
        </w:tc>
        <w:tc>
          <w:tcPr>
            <w:tcW w:w="240" w:type="dxa"/>
            <w:vAlign w:val="bottom"/>
            <w:tcBorders>
              <w:bottom w:val="single" w:sz="8" w:color="auto"/>
            </w:tcBorders>
            <w:shd w:val="clear" w:color="auto" w:fill="EDEDEE"/>
          </w:tcPr>
          <w:p>
            <w:pPr>
              <w:spacing w:after="0"/>
              <w:rPr>
                <w:sz w:val="16"/>
                <w:szCs w:val="16"/>
                <w:color w:val="auto"/>
              </w:rPr>
            </w:pPr>
          </w:p>
        </w:tc>
        <w:tc>
          <w:tcPr>
            <w:tcW w:w="82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3,840</w:t>
            </w:r>
          </w:p>
        </w:tc>
        <w:tc>
          <w:tcPr>
            <w:tcW w:w="220" w:type="dxa"/>
            <w:vAlign w:val="bottom"/>
            <w:tcBorders>
              <w:bottom w:val="single" w:sz="8" w:color="auto"/>
            </w:tcBorders>
            <w:shd w:val="clear" w:color="auto" w:fill="EDEDEE"/>
          </w:tcPr>
          <w:p>
            <w:pPr>
              <w:spacing w:after="0"/>
              <w:rPr>
                <w:sz w:val="16"/>
                <w:szCs w:val="16"/>
                <w:color w:val="auto"/>
              </w:rPr>
            </w:pPr>
          </w:p>
        </w:tc>
        <w:tc>
          <w:tcPr>
            <w:tcW w:w="90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26,350</w:t>
            </w:r>
          </w:p>
        </w:tc>
        <w:tc>
          <w:tcPr>
            <w:tcW w:w="220" w:type="dxa"/>
            <w:vAlign w:val="bottom"/>
            <w:tcBorders>
              <w:bottom w:val="single" w:sz="8" w:color="auto"/>
            </w:tcBorders>
            <w:shd w:val="clear" w:color="auto" w:fill="EDEDEE"/>
          </w:tcPr>
          <w:p>
            <w:pPr>
              <w:spacing w:after="0"/>
              <w:rPr>
                <w:sz w:val="16"/>
                <w:szCs w:val="16"/>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44,756</w:t>
            </w:r>
          </w:p>
        </w:tc>
        <w:tc>
          <w:tcPr>
            <w:tcW w:w="1140" w:type="dxa"/>
            <w:vAlign w:val="bottom"/>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920" w:type="dxa"/>
            <w:vAlign w:val="bottom"/>
          </w:tcPr>
          <w:p>
            <w:pPr>
              <w:ind w:left="20"/>
              <w:spacing w:after="0" w:line="102" w:lineRule="exact"/>
              <w:rPr>
                <w:sz w:val="20"/>
                <w:szCs w:val="20"/>
                <w:color w:val="auto"/>
              </w:rPr>
            </w:pPr>
            <w:r>
              <w:rPr>
                <w:rFonts w:ascii="Arial" w:cs="Arial" w:eastAsia="Arial" w:hAnsi="Arial"/>
                <w:sz w:val="9"/>
                <w:szCs w:val="9"/>
                <w:color w:val="auto"/>
              </w:rPr>
              <w:t>2024 Current period</w:t>
            </w:r>
            <w:r>
              <w:rPr>
                <w:rFonts w:ascii="Arial" w:cs="Arial" w:eastAsia="Arial" w:hAnsi="Arial"/>
                <w:sz w:val="11"/>
                <w:szCs w:val="11"/>
                <w:color w:val="auto"/>
                <w:vertAlign w:val="superscript"/>
              </w:rPr>
              <w:t>(5)</w:t>
            </w:r>
            <w:r>
              <w:rPr>
                <w:rFonts w:ascii="Arial" w:cs="Arial" w:eastAsia="Arial" w:hAnsi="Arial"/>
                <w:sz w:val="9"/>
                <w:szCs w:val="9"/>
                <w:color w:val="auto"/>
              </w:rPr>
              <w:t xml:space="preserve"> net</w:t>
            </w: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(1,709)</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(26,903)</w:t>
            </w:r>
          </w:p>
        </w:tc>
        <w:tc>
          <w:tcPr>
            <w:tcW w:w="2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(61,967)</w:t>
            </w:r>
          </w:p>
        </w:tc>
        <w:tc>
          <w:tcPr>
            <w:tcW w:w="2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(47,926)</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(33,478)</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(160,101)</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(332,084)</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Arial" w:cs="Arial" w:eastAsia="Arial" w:hAnsi="Arial"/>
                <w:sz w:val="13"/>
                <w:szCs w:val="13"/>
                <w:color w:val="auto"/>
              </w:rPr>
              <w:t>charge-offs</w:t>
            </w:r>
          </w:p>
        </w:tc>
        <w:tc>
          <w:tcPr>
            <w:tcW w:w="1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EDEDEE"/>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EDED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20" w:type="dxa"/>
            <w:vAlign w:val="bottom"/>
            <w:shd w:val="clear" w:color="auto" w:fill="EDEDEE"/>
          </w:tcPr>
          <w:p>
            <w:pPr>
              <w:spacing w:after="0"/>
              <w:rPr>
                <w:sz w:val="14"/>
                <w:szCs w:val="14"/>
                <w:color w:val="auto"/>
              </w:rPr>
            </w:pPr>
          </w:p>
        </w:tc>
        <w:tc>
          <w:tcPr>
            <w:tcW w:w="18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2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0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2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90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780" w:type="dxa"/>
            <w:vAlign w:val="bottom"/>
            <w:shd w:val="clear" w:color="auto" w:fill="EDEDEE"/>
          </w:tcPr>
          <w:p>
            <w:pPr>
              <w:spacing w:after="0"/>
              <w:rPr>
                <w:sz w:val="14"/>
                <w:szCs w:val="14"/>
                <w:color w:val="auto"/>
              </w:rPr>
            </w:pPr>
          </w:p>
        </w:tc>
        <w:tc>
          <w:tcPr>
            <w:tcW w:w="114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20" w:type="dxa"/>
            <w:vAlign w:val="bottom"/>
          </w:tcPr>
          <w:p>
            <w:pPr>
              <w:ind w:left="20"/>
              <w:spacing w:after="0" w:line="122" w:lineRule="exact"/>
              <w:rPr>
                <w:sz w:val="20"/>
                <w:szCs w:val="20"/>
                <w:color w:val="auto"/>
              </w:rPr>
            </w:pPr>
            <w:r>
              <w:rPr>
                <w:rFonts w:ascii="Arial" w:cs="Arial" w:eastAsia="Arial" w:hAnsi="Arial"/>
                <w:sz w:val="13"/>
                <w:szCs w:val="13"/>
                <w:color w:val="auto"/>
              </w:rPr>
              <w:t>Total accrued interest by</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rPr>
                <w:sz w:val="20"/>
                <w:szCs w:val="20"/>
                <w:color w:val="auto"/>
              </w:rPr>
            </w:pPr>
            <w:r>
              <w:rPr>
                <w:rFonts w:ascii="Arial" w:cs="Arial" w:eastAsia="Arial" w:hAnsi="Arial"/>
                <w:sz w:val="13"/>
                <w:szCs w:val="13"/>
                <w:color w:val="auto"/>
              </w:rPr>
              <w:t>origination approval vintage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195,291</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484,531</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325,962</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197,504</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106,565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239,562</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1,549,415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054" w:hanging="323"/>
        <w:spacing w:after="0"/>
        <w:tabs>
          <w:tab w:leader="none" w:pos="1054"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Balance represents gross Private Education Loans held for investment.</w:t>
      </w:r>
    </w:p>
    <w:p>
      <w:pPr>
        <w:spacing w:after="0" w:line="42" w:lineRule="exact"/>
        <w:rPr>
          <w:rFonts w:ascii="Arial" w:cs="Arial" w:eastAsia="Arial" w:hAnsi="Arial"/>
          <w:sz w:val="14"/>
          <w:szCs w:val="14"/>
          <w:color w:val="auto"/>
          <w:vertAlign w:val="superscript"/>
        </w:rPr>
      </w:pPr>
    </w:p>
    <w:p>
      <w:pPr>
        <w:ind w:left="1054" w:hanging="323"/>
        <w:spacing w:after="0" w:line="197" w:lineRule="auto"/>
        <w:tabs>
          <w:tab w:leader="none" w:pos="1054"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Represents the higher credit score of the cosigner or the borrower.</w:t>
      </w:r>
    </w:p>
    <w:p>
      <w:pPr>
        <w:spacing w:after="0" w:line="43" w:lineRule="exact"/>
        <w:rPr>
          <w:rFonts w:ascii="Arial" w:cs="Arial" w:eastAsia="Arial" w:hAnsi="Arial"/>
          <w:sz w:val="14"/>
          <w:szCs w:val="14"/>
          <w:color w:val="auto"/>
          <w:vertAlign w:val="superscript"/>
        </w:rPr>
      </w:pPr>
    </w:p>
    <w:p>
      <w:pPr>
        <w:ind w:left="1054" w:hanging="323"/>
        <w:spacing w:after="0" w:line="217" w:lineRule="auto"/>
        <w:tabs>
          <w:tab w:leader="none" w:pos="1054"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Represents the FICO score updated as of the fourth-quarter 2024.</w:t>
      </w:r>
    </w:p>
    <w:p>
      <w:pPr>
        <w:spacing w:after="0" w:line="43" w:lineRule="exact"/>
        <w:rPr>
          <w:rFonts w:ascii="Arial" w:cs="Arial" w:eastAsia="Arial" w:hAnsi="Arial"/>
          <w:sz w:val="14"/>
          <w:szCs w:val="14"/>
          <w:color w:val="auto"/>
          <w:vertAlign w:val="superscript"/>
        </w:rPr>
      </w:pPr>
    </w:p>
    <w:p>
      <w:pPr>
        <w:ind w:left="1054" w:hanging="323"/>
        <w:spacing w:after="0"/>
        <w:tabs>
          <w:tab w:leader="none" w:pos="1054" w:val="left"/>
        </w:tabs>
        <w:numPr>
          <w:ilvl w:val="0"/>
          <w:numId w:val="25"/>
        </w:numPr>
        <w:rPr>
          <w:rFonts w:ascii="Arial" w:cs="Arial" w:eastAsia="Arial" w:hAnsi="Arial"/>
          <w:sz w:val="7"/>
          <w:szCs w:val="7"/>
          <w:color w:val="auto"/>
        </w:rPr>
      </w:pPr>
      <w:r>
        <w:rPr>
          <w:rFonts w:ascii="Arial" w:cs="Arial" w:eastAsia="Arial" w:hAnsi="Arial"/>
          <w:sz w:val="11"/>
          <w:szCs w:val="11"/>
          <w:color w:val="auto"/>
        </w:rPr>
        <w:t>Number of months in active repayment (whether interest only payment, fixed payment, or full principal and interest payment status) for which a scheduled payment was due.</w:t>
      </w:r>
    </w:p>
    <w:p>
      <w:pPr>
        <w:spacing w:after="0" w:line="34" w:lineRule="exact"/>
        <w:rPr>
          <w:rFonts w:ascii="Arial" w:cs="Arial" w:eastAsia="Arial" w:hAnsi="Arial"/>
          <w:sz w:val="7"/>
          <w:szCs w:val="7"/>
          <w:color w:val="auto"/>
        </w:rPr>
      </w:pPr>
    </w:p>
    <w:p>
      <w:pPr>
        <w:ind w:left="1054" w:hanging="323"/>
        <w:spacing w:after="0"/>
        <w:tabs>
          <w:tab w:leader="none" w:pos="1054" w:val="left"/>
        </w:tabs>
        <w:numPr>
          <w:ilvl w:val="0"/>
          <w:numId w:val="25"/>
        </w:numPr>
        <w:rPr>
          <w:rFonts w:ascii="Arial" w:cs="Arial" w:eastAsia="Arial" w:hAnsi="Arial"/>
          <w:sz w:val="14"/>
          <w:szCs w:val="14"/>
          <w:color w:val="auto"/>
          <w:vertAlign w:val="superscript"/>
        </w:rPr>
      </w:pPr>
      <w:r>
        <w:rPr>
          <w:rFonts w:ascii="Arial" w:cs="Arial" w:eastAsia="Arial" w:hAnsi="Arial"/>
          <w:sz w:val="11"/>
          <w:szCs w:val="11"/>
          <w:color w:val="auto"/>
        </w:rPr>
        <w:t>Current period refers to January 1, 2024 through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3"/>
        <w:spacing w:after="0"/>
        <w:rPr>
          <w:sz w:val="20"/>
          <w:szCs w:val="20"/>
          <w:color w:val="auto"/>
        </w:rPr>
      </w:pPr>
      <w:r>
        <w:rPr>
          <w:rFonts w:ascii="Arial" w:cs="Arial" w:eastAsia="Arial" w:hAnsi="Arial"/>
          <w:sz w:val="20"/>
          <w:szCs w:val="20"/>
          <w:b w:val="1"/>
          <w:bCs w:val="1"/>
          <w:color w:val="134F82"/>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4"/>
          </w:cols>
          <w:pgMar w:left="366" w:top="620" w:right="539" w:bottom="1440" w:gutter="0" w:footer="0" w:header="0"/>
        </w:sectPr>
      </w:pPr>
    </w:p>
    <w:bookmarkStart w:id="26" w:name="page27"/>
    <w:bookmarkEnd w:id="26"/>
    <w:p>
      <w:pPr>
        <w:ind w:left="380" w:hanging="334"/>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Delinquencies - Private Education Loans Held for Investment</w:t>
      </w:r>
    </w:p>
    <w:p>
      <w:pPr>
        <w:spacing w:after="0" w:line="11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The following tables provide information regarding the loan status of our Private Education Loans held for investment, by year of origination approval/first disbursement. Loans in repayment include loans on which borrowers are making interest only or fixed payments, as well as loans that have entered full principal and interest repayment status after any applicable grace period (but, for purposes of the following tables, do not include loans in the “loans in forbearance” metric).</w:t>
      </w:r>
    </w:p>
    <w:p>
      <w:pPr>
        <w:spacing w:after="0" w:line="229"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25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700" w:type="dxa"/>
            <w:vAlign w:val="bottom"/>
            <w:tcBorders>
              <w:top w:val="single" w:sz="8" w:color="auto"/>
              <w:bottom w:val="single" w:sz="8" w:color="auto"/>
            </w:tcBorders>
            <w:gridSpan w:val="9"/>
          </w:tcPr>
          <w:p>
            <w:pPr>
              <w:jc w:val="right"/>
              <w:ind w:right="17"/>
              <w:spacing w:after="0"/>
              <w:rPr>
                <w:sz w:val="20"/>
                <w:szCs w:val="20"/>
                <w:color w:val="auto"/>
              </w:rPr>
            </w:pPr>
            <w:r>
              <w:rPr>
                <w:rFonts w:ascii="Arial" w:cs="Arial" w:eastAsia="Arial" w:hAnsi="Arial"/>
                <w:sz w:val="13"/>
                <w:szCs w:val="13"/>
                <w:b w:val="1"/>
                <w:bCs w:val="1"/>
                <w:color w:val="144F82"/>
                <w:w w:val="96"/>
              </w:rPr>
              <w:t>Private Education Loans Held for Investment - Delinquencies by Origination Approval Vintage</w:t>
            </w: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540" w:type="dxa"/>
            <w:vAlign w:val="bottom"/>
          </w:tcPr>
          <w:p>
            <w:pPr>
              <w:ind w:left="20"/>
              <w:spacing w:after="0" w:line="105" w:lineRule="exact"/>
              <w:rPr>
                <w:sz w:val="20"/>
                <w:szCs w:val="20"/>
                <w:color w:val="auto"/>
              </w:rPr>
            </w:pPr>
            <w:r>
              <w:rPr>
                <w:rFonts w:ascii="Arial" w:cs="Arial" w:eastAsia="Arial" w:hAnsi="Arial"/>
                <w:sz w:val="12"/>
                <w:szCs w:val="12"/>
                <w:b w:val="1"/>
                <w:bCs w:val="1"/>
                <w:color w:val="144F82"/>
              </w:rPr>
              <w:t>As of March 31, 2025</w:t>
            </w:r>
          </w:p>
        </w:tc>
        <w:tc>
          <w:tcPr>
            <w:tcW w:w="240" w:type="dxa"/>
            <w:vAlign w:val="bottom"/>
          </w:tcPr>
          <w:p>
            <w:pPr>
              <w:spacing w:after="0"/>
              <w:rPr>
                <w:sz w:val="9"/>
                <w:szCs w:val="9"/>
                <w:color w:val="auto"/>
              </w:rPr>
            </w:pPr>
          </w:p>
        </w:tc>
        <w:tc>
          <w:tcPr>
            <w:tcW w:w="84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144F82"/>
              </w:rPr>
              <w:t>2025</w:t>
            </w:r>
          </w:p>
        </w:tc>
        <w:tc>
          <w:tcPr>
            <w:tcW w:w="200" w:type="dxa"/>
            <w:vAlign w:val="bottom"/>
          </w:tcPr>
          <w:p>
            <w:pPr>
              <w:spacing w:after="0"/>
              <w:rPr>
                <w:sz w:val="9"/>
                <w:szCs w:val="9"/>
                <w:color w:val="auto"/>
              </w:rPr>
            </w:pPr>
          </w:p>
        </w:tc>
        <w:tc>
          <w:tcPr>
            <w:tcW w:w="98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144F82"/>
              </w:rPr>
              <w:t>2024</w:t>
            </w:r>
          </w:p>
        </w:tc>
        <w:tc>
          <w:tcPr>
            <w:tcW w:w="260" w:type="dxa"/>
            <w:vAlign w:val="bottom"/>
          </w:tcPr>
          <w:p>
            <w:pPr>
              <w:spacing w:after="0"/>
              <w:rPr>
                <w:sz w:val="9"/>
                <w:szCs w:val="9"/>
                <w:color w:val="auto"/>
              </w:rPr>
            </w:pPr>
          </w:p>
        </w:tc>
        <w:tc>
          <w:tcPr>
            <w:tcW w:w="920" w:type="dxa"/>
            <w:vAlign w:val="bottom"/>
            <w:vMerge w:val="restart"/>
          </w:tcPr>
          <w:p>
            <w:pPr>
              <w:jc w:val="right"/>
              <w:ind w:right="397"/>
              <w:spacing w:after="0"/>
              <w:rPr>
                <w:sz w:val="20"/>
                <w:szCs w:val="20"/>
                <w:color w:val="auto"/>
              </w:rPr>
            </w:pPr>
            <w:r>
              <w:rPr>
                <w:rFonts w:ascii="Arial" w:cs="Arial" w:eastAsia="Arial" w:hAnsi="Arial"/>
                <w:sz w:val="13"/>
                <w:szCs w:val="13"/>
                <w:b w:val="1"/>
                <w:bCs w:val="1"/>
                <w:color w:val="144F82"/>
              </w:rPr>
              <w:t>2023</w:t>
            </w:r>
          </w:p>
        </w:tc>
        <w:tc>
          <w:tcPr>
            <w:tcW w:w="260" w:type="dxa"/>
            <w:vAlign w:val="bottom"/>
          </w:tcPr>
          <w:p>
            <w:pPr>
              <w:spacing w:after="0"/>
              <w:rPr>
                <w:sz w:val="9"/>
                <w:szCs w:val="9"/>
                <w:color w:val="auto"/>
              </w:rPr>
            </w:pPr>
          </w:p>
        </w:tc>
        <w:tc>
          <w:tcPr>
            <w:tcW w:w="90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144F82"/>
              </w:rPr>
              <w:t>2022</w:t>
            </w:r>
          </w:p>
        </w:tc>
        <w:tc>
          <w:tcPr>
            <w:tcW w:w="280" w:type="dxa"/>
            <w:vAlign w:val="bottom"/>
          </w:tcPr>
          <w:p>
            <w:pPr>
              <w:spacing w:after="0"/>
              <w:rPr>
                <w:sz w:val="9"/>
                <w:szCs w:val="9"/>
                <w:color w:val="auto"/>
              </w:rPr>
            </w:pPr>
          </w:p>
        </w:tc>
        <w:tc>
          <w:tcPr>
            <w:tcW w:w="90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144F82"/>
              </w:rPr>
              <w:t>2021</w:t>
            </w:r>
          </w:p>
        </w:tc>
        <w:tc>
          <w:tcPr>
            <w:tcW w:w="160" w:type="dxa"/>
            <w:vAlign w:val="bottom"/>
          </w:tcPr>
          <w:p>
            <w:pPr>
              <w:spacing w:after="0"/>
              <w:rPr>
                <w:sz w:val="9"/>
                <w:szCs w:val="9"/>
                <w:color w:val="auto"/>
              </w:rPr>
            </w:pPr>
          </w:p>
        </w:tc>
        <w:tc>
          <w:tcPr>
            <w:tcW w:w="10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144F82"/>
                <w:w w:val="95"/>
              </w:rPr>
              <w:t>2020 and Prior</w:t>
            </w:r>
          </w:p>
        </w:tc>
        <w:tc>
          <w:tcPr>
            <w:tcW w:w="280" w:type="dxa"/>
            <w:vAlign w:val="bottom"/>
          </w:tcPr>
          <w:p>
            <w:pPr>
              <w:spacing w:after="0"/>
              <w:rPr>
                <w:sz w:val="9"/>
                <w:szCs w:val="9"/>
                <w:color w:val="auto"/>
              </w:rPr>
            </w:pP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144F82"/>
              </w:rPr>
              <w:t>Total</w:t>
            </w:r>
          </w:p>
        </w:tc>
        <w:tc>
          <w:tcPr>
            <w:tcW w:w="0" w:type="dxa"/>
            <w:vAlign w:val="bottom"/>
          </w:tcPr>
          <w:p>
            <w:pPr>
              <w:spacing w:after="0"/>
              <w:rPr>
                <w:sz w:val="1"/>
                <w:szCs w:val="1"/>
                <w:color w:val="auto"/>
              </w:rPr>
            </w:pPr>
          </w:p>
        </w:tc>
      </w:tr>
      <w:tr>
        <w:trPr>
          <w:trHeight w:val="185"/>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EDEDEE"/>
          </w:tcPr>
          <w:p>
            <w:pPr>
              <w:ind w:left="20"/>
              <w:spacing w:after="0" w:line="175" w:lineRule="exact"/>
              <w:rPr>
                <w:sz w:val="20"/>
                <w:szCs w:val="20"/>
                <w:color w:val="auto"/>
              </w:rPr>
            </w:pPr>
            <w:r>
              <w:rPr>
                <w:rFonts w:ascii="Arial" w:cs="Arial" w:eastAsia="Arial" w:hAnsi="Arial"/>
                <w:sz w:val="13"/>
                <w:szCs w:val="13"/>
                <w:color w:val="auto"/>
              </w:rPr>
              <w:t>Loans in-school/grace/deferment</w:t>
            </w:r>
            <w:r>
              <w:rPr>
                <w:rFonts w:ascii="Arial" w:cs="Arial" w:eastAsia="Arial" w:hAnsi="Arial"/>
                <w:sz w:val="16"/>
                <w:szCs w:val="16"/>
                <w:color w:val="auto"/>
                <w:vertAlign w:val="superscript"/>
              </w:rPr>
              <w:t>(1)</w:t>
            </w:r>
          </w:p>
        </w:tc>
        <w:tc>
          <w:tcPr>
            <w:tcW w:w="24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436,059</w:t>
            </w:r>
          </w:p>
        </w:tc>
        <w:tc>
          <w:tcPr>
            <w:tcW w:w="20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2,726,541</w:t>
            </w:r>
          </w:p>
        </w:tc>
        <w:tc>
          <w:tcPr>
            <w:tcW w:w="26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1,341,863</w:t>
            </w:r>
          </w:p>
        </w:tc>
        <w:tc>
          <w:tcPr>
            <w:tcW w:w="26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635,952</w:t>
            </w:r>
          </w:p>
        </w:tc>
        <w:tc>
          <w:tcPr>
            <w:tcW w:w="28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320,015</w:t>
            </w:r>
          </w:p>
        </w:tc>
        <w:tc>
          <w:tcPr>
            <w:tcW w:w="16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603,297</w:t>
            </w:r>
          </w:p>
        </w:tc>
        <w:tc>
          <w:tcPr>
            <w:tcW w:w="28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6,063,727</w:t>
            </w: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5" w:lineRule="exact"/>
              <w:rPr>
                <w:sz w:val="20"/>
                <w:szCs w:val="20"/>
                <w:color w:val="auto"/>
              </w:rPr>
            </w:pPr>
            <w:r>
              <w:rPr>
                <w:rFonts w:ascii="Arial" w:cs="Arial" w:eastAsia="Arial" w:hAnsi="Arial"/>
                <w:sz w:val="13"/>
                <w:szCs w:val="13"/>
                <w:color w:val="auto"/>
              </w:rPr>
              <w:t>Loans in forbearance</w:t>
            </w:r>
            <w:r>
              <w:rPr>
                <w:rFonts w:ascii="Arial" w:cs="Arial" w:eastAsia="Arial" w:hAnsi="Arial"/>
                <w:sz w:val="16"/>
                <w:szCs w:val="16"/>
                <w:color w:val="auto"/>
                <w:vertAlign w:val="superscript"/>
              </w:rPr>
              <w:t>(2)</w:t>
            </w:r>
          </w:p>
        </w:tc>
        <w:tc>
          <w:tcPr>
            <w:tcW w:w="240" w:type="dxa"/>
            <w:vAlign w:val="bottom"/>
          </w:tcPr>
          <w:p>
            <w:pPr>
              <w:spacing w:after="0"/>
              <w:rPr>
                <w:sz w:val="15"/>
                <w:szCs w:val="15"/>
                <w:color w:val="auto"/>
              </w:rPr>
            </w:pP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1,040</w:t>
            </w:r>
          </w:p>
        </w:tc>
        <w:tc>
          <w:tcPr>
            <w:tcW w:w="200" w:type="dxa"/>
            <w:vAlign w:val="bottom"/>
          </w:tcPr>
          <w:p>
            <w:pPr>
              <w:spacing w:after="0"/>
              <w:rPr>
                <w:sz w:val="15"/>
                <w:szCs w:val="15"/>
                <w:color w:val="auto"/>
              </w:rPr>
            </w:pP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37,981</w:t>
            </w:r>
          </w:p>
        </w:tc>
        <w:tc>
          <w:tcPr>
            <w:tcW w:w="260" w:type="dxa"/>
            <w:vAlign w:val="bottom"/>
          </w:tcPr>
          <w:p>
            <w:pPr>
              <w:spacing w:after="0"/>
              <w:rPr>
                <w:sz w:val="15"/>
                <w:szCs w:val="15"/>
                <w:color w:val="auto"/>
              </w:rPr>
            </w:pPr>
          </w:p>
        </w:tc>
        <w:tc>
          <w:tcPr>
            <w:tcW w:w="920" w:type="dxa"/>
            <w:vAlign w:val="bottom"/>
          </w:tcPr>
          <w:p>
            <w:pPr>
              <w:jc w:val="right"/>
              <w:ind w:right="177"/>
              <w:spacing w:after="0"/>
              <w:rPr>
                <w:sz w:val="20"/>
                <w:szCs w:val="20"/>
                <w:color w:val="auto"/>
              </w:rPr>
            </w:pPr>
            <w:r>
              <w:rPr>
                <w:rFonts w:ascii="Arial" w:cs="Arial" w:eastAsia="Arial" w:hAnsi="Arial"/>
                <w:sz w:val="13"/>
                <w:szCs w:val="13"/>
                <w:color w:val="auto"/>
              </w:rPr>
              <w:t>139,850</w:t>
            </w:r>
          </w:p>
        </w:tc>
        <w:tc>
          <w:tcPr>
            <w:tcW w:w="260" w:type="dxa"/>
            <w:vAlign w:val="bottom"/>
          </w:tcPr>
          <w:p>
            <w:pPr>
              <w:spacing w:after="0"/>
              <w:rPr>
                <w:sz w:val="15"/>
                <w:szCs w:val="15"/>
                <w:color w:val="auto"/>
              </w:rPr>
            </w:pPr>
          </w:p>
        </w:tc>
        <w:tc>
          <w:tcPr>
            <w:tcW w:w="900" w:type="dxa"/>
            <w:vAlign w:val="bottom"/>
          </w:tcPr>
          <w:p>
            <w:pPr>
              <w:jc w:val="right"/>
              <w:ind w:right="157"/>
              <w:spacing w:after="0"/>
              <w:rPr>
                <w:sz w:val="20"/>
                <w:szCs w:val="20"/>
                <w:color w:val="auto"/>
              </w:rPr>
            </w:pPr>
            <w:r>
              <w:rPr>
                <w:rFonts w:ascii="Arial" w:cs="Arial" w:eastAsia="Arial" w:hAnsi="Arial"/>
                <w:sz w:val="13"/>
                <w:szCs w:val="13"/>
                <w:color w:val="auto"/>
              </w:rPr>
              <w:t>96,559</w:t>
            </w:r>
          </w:p>
        </w:tc>
        <w:tc>
          <w:tcPr>
            <w:tcW w:w="280" w:type="dxa"/>
            <w:vAlign w:val="bottom"/>
          </w:tcPr>
          <w:p>
            <w:pPr>
              <w:spacing w:after="0"/>
              <w:rPr>
                <w:sz w:val="15"/>
                <w:szCs w:val="15"/>
                <w:color w:val="auto"/>
              </w:rPr>
            </w:pPr>
          </w:p>
        </w:tc>
        <w:tc>
          <w:tcPr>
            <w:tcW w:w="900" w:type="dxa"/>
            <w:vAlign w:val="bottom"/>
          </w:tcPr>
          <w:p>
            <w:pPr>
              <w:jc w:val="right"/>
              <w:ind w:right="177"/>
              <w:spacing w:after="0"/>
              <w:rPr>
                <w:sz w:val="20"/>
                <w:szCs w:val="20"/>
                <w:color w:val="auto"/>
              </w:rPr>
            </w:pPr>
            <w:r>
              <w:rPr>
                <w:rFonts w:ascii="Arial" w:cs="Arial" w:eastAsia="Arial" w:hAnsi="Arial"/>
                <w:sz w:val="13"/>
                <w:szCs w:val="13"/>
                <w:color w:val="auto"/>
              </w:rPr>
              <w:t>62,922</w:t>
            </w:r>
          </w:p>
        </w:tc>
        <w:tc>
          <w:tcPr>
            <w:tcW w:w="160" w:type="dxa"/>
            <w:vAlign w:val="bottom"/>
          </w:tcPr>
          <w:p>
            <w:pPr>
              <w:spacing w:after="0"/>
              <w:rPr>
                <w:sz w:val="15"/>
                <w:szCs w:val="15"/>
                <w:color w:val="auto"/>
              </w:rPr>
            </w:pP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126,249</w:t>
            </w:r>
          </w:p>
        </w:tc>
        <w:tc>
          <w:tcPr>
            <w:tcW w:w="28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464,601</w:t>
            </w:r>
          </w:p>
        </w:tc>
        <w:tc>
          <w:tcPr>
            <w:tcW w:w="0" w:type="dxa"/>
            <w:vAlign w:val="bottom"/>
          </w:tcPr>
          <w:p>
            <w:pPr>
              <w:spacing w:after="0"/>
              <w:rPr>
                <w:sz w:val="1"/>
                <w:szCs w:val="1"/>
                <w:color w:val="auto"/>
              </w:rPr>
            </w:pPr>
          </w:p>
        </w:tc>
      </w:tr>
      <w:tr>
        <w:trPr>
          <w:trHeight w:val="176"/>
        </w:trPr>
        <w:tc>
          <w:tcPr>
            <w:tcW w:w="2540" w:type="dxa"/>
            <w:vAlign w:val="bottom"/>
            <w:shd w:val="clear" w:color="auto" w:fill="EDEDEE"/>
          </w:tcPr>
          <w:p>
            <w:pPr>
              <w:ind w:left="20"/>
              <w:spacing w:after="0"/>
              <w:rPr>
                <w:sz w:val="20"/>
                <w:szCs w:val="20"/>
                <w:color w:val="auto"/>
              </w:rPr>
            </w:pPr>
            <w:r>
              <w:rPr>
                <w:rFonts w:ascii="Arial" w:cs="Arial" w:eastAsia="Arial" w:hAnsi="Arial"/>
                <w:sz w:val="13"/>
                <w:szCs w:val="13"/>
                <w:color w:val="auto"/>
              </w:rPr>
              <w:t>Loans in repayment:</w:t>
            </w:r>
          </w:p>
        </w:tc>
        <w:tc>
          <w:tcPr>
            <w:tcW w:w="240" w:type="dxa"/>
            <w:vAlign w:val="bottom"/>
            <w:shd w:val="clear" w:color="auto" w:fill="EDEDEE"/>
          </w:tcPr>
          <w:p>
            <w:pPr>
              <w:spacing w:after="0"/>
              <w:rPr>
                <w:sz w:val="15"/>
                <w:szCs w:val="15"/>
                <w:color w:val="auto"/>
              </w:rPr>
            </w:pPr>
          </w:p>
        </w:tc>
        <w:tc>
          <w:tcPr>
            <w:tcW w:w="840" w:type="dxa"/>
            <w:vAlign w:val="bottom"/>
            <w:shd w:val="clear" w:color="auto" w:fill="EDEDEE"/>
          </w:tcPr>
          <w:p>
            <w:pPr>
              <w:spacing w:after="0"/>
              <w:rPr>
                <w:sz w:val="15"/>
                <w:szCs w:val="15"/>
                <w:color w:val="auto"/>
              </w:rPr>
            </w:pPr>
          </w:p>
        </w:tc>
        <w:tc>
          <w:tcPr>
            <w:tcW w:w="200" w:type="dxa"/>
            <w:vAlign w:val="bottom"/>
            <w:shd w:val="clear" w:color="auto" w:fill="EDEDEE"/>
          </w:tcPr>
          <w:p>
            <w:pPr>
              <w:spacing w:after="0"/>
              <w:rPr>
                <w:sz w:val="15"/>
                <w:szCs w:val="15"/>
                <w:color w:val="auto"/>
              </w:rPr>
            </w:pPr>
          </w:p>
        </w:tc>
        <w:tc>
          <w:tcPr>
            <w:tcW w:w="980" w:type="dxa"/>
            <w:vAlign w:val="bottom"/>
            <w:shd w:val="clear" w:color="auto" w:fill="EDEDEE"/>
          </w:tcPr>
          <w:p>
            <w:pPr>
              <w:spacing w:after="0"/>
              <w:rPr>
                <w:sz w:val="15"/>
                <w:szCs w:val="15"/>
                <w:color w:val="auto"/>
              </w:rPr>
            </w:pPr>
          </w:p>
        </w:tc>
        <w:tc>
          <w:tcPr>
            <w:tcW w:w="260" w:type="dxa"/>
            <w:vAlign w:val="bottom"/>
            <w:shd w:val="clear" w:color="auto" w:fill="EDEDEE"/>
          </w:tcPr>
          <w:p>
            <w:pPr>
              <w:spacing w:after="0"/>
              <w:rPr>
                <w:sz w:val="15"/>
                <w:szCs w:val="15"/>
                <w:color w:val="auto"/>
              </w:rPr>
            </w:pPr>
          </w:p>
        </w:tc>
        <w:tc>
          <w:tcPr>
            <w:tcW w:w="920" w:type="dxa"/>
            <w:vAlign w:val="bottom"/>
            <w:shd w:val="clear" w:color="auto" w:fill="EDEDEE"/>
          </w:tcPr>
          <w:p>
            <w:pPr>
              <w:spacing w:after="0"/>
              <w:rPr>
                <w:sz w:val="15"/>
                <w:szCs w:val="15"/>
                <w:color w:val="auto"/>
              </w:rPr>
            </w:pPr>
          </w:p>
        </w:tc>
        <w:tc>
          <w:tcPr>
            <w:tcW w:w="260" w:type="dxa"/>
            <w:vAlign w:val="bottom"/>
            <w:shd w:val="clear" w:color="auto" w:fill="EDEDEE"/>
          </w:tcPr>
          <w:p>
            <w:pPr>
              <w:spacing w:after="0"/>
              <w:rPr>
                <w:sz w:val="15"/>
                <w:szCs w:val="15"/>
                <w:color w:val="auto"/>
              </w:rPr>
            </w:pPr>
          </w:p>
        </w:tc>
        <w:tc>
          <w:tcPr>
            <w:tcW w:w="900" w:type="dxa"/>
            <w:vAlign w:val="bottom"/>
            <w:shd w:val="clear" w:color="auto" w:fill="EDEDEE"/>
          </w:tcPr>
          <w:p>
            <w:pPr>
              <w:spacing w:after="0"/>
              <w:rPr>
                <w:sz w:val="15"/>
                <w:szCs w:val="15"/>
                <w:color w:val="auto"/>
              </w:rPr>
            </w:pPr>
          </w:p>
        </w:tc>
        <w:tc>
          <w:tcPr>
            <w:tcW w:w="280" w:type="dxa"/>
            <w:vAlign w:val="bottom"/>
            <w:shd w:val="clear" w:color="auto" w:fill="EDEDEE"/>
          </w:tcPr>
          <w:p>
            <w:pPr>
              <w:spacing w:after="0"/>
              <w:rPr>
                <w:sz w:val="15"/>
                <w:szCs w:val="15"/>
                <w:color w:val="auto"/>
              </w:rPr>
            </w:pPr>
          </w:p>
        </w:tc>
        <w:tc>
          <w:tcPr>
            <w:tcW w:w="900" w:type="dxa"/>
            <w:vAlign w:val="bottom"/>
            <w:shd w:val="clear" w:color="auto" w:fill="EDEDEE"/>
          </w:tcPr>
          <w:p>
            <w:pPr>
              <w:spacing w:after="0"/>
              <w:rPr>
                <w:sz w:val="15"/>
                <w:szCs w:val="15"/>
                <w:color w:val="auto"/>
              </w:rPr>
            </w:pPr>
          </w:p>
        </w:tc>
        <w:tc>
          <w:tcPr>
            <w:tcW w:w="160" w:type="dxa"/>
            <w:vAlign w:val="bottom"/>
            <w:shd w:val="clear" w:color="auto" w:fill="EDEDEE"/>
          </w:tcPr>
          <w:p>
            <w:pPr>
              <w:spacing w:after="0"/>
              <w:rPr>
                <w:sz w:val="15"/>
                <w:szCs w:val="15"/>
                <w:color w:val="auto"/>
              </w:rPr>
            </w:pPr>
          </w:p>
        </w:tc>
        <w:tc>
          <w:tcPr>
            <w:tcW w:w="1040" w:type="dxa"/>
            <w:vAlign w:val="bottom"/>
            <w:shd w:val="clear" w:color="auto" w:fill="EDEDEE"/>
          </w:tcPr>
          <w:p>
            <w:pPr>
              <w:spacing w:after="0"/>
              <w:rPr>
                <w:sz w:val="15"/>
                <w:szCs w:val="15"/>
                <w:color w:val="auto"/>
              </w:rPr>
            </w:pPr>
          </w:p>
        </w:tc>
        <w:tc>
          <w:tcPr>
            <w:tcW w:w="280" w:type="dxa"/>
            <w:vAlign w:val="bottom"/>
            <w:shd w:val="clear" w:color="auto" w:fill="EDEDEE"/>
          </w:tcPr>
          <w:p>
            <w:pPr>
              <w:spacing w:after="0"/>
              <w:rPr>
                <w:sz w:val="15"/>
                <w:szCs w:val="15"/>
                <w:color w:val="auto"/>
              </w:rPr>
            </w:pPr>
          </w:p>
        </w:tc>
        <w:tc>
          <w:tcPr>
            <w:tcW w:w="940" w:type="dxa"/>
            <w:vAlign w:val="bottom"/>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120"/>
              <w:spacing w:after="0"/>
              <w:rPr>
                <w:sz w:val="20"/>
                <w:szCs w:val="20"/>
                <w:color w:val="auto"/>
              </w:rPr>
            </w:pPr>
            <w:r>
              <w:rPr>
                <w:rFonts w:ascii="Arial" w:cs="Arial" w:eastAsia="Arial" w:hAnsi="Arial"/>
                <w:sz w:val="13"/>
                <w:szCs w:val="13"/>
                <w:color w:val="auto"/>
              </w:rPr>
              <w:t>Loans current</w:t>
            </w:r>
          </w:p>
        </w:tc>
        <w:tc>
          <w:tcPr>
            <w:tcW w:w="240" w:type="dxa"/>
            <w:vAlign w:val="bottom"/>
          </w:tcPr>
          <w:p>
            <w:pPr>
              <w:spacing w:after="0"/>
              <w:rPr>
                <w:sz w:val="14"/>
                <w:szCs w:val="14"/>
                <w:color w:val="auto"/>
              </w:rPr>
            </w:pP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504,171</w:t>
            </w:r>
          </w:p>
        </w:tc>
        <w:tc>
          <w:tcPr>
            <w:tcW w:w="200" w:type="dxa"/>
            <w:vAlign w:val="bottom"/>
          </w:tcPr>
          <w:p>
            <w:pPr>
              <w:spacing w:after="0"/>
              <w:rPr>
                <w:sz w:val="14"/>
                <w:szCs w:val="14"/>
                <w:color w:val="auto"/>
              </w:rPr>
            </w:pP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3,673,471</w:t>
            </w:r>
          </w:p>
        </w:tc>
        <w:tc>
          <w:tcPr>
            <w:tcW w:w="26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3"/>
                <w:szCs w:val="13"/>
                <w:color w:val="auto"/>
              </w:rPr>
              <w:t>2,578,666</w:t>
            </w:r>
          </w:p>
        </w:tc>
        <w:tc>
          <w:tcPr>
            <w:tcW w:w="26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3"/>
                <w:szCs w:val="13"/>
                <w:color w:val="auto"/>
              </w:rPr>
              <w:t>1,965,257</w:t>
            </w:r>
          </w:p>
        </w:tc>
        <w:tc>
          <w:tcPr>
            <w:tcW w:w="280" w:type="dxa"/>
            <w:vAlign w:val="bottom"/>
          </w:tcPr>
          <w:p>
            <w:pPr>
              <w:spacing w:after="0"/>
              <w:rPr>
                <w:sz w:val="14"/>
                <w:szCs w:val="14"/>
                <w:color w:val="auto"/>
              </w:rPr>
            </w:pPr>
          </w:p>
        </w:tc>
        <w:tc>
          <w:tcPr>
            <w:tcW w:w="900" w:type="dxa"/>
            <w:vAlign w:val="bottom"/>
          </w:tcPr>
          <w:p>
            <w:pPr>
              <w:jc w:val="right"/>
              <w:ind w:right="177"/>
              <w:spacing w:after="0"/>
              <w:rPr>
                <w:sz w:val="20"/>
                <w:szCs w:val="20"/>
                <w:color w:val="auto"/>
              </w:rPr>
            </w:pPr>
            <w:r>
              <w:rPr>
                <w:rFonts w:ascii="Arial" w:cs="Arial" w:eastAsia="Arial" w:hAnsi="Arial"/>
                <w:sz w:val="13"/>
                <w:szCs w:val="13"/>
                <w:color w:val="auto"/>
              </w:rPr>
              <w:t>1,439,732</w:t>
            </w:r>
          </w:p>
        </w:tc>
        <w:tc>
          <w:tcPr>
            <w:tcW w:w="160" w:type="dxa"/>
            <w:vAlign w:val="bottom"/>
          </w:tcPr>
          <w:p>
            <w:pPr>
              <w:spacing w:after="0"/>
              <w:rPr>
                <w:sz w:val="14"/>
                <w:szCs w:val="14"/>
                <w:color w:val="auto"/>
              </w:rPr>
            </w:pP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5,172,375</w:t>
            </w:r>
          </w:p>
        </w:tc>
        <w:tc>
          <w:tcPr>
            <w:tcW w:w="28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15,333,672</w:t>
            </w:r>
          </w:p>
        </w:tc>
        <w:tc>
          <w:tcPr>
            <w:tcW w:w="0" w:type="dxa"/>
            <w:vAlign w:val="bottom"/>
          </w:tcPr>
          <w:p>
            <w:pPr>
              <w:spacing w:after="0"/>
              <w:rPr>
                <w:sz w:val="1"/>
                <w:szCs w:val="1"/>
                <w:color w:val="auto"/>
              </w:rPr>
            </w:pPr>
          </w:p>
        </w:tc>
      </w:tr>
      <w:tr>
        <w:trPr>
          <w:trHeight w:val="180"/>
        </w:trPr>
        <w:tc>
          <w:tcPr>
            <w:tcW w:w="2540" w:type="dxa"/>
            <w:vAlign w:val="bottom"/>
            <w:shd w:val="clear" w:color="auto" w:fill="EDEDEE"/>
          </w:tcPr>
          <w:p>
            <w:pPr>
              <w:ind w:left="120"/>
              <w:spacing w:after="0" w:line="181" w:lineRule="exact"/>
              <w:rPr>
                <w:sz w:val="20"/>
                <w:szCs w:val="20"/>
                <w:color w:val="auto"/>
              </w:rPr>
            </w:pPr>
            <w:r>
              <w:rPr>
                <w:rFonts w:ascii="Arial" w:cs="Arial" w:eastAsia="Arial" w:hAnsi="Arial"/>
                <w:sz w:val="13"/>
                <w:szCs w:val="13"/>
                <w:color w:val="auto"/>
              </w:rPr>
              <w:t>Loans delinquent 30-59 days</w:t>
            </w:r>
            <w:r>
              <w:rPr>
                <w:rFonts w:ascii="Arial" w:cs="Arial" w:eastAsia="Arial" w:hAnsi="Arial"/>
                <w:sz w:val="16"/>
                <w:szCs w:val="16"/>
                <w:color w:val="auto"/>
                <w:vertAlign w:val="superscript"/>
              </w:rPr>
              <w:t>(3)</w:t>
            </w:r>
          </w:p>
        </w:tc>
        <w:tc>
          <w:tcPr>
            <w:tcW w:w="240" w:type="dxa"/>
            <w:vAlign w:val="bottom"/>
            <w:shd w:val="clear" w:color="auto" w:fill="EDEDEE"/>
          </w:tcPr>
          <w:p>
            <w:pPr>
              <w:spacing w:after="0"/>
              <w:rPr>
                <w:sz w:val="15"/>
                <w:szCs w:val="15"/>
                <w:color w:val="auto"/>
              </w:rPr>
            </w:pPr>
          </w:p>
        </w:tc>
        <w:tc>
          <w:tcPr>
            <w:tcW w:w="8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1,108</w:t>
            </w:r>
          </w:p>
        </w:tc>
        <w:tc>
          <w:tcPr>
            <w:tcW w:w="200" w:type="dxa"/>
            <w:vAlign w:val="bottom"/>
            <w:shd w:val="clear" w:color="auto" w:fill="EDEDEE"/>
          </w:tcPr>
          <w:p>
            <w:pPr>
              <w:spacing w:after="0"/>
              <w:rPr>
                <w:sz w:val="15"/>
                <w:szCs w:val="15"/>
                <w:color w:val="auto"/>
              </w:rPr>
            </w:pPr>
          </w:p>
        </w:tc>
        <w:tc>
          <w:tcPr>
            <w:tcW w:w="98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13,654</w:t>
            </w:r>
          </w:p>
        </w:tc>
        <w:tc>
          <w:tcPr>
            <w:tcW w:w="260" w:type="dxa"/>
            <w:vAlign w:val="bottom"/>
            <w:shd w:val="clear" w:color="auto" w:fill="EDEDEE"/>
          </w:tcPr>
          <w:p>
            <w:pPr>
              <w:spacing w:after="0"/>
              <w:rPr>
                <w:sz w:val="15"/>
                <w:szCs w:val="15"/>
                <w:color w:val="auto"/>
              </w:rPr>
            </w:pPr>
          </w:p>
        </w:tc>
        <w:tc>
          <w:tcPr>
            <w:tcW w:w="92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35,819</w:t>
            </w:r>
          </w:p>
        </w:tc>
        <w:tc>
          <w:tcPr>
            <w:tcW w:w="26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39,736</w:t>
            </w:r>
          </w:p>
        </w:tc>
        <w:tc>
          <w:tcPr>
            <w:tcW w:w="28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31,663</w:t>
            </w:r>
          </w:p>
        </w:tc>
        <w:tc>
          <w:tcPr>
            <w:tcW w:w="160" w:type="dxa"/>
            <w:vAlign w:val="bottom"/>
            <w:shd w:val="clear" w:color="auto" w:fill="EDEDEE"/>
          </w:tcPr>
          <w:p>
            <w:pPr>
              <w:spacing w:after="0"/>
              <w:rPr>
                <w:sz w:val="15"/>
                <w:szCs w:val="15"/>
                <w:color w:val="auto"/>
              </w:rPr>
            </w:pPr>
          </w:p>
        </w:tc>
        <w:tc>
          <w:tcPr>
            <w:tcW w:w="10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154,299</w:t>
            </w:r>
          </w:p>
        </w:tc>
        <w:tc>
          <w:tcPr>
            <w:tcW w:w="280" w:type="dxa"/>
            <w:vAlign w:val="bottom"/>
            <w:shd w:val="clear" w:color="auto" w:fill="EDEDEE"/>
          </w:tcPr>
          <w:p>
            <w:pPr>
              <w:spacing w:after="0"/>
              <w:rPr>
                <w:sz w:val="15"/>
                <w:szCs w:val="15"/>
                <w:color w:val="auto"/>
              </w:rPr>
            </w:pPr>
          </w:p>
        </w:tc>
        <w:tc>
          <w:tcPr>
            <w:tcW w:w="9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276,279</w:t>
            </w:r>
          </w:p>
        </w:tc>
        <w:tc>
          <w:tcPr>
            <w:tcW w:w="0" w:type="dxa"/>
            <w:vAlign w:val="bottom"/>
          </w:tcPr>
          <w:p>
            <w:pPr>
              <w:spacing w:after="0"/>
              <w:rPr>
                <w:sz w:val="1"/>
                <w:szCs w:val="1"/>
                <w:color w:val="auto"/>
              </w:rPr>
            </w:pPr>
          </w:p>
        </w:tc>
      </w:tr>
      <w:tr>
        <w:trPr>
          <w:trHeight w:val="176"/>
        </w:trPr>
        <w:tc>
          <w:tcPr>
            <w:tcW w:w="2540" w:type="dxa"/>
            <w:vAlign w:val="bottom"/>
          </w:tcPr>
          <w:p>
            <w:pPr>
              <w:ind w:left="120"/>
              <w:spacing w:after="0" w:line="175" w:lineRule="exact"/>
              <w:rPr>
                <w:sz w:val="20"/>
                <w:szCs w:val="20"/>
                <w:color w:val="auto"/>
              </w:rPr>
            </w:pPr>
            <w:r>
              <w:rPr>
                <w:rFonts w:ascii="Arial" w:cs="Arial" w:eastAsia="Arial" w:hAnsi="Arial"/>
                <w:sz w:val="13"/>
                <w:szCs w:val="13"/>
                <w:color w:val="auto"/>
              </w:rPr>
              <w:t>Loans delinquent 60-89 days</w:t>
            </w:r>
            <w:r>
              <w:rPr>
                <w:rFonts w:ascii="Arial" w:cs="Arial" w:eastAsia="Arial" w:hAnsi="Arial"/>
                <w:sz w:val="16"/>
                <w:szCs w:val="16"/>
                <w:color w:val="auto"/>
                <w:vertAlign w:val="superscript"/>
              </w:rPr>
              <w:t>(3)</w:t>
            </w:r>
          </w:p>
        </w:tc>
        <w:tc>
          <w:tcPr>
            <w:tcW w:w="240" w:type="dxa"/>
            <w:vAlign w:val="bottom"/>
          </w:tcPr>
          <w:p>
            <w:pPr>
              <w:spacing w:after="0"/>
              <w:rPr>
                <w:sz w:val="15"/>
                <w:szCs w:val="15"/>
                <w:color w:val="auto"/>
              </w:rPr>
            </w:pP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5,932</w:t>
            </w:r>
          </w:p>
        </w:tc>
        <w:tc>
          <w:tcPr>
            <w:tcW w:w="260" w:type="dxa"/>
            <w:vAlign w:val="bottom"/>
          </w:tcPr>
          <w:p>
            <w:pPr>
              <w:spacing w:after="0"/>
              <w:rPr>
                <w:sz w:val="15"/>
                <w:szCs w:val="15"/>
                <w:color w:val="auto"/>
              </w:rPr>
            </w:pPr>
          </w:p>
        </w:tc>
        <w:tc>
          <w:tcPr>
            <w:tcW w:w="920" w:type="dxa"/>
            <w:vAlign w:val="bottom"/>
          </w:tcPr>
          <w:p>
            <w:pPr>
              <w:jc w:val="right"/>
              <w:ind w:right="177"/>
              <w:spacing w:after="0"/>
              <w:rPr>
                <w:sz w:val="20"/>
                <w:szCs w:val="20"/>
                <w:color w:val="auto"/>
              </w:rPr>
            </w:pPr>
            <w:r>
              <w:rPr>
                <w:rFonts w:ascii="Arial" w:cs="Arial" w:eastAsia="Arial" w:hAnsi="Arial"/>
                <w:sz w:val="13"/>
                <w:szCs w:val="13"/>
                <w:color w:val="auto"/>
              </w:rPr>
              <w:t>23,863</w:t>
            </w:r>
          </w:p>
        </w:tc>
        <w:tc>
          <w:tcPr>
            <w:tcW w:w="260" w:type="dxa"/>
            <w:vAlign w:val="bottom"/>
          </w:tcPr>
          <w:p>
            <w:pPr>
              <w:spacing w:after="0"/>
              <w:rPr>
                <w:sz w:val="15"/>
                <w:szCs w:val="15"/>
                <w:color w:val="auto"/>
              </w:rPr>
            </w:pPr>
          </w:p>
        </w:tc>
        <w:tc>
          <w:tcPr>
            <w:tcW w:w="900" w:type="dxa"/>
            <w:vAlign w:val="bottom"/>
          </w:tcPr>
          <w:p>
            <w:pPr>
              <w:jc w:val="right"/>
              <w:ind w:right="157"/>
              <w:spacing w:after="0"/>
              <w:rPr>
                <w:sz w:val="20"/>
                <w:szCs w:val="20"/>
                <w:color w:val="auto"/>
              </w:rPr>
            </w:pPr>
            <w:r>
              <w:rPr>
                <w:rFonts w:ascii="Arial" w:cs="Arial" w:eastAsia="Arial" w:hAnsi="Arial"/>
                <w:sz w:val="13"/>
                <w:szCs w:val="13"/>
                <w:color w:val="auto"/>
              </w:rPr>
              <w:t>24,895</w:t>
            </w:r>
          </w:p>
        </w:tc>
        <w:tc>
          <w:tcPr>
            <w:tcW w:w="280" w:type="dxa"/>
            <w:vAlign w:val="bottom"/>
          </w:tcPr>
          <w:p>
            <w:pPr>
              <w:spacing w:after="0"/>
              <w:rPr>
                <w:sz w:val="15"/>
                <w:szCs w:val="15"/>
                <w:color w:val="auto"/>
              </w:rPr>
            </w:pPr>
          </w:p>
        </w:tc>
        <w:tc>
          <w:tcPr>
            <w:tcW w:w="900" w:type="dxa"/>
            <w:vAlign w:val="bottom"/>
          </w:tcPr>
          <w:p>
            <w:pPr>
              <w:jc w:val="right"/>
              <w:ind w:right="177"/>
              <w:spacing w:after="0"/>
              <w:rPr>
                <w:sz w:val="20"/>
                <w:szCs w:val="20"/>
                <w:color w:val="auto"/>
              </w:rPr>
            </w:pPr>
            <w:r>
              <w:rPr>
                <w:rFonts w:ascii="Arial" w:cs="Arial" w:eastAsia="Arial" w:hAnsi="Arial"/>
                <w:sz w:val="13"/>
                <w:szCs w:val="13"/>
                <w:color w:val="auto"/>
              </w:rPr>
              <w:t>19,818</w:t>
            </w:r>
          </w:p>
        </w:tc>
        <w:tc>
          <w:tcPr>
            <w:tcW w:w="160" w:type="dxa"/>
            <w:vAlign w:val="bottom"/>
          </w:tcPr>
          <w:p>
            <w:pPr>
              <w:spacing w:after="0"/>
              <w:rPr>
                <w:sz w:val="15"/>
                <w:szCs w:val="15"/>
                <w:color w:val="auto"/>
              </w:rPr>
            </w:pP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78,104</w:t>
            </w:r>
          </w:p>
        </w:tc>
        <w:tc>
          <w:tcPr>
            <w:tcW w:w="28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152,612</w:t>
            </w:r>
          </w:p>
        </w:tc>
        <w:tc>
          <w:tcPr>
            <w:tcW w:w="0" w:type="dxa"/>
            <w:vAlign w:val="bottom"/>
          </w:tcPr>
          <w:p>
            <w:pPr>
              <w:spacing w:after="0"/>
              <w:rPr>
                <w:sz w:val="1"/>
                <w:szCs w:val="1"/>
                <w:color w:val="auto"/>
              </w:rPr>
            </w:pPr>
          </w:p>
        </w:tc>
      </w:tr>
      <w:tr>
        <w:trPr>
          <w:trHeight w:val="175"/>
        </w:trPr>
        <w:tc>
          <w:tcPr>
            <w:tcW w:w="2540" w:type="dxa"/>
            <w:vAlign w:val="bottom"/>
            <w:shd w:val="clear" w:color="auto" w:fill="EDEDEE"/>
          </w:tcPr>
          <w:p>
            <w:pPr>
              <w:ind w:left="120"/>
              <w:spacing w:after="0" w:line="175" w:lineRule="exact"/>
              <w:rPr>
                <w:sz w:val="20"/>
                <w:szCs w:val="20"/>
                <w:color w:val="auto"/>
              </w:rPr>
            </w:pPr>
            <w:r>
              <w:rPr>
                <w:rFonts w:ascii="Arial" w:cs="Arial" w:eastAsia="Arial" w:hAnsi="Arial"/>
                <w:sz w:val="13"/>
                <w:szCs w:val="13"/>
                <w:color w:val="auto"/>
              </w:rPr>
              <w:t>Loans 90 days or greater past due</w:t>
            </w:r>
            <w:r>
              <w:rPr>
                <w:rFonts w:ascii="Arial" w:cs="Arial" w:eastAsia="Arial" w:hAnsi="Arial"/>
                <w:sz w:val="16"/>
                <w:szCs w:val="16"/>
                <w:color w:val="auto"/>
                <w:vertAlign w:val="superscript"/>
              </w:rPr>
              <w:t>(3)</w:t>
            </w:r>
          </w:p>
        </w:tc>
        <w:tc>
          <w:tcPr>
            <w:tcW w:w="240" w:type="dxa"/>
            <w:vAlign w:val="bottom"/>
            <w:tcBorders>
              <w:bottom w:val="single" w:sz="8" w:color="auto"/>
            </w:tcBorders>
            <w:shd w:val="clear" w:color="auto" w:fill="EDEDEE"/>
          </w:tcPr>
          <w:p>
            <w:pPr>
              <w:spacing w:after="0"/>
              <w:rPr>
                <w:sz w:val="15"/>
                <w:szCs w:val="15"/>
                <w:color w:val="auto"/>
              </w:rPr>
            </w:pPr>
          </w:p>
        </w:tc>
        <w:tc>
          <w:tcPr>
            <w:tcW w:w="84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EDEDEE"/>
          </w:tcPr>
          <w:p>
            <w:pPr>
              <w:spacing w:after="0"/>
              <w:rPr>
                <w:sz w:val="15"/>
                <w:szCs w:val="15"/>
                <w:color w:val="auto"/>
              </w:rPr>
            </w:pPr>
          </w:p>
        </w:tc>
        <w:tc>
          <w:tcPr>
            <w:tcW w:w="98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3,787</w:t>
            </w:r>
          </w:p>
        </w:tc>
        <w:tc>
          <w:tcPr>
            <w:tcW w:w="260" w:type="dxa"/>
            <w:vAlign w:val="bottom"/>
            <w:tcBorders>
              <w:bottom w:val="single" w:sz="8" w:color="auto"/>
            </w:tcBorders>
            <w:shd w:val="clear" w:color="auto" w:fill="EDEDEE"/>
          </w:tcPr>
          <w:p>
            <w:pPr>
              <w:spacing w:after="0"/>
              <w:rPr>
                <w:sz w:val="15"/>
                <w:szCs w:val="15"/>
                <w:color w:val="auto"/>
              </w:rPr>
            </w:pPr>
          </w:p>
        </w:tc>
        <w:tc>
          <w:tcPr>
            <w:tcW w:w="92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21,089</w:t>
            </w:r>
          </w:p>
        </w:tc>
        <w:tc>
          <w:tcPr>
            <w:tcW w:w="260" w:type="dxa"/>
            <w:vAlign w:val="bottom"/>
            <w:tcBorders>
              <w:bottom w:val="single" w:sz="8" w:color="auto"/>
            </w:tcBorders>
            <w:shd w:val="clear" w:color="auto" w:fill="EDEDEE"/>
          </w:tcPr>
          <w:p>
            <w:pPr>
              <w:spacing w:after="0"/>
              <w:rPr>
                <w:sz w:val="15"/>
                <w:szCs w:val="15"/>
                <w:color w:val="auto"/>
              </w:rPr>
            </w:pPr>
          </w:p>
        </w:tc>
        <w:tc>
          <w:tcPr>
            <w:tcW w:w="900" w:type="dxa"/>
            <w:vAlign w:val="bottom"/>
            <w:tcBorders>
              <w:bottom w:val="single" w:sz="8" w:color="auto"/>
            </w:tcBorders>
            <w:shd w:val="clear" w:color="auto" w:fill="EDEDEE"/>
          </w:tcPr>
          <w:p>
            <w:pPr>
              <w:jc w:val="right"/>
              <w:ind w:right="157"/>
              <w:spacing w:after="0"/>
              <w:rPr>
                <w:sz w:val="20"/>
                <w:szCs w:val="20"/>
                <w:color w:val="auto"/>
              </w:rPr>
            </w:pPr>
            <w:r>
              <w:rPr>
                <w:rFonts w:ascii="Arial" w:cs="Arial" w:eastAsia="Arial" w:hAnsi="Arial"/>
                <w:sz w:val="13"/>
                <w:szCs w:val="13"/>
                <w:color w:val="auto"/>
              </w:rPr>
              <w:t>22,246</w:t>
            </w:r>
          </w:p>
        </w:tc>
        <w:tc>
          <w:tcPr>
            <w:tcW w:w="280" w:type="dxa"/>
            <w:vAlign w:val="bottom"/>
            <w:tcBorders>
              <w:bottom w:val="single" w:sz="8" w:color="auto"/>
            </w:tcBorders>
            <w:shd w:val="clear" w:color="auto" w:fill="EDEDEE"/>
          </w:tcPr>
          <w:p>
            <w:pPr>
              <w:spacing w:after="0"/>
              <w:rPr>
                <w:sz w:val="15"/>
                <w:szCs w:val="15"/>
                <w:color w:val="auto"/>
              </w:rPr>
            </w:pPr>
          </w:p>
        </w:tc>
        <w:tc>
          <w:tcPr>
            <w:tcW w:w="90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16,608</w:t>
            </w:r>
          </w:p>
        </w:tc>
        <w:tc>
          <w:tcPr>
            <w:tcW w:w="160" w:type="dxa"/>
            <w:vAlign w:val="bottom"/>
            <w:tcBorders>
              <w:bottom w:val="single" w:sz="8" w:color="auto"/>
            </w:tcBorders>
            <w:shd w:val="clear" w:color="auto" w:fill="EDEDEE"/>
          </w:tcPr>
          <w:p>
            <w:pPr>
              <w:spacing w:after="0"/>
              <w:rPr>
                <w:sz w:val="15"/>
                <w:szCs w:val="15"/>
                <w:color w:val="auto"/>
              </w:rPr>
            </w:pPr>
          </w:p>
        </w:tc>
        <w:tc>
          <w:tcPr>
            <w:tcW w:w="104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77,504</w:t>
            </w:r>
          </w:p>
        </w:tc>
        <w:tc>
          <w:tcPr>
            <w:tcW w:w="280" w:type="dxa"/>
            <w:vAlign w:val="bottom"/>
            <w:tcBorders>
              <w:bottom w:val="single" w:sz="8" w:color="auto"/>
            </w:tcBorders>
            <w:shd w:val="clear" w:color="auto" w:fill="EDEDEE"/>
          </w:tcPr>
          <w:p>
            <w:pPr>
              <w:spacing w:after="0"/>
              <w:rPr>
                <w:sz w:val="15"/>
                <w:szCs w:val="15"/>
                <w:color w:val="auto"/>
              </w:rPr>
            </w:pPr>
          </w:p>
        </w:tc>
        <w:tc>
          <w:tcPr>
            <w:tcW w:w="940" w:type="dxa"/>
            <w:vAlign w:val="bottom"/>
            <w:tcBorders>
              <w:bottom w:val="single" w:sz="8" w:color="auto"/>
            </w:tcBorders>
            <w:shd w:val="clear" w:color="auto" w:fill="EDEDEE"/>
          </w:tcPr>
          <w:p>
            <w:pPr>
              <w:jc w:val="right"/>
              <w:ind w:right="117"/>
              <w:spacing w:after="0"/>
              <w:rPr>
                <w:sz w:val="20"/>
                <w:szCs w:val="20"/>
                <w:color w:val="auto"/>
              </w:rPr>
            </w:pPr>
            <w:r>
              <w:rPr>
                <w:rFonts w:ascii="Arial" w:cs="Arial" w:eastAsia="Arial" w:hAnsi="Arial"/>
                <w:sz w:val="13"/>
                <w:szCs w:val="13"/>
                <w:color w:val="auto"/>
              </w:rPr>
              <w:t>141,234</w:t>
            </w:r>
          </w:p>
        </w:tc>
        <w:tc>
          <w:tcPr>
            <w:tcW w:w="0" w:type="dxa"/>
            <w:vAlign w:val="bottom"/>
          </w:tcPr>
          <w:p>
            <w:pPr>
              <w:spacing w:after="0"/>
              <w:rPr>
                <w:sz w:val="1"/>
                <w:szCs w:val="1"/>
                <w:color w:val="auto"/>
              </w:rPr>
            </w:pPr>
          </w:p>
        </w:tc>
      </w:tr>
      <w:tr>
        <w:trPr>
          <w:trHeight w:val="102"/>
        </w:trPr>
        <w:tc>
          <w:tcPr>
            <w:tcW w:w="2540" w:type="dxa"/>
            <w:vAlign w:val="bottom"/>
          </w:tcPr>
          <w:p>
            <w:pPr>
              <w:ind w:left="20"/>
              <w:spacing w:after="0" w:line="102" w:lineRule="exact"/>
              <w:rPr>
                <w:sz w:val="20"/>
                <w:szCs w:val="20"/>
                <w:color w:val="auto"/>
              </w:rPr>
            </w:pPr>
            <w:r>
              <w:rPr>
                <w:rFonts w:ascii="Arial" w:cs="Arial" w:eastAsia="Arial" w:hAnsi="Arial"/>
                <w:sz w:val="10"/>
                <w:szCs w:val="10"/>
                <w:color w:val="auto"/>
              </w:rPr>
              <w:t>Total Private Education Loans in</w:t>
            </w: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EDEDEE"/>
            </w:tcBorders>
          </w:tcPr>
          <w:p>
            <w:pPr>
              <w:ind w:left="20"/>
              <w:spacing w:after="0"/>
              <w:rPr>
                <w:sz w:val="20"/>
                <w:szCs w:val="20"/>
                <w:color w:val="auto"/>
              </w:rPr>
            </w:pPr>
            <w:r>
              <w:rPr>
                <w:rFonts w:ascii="Arial" w:cs="Arial" w:eastAsia="Arial" w:hAnsi="Arial"/>
                <w:sz w:val="13"/>
                <w:szCs w:val="13"/>
                <w:color w:val="auto"/>
              </w:rPr>
              <w:t>repayment</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505,279</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3,696,844</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2,659,437</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2,052,134</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1,507,821</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5,482,282</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15,903,797</w:t>
            </w:r>
          </w:p>
        </w:tc>
        <w:tc>
          <w:tcPr>
            <w:tcW w:w="0" w:type="dxa"/>
            <w:vAlign w:val="bottom"/>
          </w:tcPr>
          <w:p>
            <w:pPr>
              <w:spacing w:after="0"/>
              <w:rPr>
                <w:sz w:val="1"/>
                <w:szCs w:val="1"/>
                <w:color w:val="auto"/>
              </w:rPr>
            </w:pPr>
          </w:p>
        </w:tc>
      </w:tr>
      <w:tr>
        <w:trPr>
          <w:trHeight w:val="176"/>
        </w:trPr>
        <w:tc>
          <w:tcPr>
            <w:tcW w:w="2540" w:type="dxa"/>
            <w:vAlign w:val="bottom"/>
            <w:shd w:val="clear" w:color="auto" w:fill="EDEDEE"/>
          </w:tcPr>
          <w:p>
            <w:pPr>
              <w:ind w:left="20"/>
              <w:spacing w:after="0"/>
              <w:rPr>
                <w:sz w:val="20"/>
                <w:szCs w:val="20"/>
                <w:color w:val="auto"/>
              </w:rPr>
            </w:pPr>
            <w:r>
              <w:rPr>
                <w:rFonts w:ascii="Arial" w:cs="Arial" w:eastAsia="Arial" w:hAnsi="Arial"/>
                <w:sz w:val="13"/>
                <w:szCs w:val="13"/>
                <w:color w:val="auto"/>
              </w:rPr>
              <w:t>Total Private Education Loans, gross</w:t>
            </w:r>
          </w:p>
        </w:tc>
        <w:tc>
          <w:tcPr>
            <w:tcW w:w="240" w:type="dxa"/>
            <w:vAlign w:val="bottom"/>
            <w:shd w:val="clear" w:color="auto" w:fill="EDEDEE"/>
          </w:tcPr>
          <w:p>
            <w:pPr>
              <w:spacing w:after="0"/>
              <w:rPr>
                <w:sz w:val="15"/>
                <w:szCs w:val="15"/>
                <w:color w:val="auto"/>
              </w:rPr>
            </w:pPr>
          </w:p>
        </w:tc>
        <w:tc>
          <w:tcPr>
            <w:tcW w:w="8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942,378</w:t>
            </w:r>
          </w:p>
        </w:tc>
        <w:tc>
          <w:tcPr>
            <w:tcW w:w="200" w:type="dxa"/>
            <w:vAlign w:val="bottom"/>
            <w:shd w:val="clear" w:color="auto" w:fill="EDEDEE"/>
          </w:tcPr>
          <w:p>
            <w:pPr>
              <w:spacing w:after="0"/>
              <w:rPr>
                <w:sz w:val="15"/>
                <w:szCs w:val="15"/>
                <w:color w:val="auto"/>
              </w:rPr>
            </w:pPr>
          </w:p>
        </w:tc>
        <w:tc>
          <w:tcPr>
            <w:tcW w:w="98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6,461,366</w:t>
            </w:r>
          </w:p>
        </w:tc>
        <w:tc>
          <w:tcPr>
            <w:tcW w:w="260" w:type="dxa"/>
            <w:vAlign w:val="bottom"/>
            <w:shd w:val="clear" w:color="auto" w:fill="EDEDEE"/>
          </w:tcPr>
          <w:p>
            <w:pPr>
              <w:spacing w:after="0"/>
              <w:rPr>
                <w:sz w:val="15"/>
                <w:szCs w:val="15"/>
                <w:color w:val="auto"/>
              </w:rPr>
            </w:pPr>
          </w:p>
        </w:tc>
        <w:tc>
          <w:tcPr>
            <w:tcW w:w="92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4,141,150</w:t>
            </w:r>
          </w:p>
        </w:tc>
        <w:tc>
          <w:tcPr>
            <w:tcW w:w="26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2,784,645</w:t>
            </w:r>
          </w:p>
        </w:tc>
        <w:tc>
          <w:tcPr>
            <w:tcW w:w="28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1,890,758</w:t>
            </w:r>
          </w:p>
        </w:tc>
        <w:tc>
          <w:tcPr>
            <w:tcW w:w="160" w:type="dxa"/>
            <w:vAlign w:val="bottom"/>
            <w:shd w:val="clear" w:color="auto" w:fill="EDEDEE"/>
          </w:tcPr>
          <w:p>
            <w:pPr>
              <w:spacing w:after="0"/>
              <w:rPr>
                <w:sz w:val="15"/>
                <w:szCs w:val="15"/>
                <w:color w:val="auto"/>
              </w:rPr>
            </w:pPr>
          </w:p>
        </w:tc>
        <w:tc>
          <w:tcPr>
            <w:tcW w:w="10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6,211,828</w:t>
            </w:r>
          </w:p>
        </w:tc>
        <w:tc>
          <w:tcPr>
            <w:tcW w:w="280" w:type="dxa"/>
            <w:vAlign w:val="bottom"/>
            <w:shd w:val="clear" w:color="auto" w:fill="EDEDEE"/>
          </w:tcPr>
          <w:p>
            <w:pPr>
              <w:spacing w:after="0"/>
              <w:rPr>
                <w:sz w:val="15"/>
                <w:szCs w:val="15"/>
                <w:color w:val="auto"/>
              </w:rPr>
            </w:pPr>
          </w:p>
        </w:tc>
        <w:tc>
          <w:tcPr>
            <w:tcW w:w="9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22,432,125</w:t>
            </w:r>
          </w:p>
        </w:tc>
        <w:tc>
          <w:tcPr>
            <w:tcW w:w="0" w:type="dxa"/>
            <w:vAlign w:val="bottom"/>
          </w:tcPr>
          <w:p>
            <w:pPr>
              <w:spacing w:after="0"/>
              <w:rPr>
                <w:sz w:val="1"/>
                <w:szCs w:val="1"/>
                <w:color w:val="auto"/>
              </w:rPr>
            </w:pPr>
          </w:p>
        </w:tc>
      </w:tr>
      <w:tr>
        <w:trPr>
          <w:trHeight w:val="121"/>
        </w:trPr>
        <w:tc>
          <w:tcPr>
            <w:tcW w:w="2540" w:type="dxa"/>
            <w:vAlign w:val="bottom"/>
          </w:tcPr>
          <w:p>
            <w:pPr>
              <w:ind w:left="20"/>
              <w:spacing w:after="0" w:line="122" w:lineRule="exact"/>
              <w:rPr>
                <w:sz w:val="20"/>
                <w:szCs w:val="20"/>
                <w:color w:val="auto"/>
              </w:rPr>
            </w:pPr>
            <w:r>
              <w:rPr>
                <w:rFonts w:ascii="Arial" w:cs="Arial" w:eastAsia="Arial" w:hAnsi="Arial"/>
                <w:sz w:val="13"/>
                <w:szCs w:val="13"/>
                <w:color w:val="auto"/>
              </w:rPr>
              <w:t>Private Education Loans deferred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40" w:type="dxa"/>
            <w:vAlign w:val="bottom"/>
          </w:tcPr>
          <w:p>
            <w:pPr>
              <w:ind w:left="20"/>
              <w:spacing w:after="0" w:line="131" w:lineRule="exact"/>
              <w:rPr>
                <w:sz w:val="20"/>
                <w:szCs w:val="20"/>
                <w:color w:val="auto"/>
              </w:rPr>
            </w:pPr>
            <w:r>
              <w:rPr>
                <w:rFonts w:ascii="Arial" w:cs="Arial" w:eastAsia="Arial" w:hAnsi="Arial"/>
                <w:sz w:val="13"/>
                <w:szCs w:val="13"/>
                <w:color w:val="auto"/>
              </w:rPr>
              <w:t>origination costs and unamortized</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Borders>
              <w:bottom w:val="single" w:sz="8" w:color="EDEDEE"/>
            </w:tcBorders>
          </w:tcPr>
          <w:p>
            <w:pPr>
              <w:ind w:left="20"/>
              <w:spacing w:after="0"/>
              <w:rPr>
                <w:sz w:val="20"/>
                <w:szCs w:val="20"/>
                <w:color w:val="auto"/>
              </w:rPr>
            </w:pPr>
            <w:r>
              <w:rPr>
                <w:rFonts w:ascii="Arial" w:cs="Arial" w:eastAsia="Arial" w:hAnsi="Arial"/>
                <w:sz w:val="13"/>
                <w:szCs w:val="13"/>
                <w:color w:val="auto"/>
              </w:rPr>
              <w:t>premium/(discount)</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13,142</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42,843</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20,119</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9,329</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5,521</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11,840</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102,794</w:t>
            </w:r>
          </w:p>
        </w:tc>
        <w:tc>
          <w:tcPr>
            <w:tcW w:w="0" w:type="dxa"/>
            <w:vAlign w:val="bottom"/>
          </w:tcPr>
          <w:p>
            <w:pPr>
              <w:spacing w:after="0"/>
              <w:rPr>
                <w:sz w:val="1"/>
                <w:szCs w:val="1"/>
                <w:color w:val="auto"/>
              </w:rPr>
            </w:pPr>
          </w:p>
        </w:tc>
      </w:tr>
      <w:tr>
        <w:trPr>
          <w:trHeight w:val="176"/>
        </w:trPr>
        <w:tc>
          <w:tcPr>
            <w:tcW w:w="2540" w:type="dxa"/>
            <w:vAlign w:val="bottom"/>
            <w:shd w:val="clear" w:color="auto" w:fill="EDEDEE"/>
          </w:tcPr>
          <w:p>
            <w:pPr>
              <w:ind w:left="20"/>
              <w:spacing w:after="0"/>
              <w:rPr>
                <w:sz w:val="20"/>
                <w:szCs w:val="20"/>
                <w:color w:val="auto"/>
              </w:rPr>
            </w:pPr>
            <w:r>
              <w:rPr>
                <w:rFonts w:ascii="Arial" w:cs="Arial" w:eastAsia="Arial" w:hAnsi="Arial"/>
                <w:sz w:val="13"/>
                <w:szCs w:val="13"/>
                <w:color w:val="auto"/>
              </w:rPr>
              <w:t>Total Private Education Loans</w:t>
            </w:r>
          </w:p>
        </w:tc>
        <w:tc>
          <w:tcPr>
            <w:tcW w:w="240" w:type="dxa"/>
            <w:vAlign w:val="bottom"/>
            <w:shd w:val="clear" w:color="auto" w:fill="EDEDEE"/>
          </w:tcPr>
          <w:p>
            <w:pPr>
              <w:spacing w:after="0"/>
              <w:rPr>
                <w:sz w:val="15"/>
                <w:szCs w:val="15"/>
                <w:color w:val="auto"/>
              </w:rPr>
            </w:pPr>
          </w:p>
        </w:tc>
        <w:tc>
          <w:tcPr>
            <w:tcW w:w="8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955,520</w:t>
            </w:r>
          </w:p>
        </w:tc>
        <w:tc>
          <w:tcPr>
            <w:tcW w:w="200" w:type="dxa"/>
            <w:vAlign w:val="bottom"/>
            <w:shd w:val="clear" w:color="auto" w:fill="EDEDEE"/>
          </w:tcPr>
          <w:p>
            <w:pPr>
              <w:spacing w:after="0"/>
              <w:rPr>
                <w:sz w:val="15"/>
                <w:szCs w:val="15"/>
                <w:color w:val="auto"/>
              </w:rPr>
            </w:pPr>
          </w:p>
        </w:tc>
        <w:tc>
          <w:tcPr>
            <w:tcW w:w="98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6,504,209</w:t>
            </w:r>
          </w:p>
        </w:tc>
        <w:tc>
          <w:tcPr>
            <w:tcW w:w="260" w:type="dxa"/>
            <w:vAlign w:val="bottom"/>
            <w:shd w:val="clear" w:color="auto" w:fill="EDEDEE"/>
          </w:tcPr>
          <w:p>
            <w:pPr>
              <w:spacing w:after="0"/>
              <w:rPr>
                <w:sz w:val="15"/>
                <w:szCs w:val="15"/>
                <w:color w:val="auto"/>
              </w:rPr>
            </w:pPr>
          </w:p>
        </w:tc>
        <w:tc>
          <w:tcPr>
            <w:tcW w:w="92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4,161,269</w:t>
            </w:r>
          </w:p>
        </w:tc>
        <w:tc>
          <w:tcPr>
            <w:tcW w:w="26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2,793,974</w:t>
            </w:r>
          </w:p>
        </w:tc>
        <w:tc>
          <w:tcPr>
            <w:tcW w:w="28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1,896,279</w:t>
            </w:r>
          </w:p>
        </w:tc>
        <w:tc>
          <w:tcPr>
            <w:tcW w:w="160" w:type="dxa"/>
            <w:vAlign w:val="bottom"/>
            <w:shd w:val="clear" w:color="auto" w:fill="EDEDEE"/>
          </w:tcPr>
          <w:p>
            <w:pPr>
              <w:spacing w:after="0"/>
              <w:rPr>
                <w:sz w:val="15"/>
                <w:szCs w:val="15"/>
                <w:color w:val="auto"/>
              </w:rPr>
            </w:pPr>
          </w:p>
        </w:tc>
        <w:tc>
          <w:tcPr>
            <w:tcW w:w="10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6,223,668</w:t>
            </w:r>
          </w:p>
        </w:tc>
        <w:tc>
          <w:tcPr>
            <w:tcW w:w="280" w:type="dxa"/>
            <w:vAlign w:val="bottom"/>
            <w:shd w:val="clear" w:color="auto" w:fill="EDEDEE"/>
          </w:tcPr>
          <w:p>
            <w:pPr>
              <w:spacing w:after="0"/>
              <w:rPr>
                <w:sz w:val="15"/>
                <w:szCs w:val="15"/>
                <w:color w:val="auto"/>
              </w:rPr>
            </w:pPr>
          </w:p>
        </w:tc>
        <w:tc>
          <w:tcPr>
            <w:tcW w:w="94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22,534,919</w:t>
            </w:r>
          </w:p>
        </w:tc>
        <w:tc>
          <w:tcPr>
            <w:tcW w:w="0" w:type="dxa"/>
            <w:vAlign w:val="bottom"/>
          </w:tcPr>
          <w:p>
            <w:pPr>
              <w:spacing w:after="0"/>
              <w:rPr>
                <w:sz w:val="1"/>
                <w:szCs w:val="1"/>
                <w:color w:val="auto"/>
              </w:rPr>
            </w:pPr>
          </w:p>
        </w:tc>
      </w:tr>
      <w:tr>
        <w:trPr>
          <w:trHeight w:val="122"/>
        </w:trPr>
        <w:tc>
          <w:tcPr>
            <w:tcW w:w="2540" w:type="dxa"/>
            <w:vAlign w:val="bottom"/>
          </w:tcPr>
          <w:p>
            <w:pPr>
              <w:ind w:left="20"/>
              <w:spacing w:after="0" w:line="122" w:lineRule="exact"/>
              <w:rPr>
                <w:sz w:val="20"/>
                <w:szCs w:val="20"/>
                <w:color w:val="auto"/>
              </w:rPr>
            </w:pPr>
            <w:r>
              <w:rPr>
                <w:rFonts w:ascii="Arial" w:cs="Arial" w:eastAsia="Arial" w:hAnsi="Arial"/>
                <w:sz w:val="13"/>
                <w:szCs w:val="13"/>
                <w:color w:val="auto"/>
              </w:rPr>
              <w:t>Private Education Loans allowance for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EDEDEE"/>
            </w:tcBorders>
          </w:tcPr>
          <w:p>
            <w:pPr>
              <w:ind w:left="20"/>
              <w:spacing w:after="0"/>
              <w:rPr>
                <w:sz w:val="20"/>
                <w:szCs w:val="20"/>
                <w:color w:val="auto"/>
              </w:rPr>
            </w:pPr>
            <w:r>
              <w:rPr>
                <w:rFonts w:ascii="Arial" w:cs="Arial" w:eastAsia="Arial" w:hAnsi="Arial"/>
                <w:sz w:val="13"/>
                <w:szCs w:val="13"/>
                <w:color w:val="auto"/>
              </w:rPr>
              <w:t>losses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(36,944)</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(332,859)</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(283,874)</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(217,640)</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(141,990)</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(430,408)</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(1,443,715)</w:t>
            </w:r>
          </w:p>
        </w:tc>
        <w:tc>
          <w:tcPr>
            <w:tcW w:w="0" w:type="dxa"/>
            <w:vAlign w:val="bottom"/>
          </w:tcPr>
          <w:p>
            <w:pPr>
              <w:spacing w:after="0"/>
              <w:rPr>
                <w:sz w:val="1"/>
                <w:szCs w:val="1"/>
                <w:color w:val="auto"/>
              </w:rPr>
            </w:pPr>
          </w:p>
        </w:tc>
      </w:tr>
      <w:tr>
        <w:trPr>
          <w:trHeight w:val="200"/>
        </w:trPr>
        <w:tc>
          <w:tcPr>
            <w:tcW w:w="254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3"/>
                <w:szCs w:val="13"/>
                <w:b w:val="1"/>
                <w:bCs w:val="1"/>
                <w:color w:val="144F82"/>
              </w:rPr>
              <w:t>Private Education Loans, net</w:t>
            </w:r>
          </w:p>
        </w:tc>
        <w:tc>
          <w:tcPr>
            <w:tcW w:w="24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918,576</w:t>
            </w:r>
          </w:p>
        </w:tc>
        <w:tc>
          <w:tcPr>
            <w:tcW w:w="2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6,171,350</w:t>
            </w:r>
          </w:p>
        </w:tc>
        <w:tc>
          <w:tcPr>
            <w:tcW w:w="26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3,877,395</w:t>
            </w:r>
          </w:p>
        </w:tc>
        <w:tc>
          <w:tcPr>
            <w:tcW w:w="26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EDEDEE"/>
          </w:tcPr>
          <w:p>
            <w:pPr>
              <w:jc w:val="right"/>
              <w:ind w:right="157"/>
              <w:spacing w:after="0"/>
              <w:rPr>
                <w:sz w:val="20"/>
                <w:szCs w:val="20"/>
                <w:color w:val="auto"/>
              </w:rPr>
            </w:pPr>
            <w:r>
              <w:rPr>
                <w:rFonts w:ascii="Arial" w:cs="Arial" w:eastAsia="Arial" w:hAnsi="Arial"/>
                <w:sz w:val="13"/>
                <w:szCs w:val="13"/>
                <w:color w:val="auto"/>
              </w:rPr>
              <w:t>2,576,334</w:t>
            </w:r>
          </w:p>
        </w:tc>
        <w:tc>
          <w:tcPr>
            <w:tcW w:w="280" w:type="dxa"/>
            <w:vAlign w:val="bottom"/>
            <w:tcBorders>
              <w:bottom w:val="single" w:sz="8" w:color="auto"/>
            </w:tcBorders>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1,754,289</w:t>
            </w:r>
          </w:p>
        </w:tc>
        <w:tc>
          <w:tcPr>
            <w:tcW w:w="1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5,793,260</w:t>
            </w:r>
          </w:p>
        </w:tc>
        <w:tc>
          <w:tcPr>
            <w:tcW w:w="280" w:type="dxa"/>
            <w:vAlign w:val="bottom"/>
            <w:tcBorders>
              <w:bottom w:val="single" w:sz="8" w:color="auto"/>
            </w:tcBorders>
            <w:shd w:val="clear" w:color="auto" w:fill="EDEDEE"/>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EDEDEE"/>
          </w:tcPr>
          <w:p>
            <w:pPr>
              <w:jc w:val="right"/>
              <w:ind w:right="117"/>
              <w:spacing w:after="0"/>
              <w:rPr>
                <w:sz w:val="20"/>
                <w:szCs w:val="20"/>
                <w:color w:val="auto"/>
              </w:rPr>
            </w:pPr>
            <w:r>
              <w:rPr>
                <w:rFonts w:ascii="Arial" w:cs="Arial" w:eastAsia="Arial" w:hAnsi="Arial"/>
                <w:sz w:val="13"/>
                <w:szCs w:val="13"/>
                <w:color w:val="auto"/>
              </w:rPr>
              <w:t>21,091,204</w:t>
            </w:r>
          </w:p>
        </w:tc>
        <w:tc>
          <w:tcPr>
            <w:tcW w:w="0" w:type="dxa"/>
            <w:vAlign w:val="bottom"/>
          </w:tcPr>
          <w:p>
            <w:pPr>
              <w:spacing w:after="0"/>
              <w:rPr>
                <w:sz w:val="1"/>
                <w:szCs w:val="1"/>
                <w:color w:val="auto"/>
              </w:rPr>
            </w:pPr>
          </w:p>
        </w:tc>
      </w:tr>
      <w:tr>
        <w:trPr>
          <w:trHeight w:val="20"/>
        </w:trPr>
        <w:tc>
          <w:tcPr>
            <w:tcW w:w="2540" w:type="dxa"/>
            <w:vAlign w:val="bottom"/>
            <w:tcBorders>
              <w:top w:val="single" w:sz="8" w:color="EDEDEE"/>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840" w:type="dxa"/>
            <w:vAlign w:val="bottom"/>
            <w:tcBorders>
              <w:top w:val="single" w:sz="8" w:color="EDEDEE"/>
              <w:bottom w:val="single" w:sz="8" w:color="auto"/>
            </w:tcBorders>
          </w:tcPr>
          <w:p>
            <w:pPr>
              <w:spacing w:after="0" w:line="20" w:lineRule="exact"/>
              <w:rPr>
                <w:sz w:val="1"/>
                <w:szCs w:val="1"/>
                <w:color w:val="auto"/>
              </w:rPr>
            </w:pPr>
          </w:p>
        </w:tc>
        <w:tc>
          <w:tcPr>
            <w:tcW w:w="200" w:type="dxa"/>
            <w:vAlign w:val="bottom"/>
            <w:tcBorders>
              <w:top w:val="single" w:sz="8" w:color="EDEDEE"/>
              <w:bottom w:val="single" w:sz="8" w:color="auto"/>
            </w:tcBorders>
          </w:tcPr>
          <w:p>
            <w:pPr>
              <w:spacing w:after="0" w:line="20" w:lineRule="exact"/>
              <w:rPr>
                <w:sz w:val="1"/>
                <w:szCs w:val="1"/>
                <w:color w:val="auto"/>
              </w:rPr>
            </w:pPr>
          </w:p>
        </w:tc>
        <w:tc>
          <w:tcPr>
            <w:tcW w:w="98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160" w:type="dxa"/>
            <w:vAlign w:val="bottom"/>
            <w:tcBorders>
              <w:top w:val="single" w:sz="8" w:color="EDEDEE"/>
              <w:bottom w:val="single" w:sz="8" w:color="auto"/>
            </w:tcBorders>
          </w:tcPr>
          <w:p>
            <w:pPr>
              <w:spacing w:after="0" w:line="20" w:lineRule="exact"/>
              <w:rPr>
                <w:sz w:val="1"/>
                <w:szCs w:val="1"/>
                <w:color w:val="auto"/>
              </w:rPr>
            </w:pPr>
          </w:p>
        </w:tc>
        <w:tc>
          <w:tcPr>
            <w:tcW w:w="104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EDEDEE"/>
          </w:tcPr>
          <w:p>
            <w:pPr>
              <w:ind w:left="20"/>
              <w:spacing w:after="0" w:line="122" w:lineRule="exact"/>
              <w:rPr>
                <w:sz w:val="20"/>
                <w:szCs w:val="20"/>
                <w:color w:val="auto"/>
              </w:rPr>
            </w:pPr>
            <w:r>
              <w:rPr>
                <w:rFonts w:ascii="Arial" w:cs="Arial" w:eastAsia="Arial" w:hAnsi="Arial"/>
                <w:sz w:val="13"/>
                <w:szCs w:val="13"/>
                <w:color w:val="auto"/>
              </w:rPr>
              <w:t>Percentage of Private Education Loans in</w:t>
            </w:r>
          </w:p>
        </w:tc>
        <w:tc>
          <w:tcPr>
            <w:tcW w:w="240" w:type="dxa"/>
            <w:vAlign w:val="bottom"/>
            <w:shd w:val="clear" w:color="auto" w:fill="EDEDEE"/>
          </w:tcPr>
          <w:p>
            <w:pPr>
              <w:spacing w:after="0"/>
              <w:rPr>
                <w:sz w:val="10"/>
                <w:szCs w:val="10"/>
                <w:color w:val="auto"/>
              </w:rPr>
            </w:pPr>
          </w:p>
        </w:tc>
        <w:tc>
          <w:tcPr>
            <w:tcW w:w="840" w:type="dxa"/>
            <w:vAlign w:val="bottom"/>
            <w:shd w:val="clear" w:color="auto" w:fill="EDEDEE"/>
          </w:tcPr>
          <w:p>
            <w:pPr>
              <w:spacing w:after="0"/>
              <w:rPr>
                <w:sz w:val="10"/>
                <w:szCs w:val="10"/>
                <w:color w:val="auto"/>
              </w:rPr>
            </w:pPr>
          </w:p>
        </w:tc>
        <w:tc>
          <w:tcPr>
            <w:tcW w:w="200" w:type="dxa"/>
            <w:vAlign w:val="bottom"/>
            <w:shd w:val="clear" w:color="auto" w:fill="EDEDEE"/>
          </w:tcPr>
          <w:p>
            <w:pPr>
              <w:spacing w:after="0"/>
              <w:rPr>
                <w:sz w:val="10"/>
                <w:szCs w:val="10"/>
                <w:color w:val="auto"/>
              </w:rPr>
            </w:pPr>
          </w:p>
        </w:tc>
        <w:tc>
          <w:tcPr>
            <w:tcW w:w="980" w:type="dxa"/>
            <w:vAlign w:val="bottom"/>
            <w:shd w:val="clear" w:color="auto" w:fill="EDEDEE"/>
          </w:tcPr>
          <w:p>
            <w:pPr>
              <w:spacing w:after="0"/>
              <w:rPr>
                <w:sz w:val="10"/>
                <w:szCs w:val="10"/>
                <w:color w:val="auto"/>
              </w:rPr>
            </w:pPr>
          </w:p>
        </w:tc>
        <w:tc>
          <w:tcPr>
            <w:tcW w:w="260" w:type="dxa"/>
            <w:vAlign w:val="bottom"/>
            <w:shd w:val="clear" w:color="auto" w:fill="EDEDEE"/>
          </w:tcPr>
          <w:p>
            <w:pPr>
              <w:spacing w:after="0"/>
              <w:rPr>
                <w:sz w:val="10"/>
                <w:szCs w:val="10"/>
                <w:color w:val="auto"/>
              </w:rPr>
            </w:pPr>
          </w:p>
        </w:tc>
        <w:tc>
          <w:tcPr>
            <w:tcW w:w="920" w:type="dxa"/>
            <w:vAlign w:val="bottom"/>
            <w:shd w:val="clear" w:color="auto" w:fill="EDEDEE"/>
          </w:tcPr>
          <w:p>
            <w:pPr>
              <w:spacing w:after="0"/>
              <w:rPr>
                <w:sz w:val="10"/>
                <w:szCs w:val="10"/>
                <w:color w:val="auto"/>
              </w:rPr>
            </w:pPr>
          </w:p>
        </w:tc>
        <w:tc>
          <w:tcPr>
            <w:tcW w:w="260" w:type="dxa"/>
            <w:vAlign w:val="bottom"/>
            <w:shd w:val="clear" w:color="auto" w:fill="EDEDEE"/>
          </w:tcPr>
          <w:p>
            <w:pPr>
              <w:spacing w:after="0"/>
              <w:rPr>
                <w:sz w:val="10"/>
                <w:szCs w:val="10"/>
                <w:color w:val="auto"/>
              </w:rPr>
            </w:pPr>
          </w:p>
        </w:tc>
        <w:tc>
          <w:tcPr>
            <w:tcW w:w="900" w:type="dxa"/>
            <w:vAlign w:val="bottom"/>
            <w:shd w:val="clear" w:color="auto" w:fill="EDEDEE"/>
          </w:tcPr>
          <w:p>
            <w:pPr>
              <w:spacing w:after="0"/>
              <w:rPr>
                <w:sz w:val="10"/>
                <w:szCs w:val="10"/>
                <w:color w:val="auto"/>
              </w:rPr>
            </w:pPr>
          </w:p>
        </w:tc>
        <w:tc>
          <w:tcPr>
            <w:tcW w:w="280" w:type="dxa"/>
            <w:vAlign w:val="bottom"/>
            <w:shd w:val="clear" w:color="auto" w:fill="EDEDEE"/>
          </w:tcPr>
          <w:p>
            <w:pPr>
              <w:spacing w:after="0"/>
              <w:rPr>
                <w:sz w:val="10"/>
                <w:szCs w:val="10"/>
                <w:color w:val="auto"/>
              </w:rPr>
            </w:pPr>
          </w:p>
        </w:tc>
        <w:tc>
          <w:tcPr>
            <w:tcW w:w="900" w:type="dxa"/>
            <w:vAlign w:val="bottom"/>
            <w:shd w:val="clear" w:color="auto" w:fill="EDEDEE"/>
          </w:tcPr>
          <w:p>
            <w:pPr>
              <w:spacing w:after="0"/>
              <w:rPr>
                <w:sz w:val="10"/>
                <w:szCs w:val="10"/>
                <w:color w:val="auto"/>
              </w:rPr>
            </w:pPr>
          </w:p>
        </w:tc>
        <w:tc>
          <w:tcPr>
            <w:tcW w:w="160" w:type="dxa"/>
            <w:vAlign w:val="bottom"/>
            <w:shd w:val="clear" w:color="auto" w:fill="EDEDEE"/>
          </w:tcPr>
          <w:p>
            <w:pPr>
              <w:spacing w:after="0"/>
              <w:rPr>
                <w:sz w:val="10"/>
                <w:szCs w:val="10"/>
                <w:color w:val="auto"/>
              </w:rPr>
            </w:pPr>
          </w:p>
        </w:tc>
        <w:tc>
          <w:tcPr>
            <w:tcW w:w="1040" w:type="dxa"/>
            <w:vAlign w:val="bottom"/>
            <w:shd w:val="clear" w:color="auto" w:fill="EDEDEE"/>
          </w:tcPr>
          <w:p>
            <w:pPr>
              <w:spacing w:after="0"/>
              <w:rPr>
                <w:sz w:val="10"/>
                <w:szCs w:val="10"/>
                <w:color w:val="auto"/>
              </w:rPr>
            </w:pPr>
          </w:p>
        </w:tc>
        <w:tc>
          <w:tcPr>
            <w:tcW w:w="280" w:type="dxa"/>
            <w:vAlign w:val="bottom"/>
            <w:shd w:val="clear" w:color="auto" w:fill="EDEDEE"/>
          </w:tcPr>
          <w:p>
            <w:pPr>
              <w:spacing w:after="0"/>
              <w:rPr>
                <w:sz w:val="10"/>
                <w:szCs w:val="10"/>
                <w:color w:val="auto"/>
              </w:rPr>
            </w:pPr>
          </w:p>
        </w:tc>
        <w:tc>
          <w:tcPr>
            <w:tcW w:w="940" w:type="dxa"/>
            <w:vAlign w:val="bottom"/>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EDEDEE"/>
          </w:tcPr>
          <w:p>
            <w:pPr>
              <w:ind w:left="20"/>
              <w:spacing w:after="0"/>
              <w:rPr>
                <w:sz w:val="20"/>
                <w:szCs w:val="20"/>
                <w:color w:val="auto"/>
              </w:rPr>
            </w:pPr>
            <w:r>
              <w:rPr>
                <w:rFonts w:ascii="Arial" w:cs="Arial" w:eastAsia="Arial" w:hAnsi="Arial"/>
                <w:sz w:val="13"/>
                <w:szCs w:val="13"/>
                <w:color w:val="auto"/>
              </w:rPr>
              <w:t>repayment</w:t>
            </w:r>
          </w:p>
        </w:tc>
        <w:tc>
          <w:tcPr>
            <w:tcW w:w="240" w:type="dxa"/>
            <w:vAlign w:val="bottom"/>
            <w:shd w:val="clear" w:color="auto" w:fill="EDEDEE"/>
          </w:tcPr>
          <w:p>
            <w:pPr>
              <w:spacing w:after="0"/>
              <w:rPr>
                <w:sz w:val="16"/>
                <w:szCs w:val="16"/>
                <w:color w:val="auto"/>
              </w:rPr>
            </w:pPr>
          </w:p>
        </w:tc>
        <w:tc>
          <w:tcPr>
            <w:tcW w:w="8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53.6 %</w:t>
            </w:r>
          </w:p>
        </w:tc>
        <w:tc>
          <w:tcPr>
            <w:tcW w:w="200" w:type="dxa"/>
            <w:vAlign w:val="bottom"/>
            <w:shd w:val="clear" w:color="auto" w:fill="EDEDEE"/>
          </w:tcPr>
          <w:p>
            <w:pPr>
              <w:spacing w:after="0"/>
              <w:rPr>
                <w:sz w:val="16"/>
                <w:szCs w:val="16"/>
                <w:color w:val="auto"/>
              </w:rPr>
            </w:pPr>
          </w:p>
        </w:tc>
        <w:tc>
          <w:tcPr>
            <w:tcW w:w="98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57.2 %</w:t>
            </w:r>
          </w:p>
        </w:tc>
        <w:tc>
          <w:tcPr>
            <w:tcW w:w="260" w:type="dxa"/>
            <w:vAlign w:val="bottom"/>
            <w:shd w:val="clear" w:color="auto" w:fill="EDEDEE"/>
          </w:tcPr>
          <w:p>
            <w:pPr>
              <w:spacing w:after="0"/>
              <w:rPr>
                <w:sz w:val="16"/>
                <w:szCs w:val="16"/>
                <w:color w:val="auto"/>
              </w:rPr>
            </w:pPr>
          </w:p>
        </w:tc>
        <w:tc>
          <w:tcPr>
            <w:tcW w:w="92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64.2 %</w:t>
            </w:r>
          </w:p>
        </w:tc>
        <w:tc>
          <w:tcPr>
            <w:tcW w:w="260" w:type="dxa"/>
            <w:vAlign w:val="bottom"/>
            <w:shd w:val="clear" w:color="auto" w:fill="EDEDEE"/>
          </w:tcPr>
          <w:p>
            <w:pPr>
              <w:spacing w:after="0"/>
              <w:rPr>
                <w:sz w:val="16"/>
                <w:szCs w:val="16"/>
                <w:color w:val="auto"/>
              </w:rPr>
            </w:pPr>
          </w:p>
        </w:tc>
        <w:tc>
          <w:tcPr>
            <w:tcW w:w="90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73.7 %</w:t>
            </w:r>
          </w:p>
        </w:tc>
        <w:tc>
          <w:tcPr>
            <w:tcW w:w="280" w:type="dxa"/>
            <w:vAlign w:val="bottom"/>
            <w:shd w:val="clear" w:color="auto" w:fill="EDEDEE"/>
          </w:tcPr>
          <w:p>
            <w:pPr>
              <w:spacing w:after="0"/>
              <w:rPr>
                <w:sz w:val="16"/>
                <w:szCs w:val="16"/>
                <w:color w:val="auto"/>
              </w:rPr>
            </w:pPr>
          </w:p>
        </w:tc>
        <w:tc>
          <w:tcPr>
            <w:tcW w:w="90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79.7 %</w:t>
            </w:r>
          </w:p>
        </w:tc>
        <w:tc>
          <w:tcPr>
            <w:tcW w:w="160" w:type="dxa"/>
            <w:vAlign w:val="bottom"/>
            <w:shd w:val="clear" w:color="auto" w:fill="EDEDEE"/>
          </w:tcPr>
          <w:p>
            <w:pPr>
              <w:spacing w:after="0"/>
              <w:rPr>
                <w:sz w:val="16"/>
                <w:szCs w:val="16"/>
                <w:color w:val="auto"/>
              </w:rPr>
            </w:pPr>
          </w:p>
        </w:tc>
        <w:tc>
          <w:tcPr>
            <w:tcW w:w="104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88.3 %</w:t>
            </w:r>
          </w:p>
        </w:tc>
        <w:tc>
          <w:tcPr>
            <w:tcW w:w="280" w:type="dxa"/>
            <w:vAlign w:val="bottom"/>
            <w:shd w:val="clear" w:color="auto" w:fill="EDEDEE"/>
          </w:tcPr>
          <w:p>
            <w:pPr>
              <w:spacing w:after="0"/>
              <w:rPr>
                <w:sz w:val="16"/>
                <w:szCs w:val="16"/>
                <w:color w:val="auto"/>
              </w:rPr>
            </w:pPr>
          </w:p>
        </w:tc>
        <w:tc>
          <w:tcPr>
            <w:tcW w:w="9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70.9 %</w:t>
            </w:r>
          </w:p>
        </w:tc>
        <w:tc>
          <w:tcPr>
            <w:tcW w:w="0" w:type="dxa"/>
            <w:vAlign w:val="bottom"/>
          </w:tcPr>
          <w:p>
            <w:pPr>
              <w:spacing w:after="0"/>
              <w:rPr>
                <w:sz w:val="1"/>
                <w:szCs w:val="1"/>
                <w:color w:val="auto"/>
              </w:rPr>
            </w:pPr>
          </w:p>
        </w:tc>
      </w:tr>
      <w:tr>
        <w:trPr>
          <w:trHeight w:val="122"/>
        </w:trPr>
        <w:tc>
          <w:tcPr>
            <w:tcW w:w="2540" w:type="dxa"/>
            <w:vAlign w:val="bottom"/>
          </w:tcPr>
          <w:p>
            <w:pPr>
              <w:ind w:left="20"/>
              <w:spacing w:after="0" w:line="122" w:lineRule="exact"/>
              <w:rPr>
                <w:sz w:val="20"/>
                <w:szCs w:val="20"/>
                <w:color w:val="auto"/>
              </w:rPr>
            </w:pPr>
            <w:r>
              <w:rPr>
                <w:rFonts w:ascii="Arial" w:cs="Arial" w:eastAsia="Arial" w:hAnsi="Arial"/>
                <w:sz w:val="13"/>
                <w:szCs w:val="13"/>
                <w:color w:val="auto"/>
              </w:rPr>
              <w:t>Delinquent Private Education Loans in</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40" w:type="dxa"/>
            <w:vAlign w:val="bottom"/>
          </w:tcPr>
          <w:p>
            <w:pPr>
              <w:ind w:left="20"/>
              <w:spacing w:after="0" w:line="131" w:lineRule="exact"/>
              <w:rPr>
                <w:sz w:val="20"/>
                <w:szCs w:val="20"/>
                <w:color w:val="auto"/>
              </w:rPr>
            </w:pPr>
            <w:r>
              <w:rPr>
                <w:rFonts w:ascii="Arial" w:cs="Arial" w:eastAsia="Arial" w:hAnsi="Arial"/>
                <w:sz w:val="13"/>
                <w:szCs w:val="13"/>
                <w:color w:val="auto"/>
              </w:rPr>
              <w:t>repayment as a percentage of Private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20"/>
              <w:spacing w:after="0"/>
              <w:rPr>
                <w:sz w:val="20"/>
                <w:szCs w:val="20"/>
                <w:color w:val="auto"/>
              </w:rPr>
            </w:pPr>
            <w:r>
              <w:rPr>
                <w:rFonts w:ascii="Arial" w:cs="Arial" w:eastAsia="Arial" w:hAnsi="Arial"/>
                <w:sz w:val="13"/>
                <w:szCs w:val="13"/>
                <w:color w:val="auto"/>
              </w:rPr>
              <w:t>Education Loans in repayment</w:t>
            </w:r>
          </w:p>
        </w:tc>
        <w:tc>
          <w:tcPr>
            <w:tcW w:w="240" w:type="dxa"/>
            <w:vAlign w:val="bottom"/>
          </w:tcPr>
          <w:p>
            <w:pPr>
              <w:spacing w:after="0"/>
              <w:rPr>
                <w:sz w:val="15"/>
                <w:szCs w:val="15"/>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0.2 %</w:t>
            </w:r>
          </w:p>
        </w:tc>
        <w:tc>
          <w:tcPr>
            <w:tcW w:w="200" w:type="dxa"/>
            <w:vAlign w:val="bottom"/>
          </w:tcPr>
          <w:p>
            <w:pPr>
              <w:spacing w:after="0"/>
              <w:rPr>
                <w:sz w:val="15"/>
                <w:szCs w:val="15"/>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0.6 %</w:t>
            </w:r>
          </w:p>
        </w:tc>
        <w:tc>
          <w:tcPr>
            <w:tcW w:w="26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3.0 %</w:t>
            </w:r>
          </w:p>
        </w:tc>
        <w:tc>
          <w:tcPr>
            <w:tcW w:w="26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4.2 %</w:t>
            </w:r>
          </w:p>
        </w:tc>
        <w:tc>
          <w:tcPr>
            <w:tcW w:w="28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4.5 %</w:t>
            </w:r>
          </w:p>
        </w:tc>
        <w:tc>
          <w:tcPr>
            <w:tcW w:w="160" w:type="dxa"/>
            <w:vAlign w:val="bottom"/>
          </w:tcPr>
          <w:p>
            <w:pPr>
              <w:spacing w:after="0"/>
              <w:rPr>
                <w:sz w:val="15"/>
                <w:szCs w:val="15"/>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5.7 %</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3.6 %</w:t>
            </w:r>
          </w:p>
        </w:tc>
        <w:tc>
          <w:tcPr>
            <w:tcW w:w="0" w:type="dxa"/>
            <w:vAlign w:val="bottom"/>
          </w:tcPr>
          <w:p>
            <w:pPr>
              <w:spacing w:after="0"/>
              <w:rPr>
                <w:sz w:val="1"/>
                <w:szCs w:val="1"/>
                <w:color w:val="auto"/>
              </w:rPr>
            </w:pPr>
          </w:p>
        </w:tc>
      </w:tr>
      <w:tr>
        <w:trPr>
          <w:trHeight w:val="129"/>
        </w:trPr>
        <w:tc>
          <w:tcPr>
            <w:tcW w:w="2540" w:type="dxa"/>
            <w:vAlign w:val="bottom"/>
            <w:shd w:val="clear" w:color="auto" w:fill="EDEDEE"/>
          </w:tcPr>
          <w:p>
            <w:pPr>
              <w:ind w:left="20"/>
              <w:spacing w:after="0" w:line="129" w:lineRule="exact"/>
              <w:rPr>
                <w:sz w:val="20"/>
                <w:szCs w:val="20"/>
                <w:color w:val="auto"/>
              </w:rPr>
            </w:pPr>
            <w:r>
              <w:rPr>
                <w:rFonts w:ascii="Arial" w:cs="Arial" w:eastAsia="Arial" w:hAnsi="Arial"/>
                <w:sz w:val="13"/>
                <w:szCs w:val="13"/>
                <w:color w:val="auto"/>
              </w:rPr>
              <w:t>Loans in forbearance as a percentage of</w:t>
            </w:r>
          </w:p>
        </w:tc>
        <w:tc>
          <w:tcPr>
            <w:tcW w:w="240" w:type="dxa"/>
            <w:vAlign w:val="bottom"/>
            <w:shd w:val="clear" w:color="auto" w:fill="EDEDEE"/>
          </w:tcPr>
          <w:p>
            <w:pPr>
              <w:spacing w:after="0"/>
              <w:rPr>
                <w:sz w:val="11"/>
                <w:szCs w:val="11"/>
                <w:color w:val="auto"/>
              </w:rPr>
            </w:pPr>
          </w:p>
        </w:tc>
        <w:tc>
          <w:tcPr>
            <w:tcW w:w="840" w:type="dxa"/>
            <w:vAlign w:val="bottom"/>
            <w:shd w:val="clear" w:color="auto" w:fill="EDEDEE"/>
          </w:tcPr>
          <w:p>
            <w:pPr>
              <w:spacing w:after="0"/>
              <w:rPr>
                <w:sz w:val="11"/>
                <w:szCs w:val="11"/>
                <w:color w:val="auto"/>
              </w:rPr>
            </w:pPr>
          </w:p>
        </w:tc>
        <w:tc>
          <w:tcPr>
            <w:tcW w:w="200" w:type="dxa"/>
            <w:vAlign w:val="bottom"/>
            <w:shd w:val="clear" w:color="auto" w:fill="EDEDEE"/>
          </w:tcPr>
          <w:p>
            <w:pPr>
              <w:spacing w:after="0"/>
              <w:rPr>
                <w:sz w:val="11"/>
                <w:szCs w:val="11"/>
                <w:color w:val="auto"/>
              </w:rPr>
            </w:pPr>
          </w:p>
        </w:tc>
        <w:tc>
          <w:tcPr>
            <w:tcW w:w="98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920" w:type="dxa"/>
            <w:vAlign w:val="bottom"/>
            <w:shd w:val="clear" w:color="auto" w:fill="EDEDEE"/>
          </w:tcPr>
          <w:p>
            <w:pPr>
              <w:spacing w:after="0"/>
              <w:rPr>
                <w:sz w:val="11"/>
                <w:szCs w:val="11"/>
                <w:color w:val="auto"/>
              </w:rPr>
            </w:pPr>
          </w:p>
        </w:tc>
        <w:tc>
          <w:tcPr>
            <w:tcW w:w="260" w:type="dxa"/>
            <w:vAlign w:val="bottom"/>
            <w:shd w:val="clear" w:color="auto" w:fill="EDEDEE"/>
          </w:tcPr>
          <w:p>
            <w:pPr>
              <w:spacing w:after="0"/>
              <w:rPr>
                <w:sz w:val="11"/>
                <w:szCs w:val="11"/>
                <w:color w:val="auto"/>
              </w:rPr>
            </w:pPr>
          </w:p>
        </w:tc>
        <w:tc>
          <w:tcPr>
            <w:tcW w:w="900" w:type="dxa"/>
            <w:vAlign w:val="bottom"/>
            <w:shd w:val="clear" w:color="auto" w:fill="EDEDEE"/>
          </w:tcPr>
          <w:p>
            <w:pPr>
              <w:spacing w:after="0"/>
              <w:rPr>
                <w:sz w:val="11"/>
                <w:szCs w:val="11"/>
                <w:color w:val="auto"/>
              </w:rPr>
            </w:pPr>
          </w:p>
        </w:tc>
        <w:tc>
          <w:tcPr>
            <w:tcW w:w="280" w:type="dxa"/>
            <w:vAlign w:val="bottom"/>
            <w:shd w:val="clear" w:color="auto" w:fill="EDEDEE"/>
          </w:tcPr>
          <w:p>
            <w:pPr>
              <w:spacing w:after="0"/>
              <w:rPr>
                <w:sz w:val="11"/>
                <w:szCs w:val="11"/>
                <w:color w:val="auto"/>
              </w:rPr>
            </w:pPr>
          </w:p>
        </w:tc>
        <w:tc>
          <w:tcPr>
            <w:tcW w:w="900" w:type="dxa"/>
            <w:vAlign w:val="bottom"/>
            <w:shd w:val="clear" w:color="auto" w:fill="EDEDEE"/>
          </w:tcPr>
          <w:p>
            <w:pPr>
              <w:spacing w:after="0"/>
              <w:rPr>
                <w:sz w:val="11"/>
                <w:szCs w:val="11"/>
                <w:color w:val="auto"/>
              </w:rPr>
            </w:pPr>
          </w:p>
        </w:tc>
        <w:tc>
          <w:tcPr>
            <w:tcW w:w="160" w:type="dxa"/>
            <w:vAlign w:val="bottom"/>
            <w:shd w:val="clear" w:color="auto" w:fill="EDEDEE"/>
          </w:tcPr>
          <w:p>
            <w:pPr>
              <w:spacing w:after="0"/>
              <w:rPr>
                <w:sz w:val="11"/>
                <w:szCs w:val="11"/>
                <w:color w:val="auto"/>
              </w:rPr>
            </w:pPr>
          </w:p>
        </w:tc>
        <w:tc>
          <w:tcPr>
            <w:tcW w:w="1040" w:type="dxa"/>
            <w:vAlign w:val="bottom"/>
            <w:shd w:val="clear" w:color="auto" w:fill="EDEDEE"/>
          </w:tcPr>
          <w:p>
            <w:pPr>
              <w:spacing w:after="0"/>
              <w:rPr>
                <w:sz w:val="11"/>
                <w:szCs w:val="11"/>
                <w:color w:val="auto"/>
              </w:rPr>
            </w:pPr>
          </w:p>
        </w:tc>
        <w:tc>
          <w:tcPr>
            <w:tcW w:w="280" w:type="dxa"/>
            <w:vAlign w:val="bottom"/>
            <w:shd w:val="clear" w:color="auto" w:fill="EDEDEE"/>
          </w:tcPr>
          <w:p>
            <w:pPr>
              <w:spacing w:after="0"/>
              <w:rPr>
                <w:sz w:val="11"/>
                <w:szCs w:val="11"/>
                <w:color w:val="auto"/>
              </w:rPr>
            </w:pPr>
          </w:p>
        </w:tc>
        <w:tc>
          <w:tcPr>
            <w:tcW w:w="94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EDEDEE"/>
          </w:tcPr>
          <w:p>
            <w:pPr>
              <w:ind w:left="20"/>
              <w:spacing w:after="0"/>
              <w:rPr>
                <w:sz w:val="20"/>
                <w:szCs w:val="20"/>
                <w:color w:val="auto"/>
              </w:rPr>
            </w:pPr>
            <w:r>
              <w:rPr>
                <w:rFonts w:ascii="Arial" w:cs="Arial" w:eastAsia="Arial" w:hAnsi="Arial"/>
                <w:sz w:val="13"/>
                <w:szCs w:val="13"/>
                <w:color w:val="auto"/>
              </w:rPr>
              <w:t>loans in repayment and forbearance</w:t>
            </w:r>
          </w:p>
        </w:tc>
        <w:tc>
          <w:tcPr>
            <w:tcW w:w="240" w:type="dxa"/>
            <w:vAlign w:val="bottom"/>
            <w:shd w:val="clear" w:color="auto" w:fill="EDEDEE"/>
          </w:tcPr>
          <w:p>
            <w:pPr>
              <w:spacing w:after="0"/>
              <w:rPr>
                <w:sz w:val="16"/>
                <w:szCs w:val="16"/>
                <w:color w:val="auto"/>
              </w:rPr>
            </w:pPr>
          </w:p>
        </w:tc>
        <w:tc>
          <w:tcPr>
            <w:tcW w:w="8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0.2 %</w:t>
            </w:r>
          </w:p>
        </w:tc>
        <w:tc>
          <w:tcPr>
            <w:tcW w:w="200" w:type="dxa"/>
            <w:vAlign w:val="bottom"/>
            <w:shd w:val="clear" w:color="auto" w:fill="EDEDEE"/>
          </w:tcPr>
          <w:p>
            <w:pPr>
              <w:spacing w:after="0"/>
              <w:rPr>
                <w:sz w:val="16"/>
                <w:szCs w:val="16"/>
                <w:color w:val="auto"/>
              </w:rPr>
            </w:pPr>
          </w:p>
        </w:tc>
        <w:tc>
          <w:tcPr>
            <w:tcW w:w="98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1.0 %</w:t>
            </w:r>
          </w:p>
        </w:tc>
        <w:tc>
          <w:tcPr>
            <w:tcW w:w="260" w:type="dxa"/>
            <w:vAlign w:val="bottom"/>
            <w:shd w:val="clear" w:color="auto" w:fill="EDEDEE"/>
          </w:tcPr>
          <w:p>
            <w:pPr>
              <w:spacing w:after="0"/>
              <w:rPr>
                <w:sz w:val="16"/>
                <w:szCs w:val="16"/>
                <w:color w:val="auto"/>
              </w:rPr>
            </w:pPr>
          </w:p>
        </w:tc>
        <w:tc>
          <w:tcPr>
            <w:tcW w:w="92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5.0 %</w:t>
            </w:r>
          </w:p>
        </w:tc>
        <w:tc>
          <w:tcPr>
            <w:tcW w:w="260" w:type="dxa"/>
            <w:vAlign w:val="bottom"/>
            <w:shd w:val="clear" w:color="auto" w:fill="EDEDEE"/>
          </w:tcPr>
          <w:p>
            <w:pPr>
              <w:spacing w:after="0"/>
              <w:rPr>
                <w:sz w:val="16"/>
                <w:szCs w:val="16"/>
                <w:color w:val="auto"/>
              </w:rPr>
            </w:pPr>
          </w:p>
        </w:tc>
        <w:tc>
          <w:tcPr>
            <w:tcW w:w="90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4.5 %</w:t>
            </w:r>
          </w:p>
        </w:tc>
        <w:tc>
          <w:tcPr>
            <w:tcW w:w="280" w:type="dxa"/>
            <w:vAlign w:val="bottom"/>
            <w:shd w:val="clear" w:color="auto" w:fill="EDEDEE"/>
          </w:tcPr>
          <w:p>
            <w:pPr>
              <w:spacing w:after="0"/>
              <w:rPr>
                <w:sz w:val="16"/>
                <w:szCs w:val="16"/>
                <w:color w:val="auto"/>
              </w:rPr>
            </w:pPr>
          </w:p>
        </w:tc>
        <w:tc>
          <w:tcPr>
            <w:tcW w:w="90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4.0 %</w:t>
            </w:r>
          </w:p>
        </w:tc>
        <w:tc>
          <w:tcPr>
            <w:tcW w:w="160" w:type="dxa"/>
            <w:vAlign w:val="bottom"/>
            <w:shd w:val="clear" w:color="auto" w:fill="EDEDEE"/>
          </w:tcPr>
          <w:p>
            <w:pPr>
              <w:spacing w:after="0"/>
              <w:rPr>
                <w:sz w:val="16"/>
                <w:szCs w:val="16"/>
                <w:color w:val="auto"/>
              </w:rPr>
            </w:pPr>
          </w:p>
        </w:tc>
        <w:tc>
          <w:tcPr>
            <w:tcW w:w="1040" w:type="dxa"/>
            <w:vAlign w:val="bottom"/>
            <w:shd w:val="clear" w:color="auto" w:fill="EDEDEE"/>
          </w:tcPr>
          <w:p>
            <w:pPr>
              <w:jc w:val="right"/>
              <w:ind w:right="37"/>
              <w:spacing w:after="0"/>
              <w:rPr>
                <w:sz w:val="20"/>
                <w:szCs w:val="20"/>
                <w:color w:val="auto"/>
              </w:rPr>
            </w:pPr>
            <w:r>
              <w:rPr>
                <w:rFonts w:ascii="Arial" w:cs="Arial" w:eastAsia="Arial" w:hAnsi="Arial"/>
                <w:sz w:val="13"/>
                <w:szCs w:val="13"/>
                <w:color w:val="auto"/>
              </w:rPr>
              <w:t>2.3 %</w:t>
            </w:r>
          </w:p>
        </w:tc>
        <w:tc>
          <w:tcPr>
            <w:tcW w:w="280" w:type="dxa"/>
            <w:vAlign w:val="bottom"/>
            <w:shd w:val="clear" w:color="auto" w:fill="EDEDEE"/>
          </w:tcPr>
          <w:p>
            <w:pPr>
              <w:spacing w:after="0"/>
              <w:rPr>
                <w:sz w:val="16"/>
                <w:szCs w:val="16"/>
                <w:color w:val="auto"/>
              </w:rPr>
            </w:pPr>
          </w:p>
        </w:tc>
        <w:tc>
          <w:tcPr>
            <w:tcW w:w="9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020" w:right="900" w:hanging="324"/>
        <w:spacing w:after="0" w:line="226" w:lineRule="auto"/>
        <w:tabs>
          <w:tab w:leader="none" w:pos="1012"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Deferment includes customers who have returned to school or are engaged in other permitted educational activities and are not yet required to make payments on the loans (e.g., residency periods for medical students or a grace period for bar exam preparation).</w:t>
      </w:r>
    </w:p>
    <w:p>
      <w:pPr>
        <w:spacing w:after="0" w:line="144" w:lineRule="exact"/>
        <w:rPr>
          <w:rFonts w:ascii="Arial" w:cs="Arial" w:eastAsia="Arial" w:hAnsi="Arial"/>
          <w:sz w:val="16"/>
          <w:szCs w:val="16"/>
          <w:color w:val="auto"/>
          <w:vertAlign w:val="superscript"/>
        </w:rPr>
      </w:pPr>
    </w:p>
    <w:p>
      <w:pPr>
        <w:ind w:left="1020" w:right="900" w:hanging="324"/>
        <w:spacing w:after="0" w:line="246" w:lineRule="auto"/>
        <w:tabs>
          <w:tab w:leader="none" w:pos="1012" w:val="left"/>
        </w:tabs>
        <w:numPr>
          <w:ilvl w:val="0"/>
          <w:numId w:val="27"/>
        </w:numPr>
        <w:rPr>
          <w:rFonts w:ascii="Arial" w:cs="Arial" w:eastAsia="Arial" w:hAnsi="Arial"/>
          <w:sz w:val="15"/>
          <w:szCs w:val="15"/>
          <w:color w:val="auto"/>
          <w:vertAlign w:val="superscript"/>
        </w:rPr>
      </w:pPr>
      <w:r>
        <w:rPr>
          <w:rFonts w:ascii="Arial" w:cs="Arial" w:eastAsia="Arial" w:hAnsi="Arial"/>
          <w:sz w:val="12"/>
          <w:szCs w:val="12"/>
          <w:color w:val="auto"/>
        </w:rPr>
        <w:t>Loans for customers who have requested extension of grace period generally during employment transition or who have temporarily ceased making full payments due to hardship or other factors (other than delinquent loans in disaster forbearance), consistent with established loan program servicing policies and procedures.</w:t>
      </w:r>
    </w:p>
    <w:p>
      <w:pPr>
        <w:spacing w:after="0" w:line="122" w:lineRule="exact"/>
        <w:rPr>
          <w:rFonts w:ascii="Arial" w:cs="Arial" w:eastAsia="Arial" w:hAnsi="Arial"/>
          <w:sz w:val="15"/>
          <w:szCs w:val="15"/>
          <w:color w:val="auto"/>
          <w:vertAlign w:val="superscript"/>
        </w:rPr>
      </w:pPr>
    </w:p>
    <w:p>
      <w:pPr>
        <w:ind w:left="1020" w:hanging="324"/>
        <w:spacing w:after="0"/>
        <w:tabs>
          <w:tab w:leader="none" w:pos="102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The period of delinquency is based on the number of days scheduled payments are contractually past due.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134F82"/>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20" w:right="419" w:bottom="1440" w:gutter="0" w:footer="0" w:header="0"/>
        </w:sectPr>
      </w:pPr>
    </w:p>
    <w:bookmarkStart w:id="27" w:name="page28"/>
    <w:bookmarkEnd w:id="27"/>
    <w:p>
      <w:pPr>
        <w:ind w:left="334" w:hanging="334"/>
        <w:spacing w:after="0"/>
        <w:tabs>
          <w:tab w:leader="none" w:pos="33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200" w:lineRule="exact"/>
        <w:rPr>
          <w:sz w:val="20"/>
          <w:szCs w:val="20"/>
          <w:color w:val="auto"/>
        </w:rPr>
      </w:pPr>
    </w:p>
    <w:p>
      <w:pPr>
        <w:spacing w:after="0" w:line="361" w:lineRule="exact"/>
        <w:rPr>
          <w:sz w:val="20"/>
          <w:szCs w:val="20"/>
          <w:color w:val="auto"/>
        </w:rPr>
      </w:pPr>
    </w:p>
    <w:tbl>
      <w:tblPr>
        <w:tblLayout w:type="fixed"/>
        <w:tblInd w:w="1114" w:type="dxa"/>
        <w:tblCellMar>
          <w:top w:w="0" w:type="dxa"/>
          <w:left w:w="0" w:type="dxa"/>
          <w:bottom w:w="0" w:type="dxa"/>
          <w:right w:w="0" w:type="dxa"/>
        </w:tblCellMar>
      </w:tblPr>
      <w:tr>
        <w:trPr>
          <w:trHeight w:val="185"/>
        </w:trPr>
        <w:tc>
          <w:tcPr>
            <w:tcW w:w="192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5080" w:type="dxa"/>
            <w:vAlign w:val="bottom"/>
            <w:tcBorders>
              <w:top w:val="single" w:sz="8" w:color="auto"/>
              <w:bottom w:val="single" w:sz="8" w:color="auto"/>
            </w:tcBorders>
            <w:gridSpan w:val="10"/>
          </w:tcPr>
          <w:p>
            <w:pPr>
              <w:jc w:val="right"/>
              <w:spacing w:after="0"/>
              <w:rPr>
                <w:sz w:val="20"/>
                <w:szCs w:val="20"/>
                <w:color w:val="auto"/>
              </w:rPr>
            </w:pPr>
            <w:r>
              <w:rPr>
                <w:rFonts w:ascii="Arial" w:cs="Arial" w:eastAsia="Arial" w:hAnsi="Arial"/>
                <w:sz w:val="13"/>
                <w:szCs w:val="13"/>
                <w:b w:val="1"/>
                <w:bCs w:val="1"/>
                <w:color w:val="144F82"/>
                <w:w w:val="97"/>
              </w:rPr>
              <w:t>Private Education Loans Held for Investment - Delinquencies by Origination Vintage</w:t>
            </w: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920" w:type="dxa"/>
            <w:vAlign w:val="bottom"/>
          </w:tcPr>
          <w:p>
            <w:pPr>
              <w:ind w:left="20"/>
              <w:spacing w:after="0" w:line="119" w:lineRule="exact"/>
              <w:rPr>
                <w:sz w:val="20"/>
                <w:szCs w:val="20"/>
                <w:color w:val="auto"/>
              </w:rPr>
            </w:pPr>
            <w:r>
              <w:rPr>
                <w:rFonts w:ascii="Arial" w:cs="Arial" w:eastAsia="Arial" w:hAnsi="Arial"/>
                <w:sz w:val="13"/>
                <w:szCs w:val="13"/>
                <w:b w:val="1"/>
                <w:bCs w:val="1"/>
                <w:color w:val="144F82"/>
              </w:rPr>
              <w:t>As of December 31, 2024</w:t>
            </w:r>
          </w:p>
        </w:tc>
        <w:tc>
          <w:tcPr>
            <w:tcW w:w="14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144F82"/>
              </w:rPr>
              <w:t>2024</w:t>
            </w:r>
          </w:p>
        </w:tc>
        <w:tc>
          <w:tcPr>
            <w:tcW w:w="180" w:type="dxa"/>
            <w:vAlign w:val="bottom"/>
          </w:tcPr>
          <w:p>
            <w:pPr>
              <w:spacing w:after="0"/>
              <w:rPr>
                <w:sz w:val="10"/>
                <w:szCs w:val="10"/>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144F82"/>
              </w:rPr>
              <w:t>2023</w:t>
            </w:r>
          </w:p>
        </w:tc>
        <w:tc>
          <w:tcPr>
            <w:tcW w:w="160" w:type="dxa"/>
            <w:vAlign w:val="bottom"/>
          </w:tcPr>
          <w:p>
            <w:pPr>
              <w:spacing w:after="0"/>
              <w:rPr>
                <w:sz w:val="10"/>
                <w:szCs w:val="10"/>
                <w:color w:val="auto"/>
              </w:rPr>
            </w:pPr>
          </w:p>
        </w:tc>
        <w:tc>
          <w:tcPr>
            <w:tcW w:w="82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144F82"/>
              </w:rPr>
              <w:t>2022</w:t>
            </w:r>
          </w:p>
        </w:tc>
        <w:tc>
          <w:tcPr>
            <w:tcW w:w="180" w:type="dxa"/>
            <w:vAlign w:val="bottom"/>
          </w:tcPr>
          <w:p>
            <w:pPr>
              <w:spacing w:after="0"/>
              <w:rPr>
                <w:sz w:val="10"/>
                <w:szCs w:val="10"/>
                <w:color w:val="auto"/>
              </w:rPr>
            </w:pPr>
          </w:p>
        </w:tc>
        <w:tc>
          <w:tcPr>
            <w:tcW w:w="82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144F82"/>
              </w:rPr>
              <w:t>2021</w:t>
            </w:r>
          </w:p>
        </w:tc>
        <w:tc>
          <w:tcPr>
            <w:tcW w:w="180" w:type="dxa"/>
            <w:vAlign w:val="bottom"/>
          </w:tcPr>
          <w:p>
            <w:pPr>
              <w:spacing w:after="0"/>
              <w:rPr>
                <w:sz w:val="10"/>
                <w:szCs w:val="10"/>
                <w:color w:val="auto"/>
              </w:rPr>
            </w:pPr>
          </w:p>
        </w:tc>
        <w:tc>
          <w:tcPr>
            <w:tcW w:w="82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144F82"/>
              </w:rPr>
              <w:t>2020</w:t>
            </w:r>
          </w:p>
        </w:tc>
        <w:tc>
          <w:tcPr>
            <w:tcW w:w="180" w:type="dxa"/>
            <w:vAlign w:val="bottom"/>
          </w:tcPr>
          <w:p>
            <w:pPr>
              <w:spacing w:after="0"/>
              <w:rPr>
                <w:sz w:val="10"/>
                <w:szCs w:val="10"/>
                <w:color w:val="auto"/>
              </w:rPr>
            </w:pPr>
          </w:p>
        </w:tc>
        <w:tc>
          <w:tcPr>
            <w:tcW w:w="900" w:type="dxa"/>
            <w:vAlign w:val="bottom"/>
          </w:tcPr>
          <w:p>
            <w:pPr>
              <w:jc w:val="right"/>
              <w:ind w:right="237"/>
              <w:spacing w:after="0" w:line="119" w:lineRule="exact"/>
              <w:rPr>
                <w:sz w:val="20"/>
                <w:szCs w:val="20"/>
                <w:color w:val="auto"/>
              </w:rPr>
            </w:pPr>
            <w:r>
              <w:rPr>
                <w:rFonts w:ascii="Arial" w:cs="Arial" w:eastAsia="Arial" w:hAnsi="Arial"/>
                <w:sz w:val="13"/>
                <w:szCs w:val="13"/>
                <w:b w:val="1"/>
                <w:bCs w:val="1"/>
                <w:color w:val="144F82"/>
              </w:rPr>
              <w:t>2019 and</w:t>
            </w:r>
          </w:p>
        </w:tc>
        <w:tc>
          <w:tcPr>
            <w:tcW w:w="120" w:type="dxa"/>
            <w:vAlign w:val="bottom"/>
          </w:tcPr>
          <w:p>
            <w:pPr>
              <w:spacing w:after="0"/>
              <w:rPr>
                <w:sz w:val="10"/>
                <w:szCs w:val="10"/>
                <w:color w:val="auto"/>
              </w:rPr>
            </w:pPr>
          </w:p>
        </w:tc>
        <w:tc>
          <w:tcPr>
            <w:tcW w:w="86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144F82"/>
              </w:rPr>
              <w:t>Total</w:t>
            </w:r>
          </w:p>
        </w:tc>
        <w:tc>
          <w:tcPr>
            <w:tcW w:w="0" w:type="dxa"/>
            <w:vAlign w:val="bottom"/>
          </w:tcPr>
          <w:p>
            <w:pPr>
              <w:spacing w:after="0"/>
              <w:rPr>
                <w:sz w:val="1"/>
                <w:szCs w:val="1"/>
                <w:color w:val="auto"/>
              </w:rPr>
            </w:pPr>
          </w:p>
        </w:tc>
      </w:tr>
      <w:tr>
        <w:trPr>
          <w:trHeight w:val="185"/>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144F82"/>
              </w:rPr>
              <w:t>Prior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EDEDEE"/>
          </w:tcPr>
          <w:p>
            <w:pPr>
              <w:ind w:left="20"/>
              <w:spacing w:after="0" w:line="122" w:lineRule="exact"/>
              <w:rPr>
                <w:sz w:val="20"/>
                <w:szCs w:val="20"/>
                <w:color w:val="auto"/>
              </w:rPr>
            </w:pPr>
            <w:r>
              <w:rPr>
                <w:rFonts w:ascii="Arial" w:cs="Arial" w:eastAsia="Arial" w:hAnsi="Arial"/>
                <w:sz w:val="13"/>
                <w:szCs w:val="13"/>
                <w:color w:val="auto"/>
              </w:rPr>
              <w:t>Loans in-</w:t>
            </w:r>
          </w:p>
        </w:tc>
        <w:tc>
          <w:tcPr>
            <w:tcW w:w="140" w:type="dxa"/>
            <w:vAlign w:val="bottom"/>
            <w:shd w:val="clear" w:color="auto" w:fill="EDEDEE"/>
          </w:tcPr>
          <w:p>
            <w:pPr>
              <w:spacing w:after="0"/>
              <w:rPr>
                <w:sz w:val="10"/>
                <w:szCs w:val="10"/>
                <w:color w:val="auto"/>
              </w:rPr>
            </w:pPr>
          </w:p>
        </w:tc>
        <w:tc>
          <w:tcPr>
            <w:tcW w:w="80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40" w:type="dxa"/>
            <w:vAlign w:val="bottom"/>
            <w:shd w:val="clear" w:color="auto" w:fill="EDEDEE"/>
          </w:tcPr>
          <w:p>
            <w:pPr>
              <w:spacing w:after="0"/>
              <w:rPr>
                <w:sz w:val="10"/>
                <w:szCs w:val="10"/>
                <w:color w:val="auto"/>
              </w:rPr>
            </w:pPr>
          </w:p>
        </w:tc>
        <w:tc>
          <w:tcPr>
            <w:tcW w:w="16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900" w:type="dxa"/>
            <w:vAlign w:val="bottom"/>
            <w:shd w:val="clear" w:color="auto" w:fill="EDEDEE"/>
          </w:tcPr>
          <w:p>
            <w:pPr>
              <w:spacing w:after="0"/>
              <w:rPr>
                <w:sz w:val="10"/>
                <w:szCs w:val="10"/>
                <w:color w:val="auto"/>
              </w:rPr>
            </w:pPr>
          </w:p>
        </w:tc>
        <w:tc>
          <w:tcPr>
            <w:tcW w:w="120" w:type="dxa"/>
            <w:vAlign w:val="bottom"/>
            <w:shd w:val="clear" w:color="auto" w:fill="EDEDEE"/>
          </w:tcPr>
          <w:p>
            <w:pPr>
              <w:spacing w:after="0"/>
              <w:rPr>
                <w:sz w:val="10"/>
                <w:szCs w:val="10"/>
                <w:color w:val="auto"/>
              </w:rPr>
            </w:pPr>
          </w:p>
        </w:tc>
        <w:tc>
          <w:tcPr>
            <w:tcW w:w="860" w:type="dxa"/>
            <w:vAlign w:val="bottom"/>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school/grace/deferment</w:t>
            </w:r>
            <w:r>
              <w:rPr>
                <w:rFonts w:ascii="Arial" w:cs="Arial" w:eastAsia="Arial" w:hAnsi="Arial"/>
                <w:sz w:val="16"/>
                <w:szCs w:val="16"/>
                <w:color w:val="auto"/>
                <w:vertAlign w:val="superscript"/>
              </w:rPr>
              <w:t>(1)</w:t>
            </w:r>
          </w:p>
        </w:tc>
        <w:tc>
          <w:tcPr>
            <w:tcW w:w="1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w w:val="96"/>
              </w:rPr>
              <w:t>2,164,479</w:t>
            </w:r>
          </w:p>
        </w:tc>
        <w:tc>
          <w:tcPr>
            <w:tcW w:w="1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1,817,705</w:t>
            </w:r>
          </w:p>
        </w:tc>
        <w:tc>
          <w:tcPr>
            <w:tcW w:w="16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748,782</w:t>
            </w:r>
          </w:p>
        </w:tc>
        <w:tc>
          <w:tcPr>
            <w:tcW w:w="1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355,248</w:t>
            </w:r>
          </w:p>
        </w:tc>
        <w:tc>
          <w:tcPr>
            <w:tcW w:w="1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184,377</w:t>
            </w:r>
          </w:p>
        </w:tc>
        <w:tc>
          <w:tcPr>
            <w:tcW w:w="1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E"/>
          </w:tcPr>
          <w:p>
            <w:pPr>
              <w:jc w:val="right"/>
              <w:ind w:right="237"/>
              <w:spacing w:after="0"/>
              <w:rPr>
                <w:sz w:val="20"/>
                <w:szCs w:val="20"/>
                <w:color w:val="auto"/>
              </w:rPr>
            </w:pPr>
            <w:r>
              <w:rPr>
                <w:rFonts w:ascii="Arial" w:cs="Arial" w:eastAsia="Arial" w:hAnsi="Arial"/>
                <w:sz w:val="13"/>
                <w:szCs w:val="13"/>
                <w:color w:val="auto"/>
              </w:rPr>
              <w:t>452,236</w:t>
            </w:r>
          </w:p>
        </w:tc>
        <w:tc>
          <w:tcPr>
            <w:tcW w:w="120" w:type="dxa"/>
            <w:vAlign w:val="bottom"/>
            <w:shd w:val="clear" w:color="auto" w:fill="EDEDEE"/>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5,722,827</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5" w:lineRule="exact"/>
              <w:rPr>
                <w:sz w:val="20"/>
                <w:szCs w:val="20"/>
                <w:color w:val="auto"/>
              </w:rPr>
            </w:pPr>
            <w:r>
              <w:rPr>
                <w:rFonts w:ascii="Arial" w:cs="Arial" w:eastAsia="Arial" w:hAnsi="Arial"/>
                <w:sz w:val="13"/>
                <w:szCs w:val="13"/>
                <w:color w:val="auto"/>
              </w:rPr>
              <w:t>Loans in forbearance</w:t>
            </w:r>
            <w:r>
              <w:rPr>
                <w:rFonts w:ascii="Arial" w:cs="Arial" w:eastAsia="Arial" w:hAnsi="Arial"/>
                <w:sz w:val="16"/>
                <w:szCs w:val="16"/>
                <w:color w:val="auto"/>
                <w:vertAlign w:val="superscript"/>
              </w:rPr>
              <w:t>(2)</w:t>
            </w:r>
          </w:p>
        </w:tc>
        <w:tc>
          <w:tcPr>
            <w:tcW w:w="140" w:type="dxa"/>
            <w:vAlign w:val="bottom"/>
          </w:tcPr>
          <w:p>
            <w:pPr>
              <w:spacing w:after="0"/>
              <w:rPr>
                <w:sz w:val="15"/>
                <w:szCs w:val="15"/>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19,984</w:t>
            </w:r>
          </w:p>
        </w:tc>
        <w:tc>
          <w:tcPr>
            <w:tcW w:w="180" w:type="dxa"/>
            <w:vAlign w:val="bottom"/>
          </w:tcPr>
          <w:p>
            <w:pPr>
              <w:spacing w:after="0"/>
              <w:rPr>
                <w:sz w:val="15"/>
                <w:szCs w:val="15"/>
                <w:color w:val="auto"/>
              </w:rPr>
            </w:pP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124,728</w:t>
            </w:r>
          </w:p>
        </w:tc>
        <w:tc>
          <w:tcPr>
            <w:tcW w:w="160" w:type="dxa"/>
            <w:vAlign w:val="bottom"/>
          </w:tcPr>
          <w:p>
            <w:pPr>
              <w:spacing w:after="0"/>
              <w:rPr>
                <w:sz w:val="15"/>
                <w:szCs w:val="15"/>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87,961</w:t>
            </w:r>
          </w:p>
        </w:tc>
        <w:tc>
          <w:tcPr>
            <w:tcW w:w="180" w:type="dxa"/>
            <w:vAlign w:val="bottom"/>
          </w:tcPr>
          <w:p>
            <w:pPr>
              <w:spacing w:after="0"/>
              <w:rPr>
                <w:sz w:val="15"/>
                <w:szCs w:val="15"/>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52,686</w:t>
            </w:r>
          </w:p>
        </w:tc>
        <w:tc>
          <w:tcPr>
            <w:tcW w:w="180" w:type="dxa"/>
            <w:vAlign w:val="bottom"/>
          </w:tcPr>
          <w:p>
            <w:pPr>
              <w:spacing w:after="0"/>
              <w:rPr>
                <w:sz w:val="15"/>
                <w:szCs w:val="15"/>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31,575</w:t>
            </w:r>
          </w:p>
        </w:tc>
        <w:tc>
          <w:tcPr>
            <w:tcW w:w="180" w:type="dxa"/>
            <w:vAlign w:val="bottom"/>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color w:val="auto"/>
              </w:rPr>
              <w:t>88,496</w:t>
            </w:r>
          </w:p>
        </w:tc>
        <w:tc>
          <w:tcPr>
            <w:tcW w:w="120" w:type="dxa"/>
            <w:vAlign w:val="bottom"/>
          </w:tcPr>
          <w:p>
            <w:pPr>
              <w:spacing w:after="0"/>
              <w:rPr>
                <w:sz w:val="15"/>
                <w:szCs w:val="15"/>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405,430</w:t>
            </w:r>
          </w:p>
        </w:tc>
        <w:tc>
          <w:tcPr>
            <w:tcW w:w="0" w:type="dxa"/>
            <w:vAlign w:val="bottom"/>
          </w:tcPr>
          <w:p>
            <w:pPr>
              <w:spacing w:after="0"/>
              <w:rPr>
                <w:sz w:val="1"/>
                <w:szCs w:val="1"/>
                <w:color w:val="auto"/>
              </w:rPr>
            </w:pPr>
          </w:p>
        </w:tc>
      </w:tr>
      <w:tr>
        <w:trPr>
          <w:trHeight w:val="176"/>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Loans in repayment:</w:t>
            </w:r>
          </w:p>
        </w:tc>
        <w:tc>
          <w:tcPr>
            <w:tcW w:w="140" w:type="dxa"/>
            <w:vAlign w:val="bottom"/>
            <w:shd w:val="clear" w:color="auto" w:fill="EDEDEE"/>
          </w:tcPr>
          <w:p>
            <w:pPr>
              <w:spacing w:after="0"/>
              <w:rPr>
                <w:sz w:val="15"/>
                <w:szCs w:val="15"/>
                <w:color w:val="auto"/>
              </w:rPr>
            </w:pPr>
          </w:p>
        </w:tc>
        <w:tc>
          <w:tcPr>
            <w:tcW w:w="800" w:type="dxa"/>
            <w:vAlign w:val="bottom"/>
            <w:shd w:val="clear" w:color="auto" w:fill="EDEDEE"/>
          </w:tcPr>
          <w:p>
            <w:pPr>
              <w:spacing w:after="0"/>
              <w:rPr>
                <w:sz w:val="15"/>
                <w:szCs w:val="15"/>
                <w:color w:val="auto"/>
              </w:rPr>
            </w:pPr>
          </w:p>
        </w:tc>
        <w:tc>
          <w:tcPr>
            <w:tcW w:w="180" w:type="dxa"/>
            <w:vAlign w:val="bottom"/>
            <w:shd w:val="clear" w:color="auto" w:fill="EDEDEE"/>
          </w:tcPr>
          <w:p>
            <w:pPr>
              <w:spacing w:after="0"/>
              <w:rPr>
                <w:sz w:val="15"/>
                <w:szCs w:val="15"/>
                <w:color w:val="auto"/>
              </w:rPr>
            </w:pPr>
          </w:p>
        </w:tc>
        <w:tc>
          <w:tcPr>
            <w:tcW w:w="840" w:type="dxa"/>
            <w:vAlign w:val="bottom"/>
            <w:shd w:val="clear" w:color="auto" w:fill="EDEDEE"/>
          </w:tcPr>
          <w:p>
            <w:pPr>
              <w:spacing w:after="0"/>
              <w:rPr>
                <w:sz w:val="15"/>
                <w:szCs w:val="15"/>
                <w:color w:val="auto"/>
              </w:rPr>
            </w:pPr>
          </w:p>
        </w:tc>
        <w:tc>
          <w:tcPr>
            <w:tcW w:w="160" w:type="dxa"/>
            <w:vAlign w:val="bottom"/>
            <w:shd w:val="clear" w:color="auto" w:fill="EDEDEE"/>
          </w:tcPr>
          <w:p>
            <w:pPr>
              <w:spacing w:after="0"/>
              <w:rPr>
                <w:sz w:val="15"/>
                <w:szCs w:val="15"/>
                <w:color w:val="auto"/>
              </w:rPr>
            </w:pPr>
          </w:p>
        </w:tc>
        <w:tc>
          <w:tcPr>
            <w:tcW w:w="820" w:type="dxa"/>
            <w:vAlign w:val="bottom"/>
            <w:shd w:val="clear" w:color="auto" w:fill="EDEDEE"/>
          </w:tcPr>
          <w:p>
            <w:pPr>
              <w:spacing w:after="0"/>
              <w:rPr>
                <w:sz w:val="15"/>
                <w:szCs w:val="15"/>
                <w:color w:val="auto"/>
              </w:rPr>
            </w:pPr>
          </w:p>
        </w:tc>
        <w:tc>
          <w:tcPr>
            <w:tcW w:w="180" w:type="dxa"/>
            <w:vAlign w:val="bottom"/>
            <w:shd w:val="clear" w:color="auto" w:fill="EDEDEE"/>
          </w:tcPr>
          <w:p>
            <w:pPr>
              <w:spacing w:after="0"/>
              <w:rPr>
                <w:sz w:val="15"/>
                <w:szCs w:val="15"/>
                <w:color w:val="auto"/>
              </w:rPr>
            </w:pPr>
          </w:p>
        </w:tc>
        <w:tc>
          <w:tcPr>
            <w:tcW w:w="820" w:type="dxa"/>
            <w:vAlign w:val="bottom"/>
            <w:shd w:val="clear" w:color="auto" w:fill="EDEDEE"/>
          </w:tcPr>
          <w:p>
            <w:pPr>
              <w:spacing w:after="0"/>
              <w:rPr>
                <w:sz w:val="15"/>
                <w:szCs w:val="15"/>
                <w:color w:val="auto"/>
              </w:rPr>
            </w:pPr>
          </w:p>
        </w:tc>
        <w:tc>
          <w:tcPr>
            <w:tcW w:w="180" w:type="dxa"/>
            <w:vAlign w:val="bottom"/>
            <w:shd w:val="clear" w:color="auto" w:fill="EDEDEE"/>
          </w:tcPr>
          <w:p>
            <w:pPr>
              <w:spacing w:after="0"/>
              <w:rPr>
                <w:sz w:val="15"/>
                <w:szCs w:val="15"/>
                <w:color w:val="auto"/>
              </w:rPr>
            </w:pPr>
          </w:p>
        </w:tc>
        <w:tc>
          <w:tcPr>
            <w:tcW w:w="820" w:type="dxa"/>
            <w:vAlign w:val="bottom"/>
            <w:shd w:val="clear" w:color="auto" w:fill="EDEDEE"/>
          </w:tcPr>
          <w:p>
            <w:pPr>
              <w:spacing w:after="0"/>
              <w:rPr>
                <w:sz w:val="15"/>
                <w:szCs w:val="15"/>
                <w:color w:val="auto"/>
              </w:rPr>
            </w:pPr>
          </w:p>
        </w:tc>
        <w:tc>
          <w:tcPr>
            <w:tcW w:w="180" w:type="dxa"/>
            <w:vAlign w:val="bottom"/>
            <w:shd w:val="clear" w:color="auto" w:fill="EDEDEE"/>
          </w:tcPr>
          <w:p>
            <w:pPr>
              <w:spacing w:after="0"/>
              <w:rPr>
                <w:sz w:val="15"/>
                <w:szCs w:val="15"/>
                <w:color w:val="auto"/>
              </w:rPr>
            </w:pPr>
          </w:p>
        </w:tc>
        <w:tc>
          <w:tcPr>
            <w:tcW w:w="900" w:type="dxa"/>
            <w:vAlign w:val="bottom"/>
            <w:shd w:val="clear" w:color="auto" w:fill="EDEDEE"/>
          </w:tcPr>
          <w:p>
            <w:pPr>
              <w:spacing w:after="0"/>
              <w:rPr>
                <w:sz w:val="15"/>
                <w:szCs w:val="15"/>
                <w:color w:val="auto"/>
              </w:rPr>
            </w:pPr>
          </w:p>
        </w:tc>
        <w:tc>
          <w:tcPr>
            <w:tcW w:w="120" w:type="dxa"/>
            <w:vAlign w:val="bottom"/>
            <w:shd w:val="clear" w:color="auto" w:fill="EDEDEE"/>
          </w:tcPr>
          <w:p>
            <w:pPr>
              <w:spacing w:after="0"/>
              <w:rPr>
                <w:sz w:val="15"/>
                <w:szCs w:val="15"/>
                <w:color w:val="auto"/>
              </w:rPr>
            </w:pPr>
          </w:p>
        </w:tc>
        <w:tc>
          <w:tcPr>
            <w:tcW w:w="860" w:type="dxa"/>
            <w:vAlign w:val="bottom"/>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3"/>
                <w:szCs w:val="13"/>
                <w:color w:val="auto"/>
              </w:rPr>
              <w:t>Loans current</w:t>
            </w:r>
          </w:p>
        </w:tc>
        <w:tc>
          <w:tcPr>
            <w:tcW w:w="140" w:type="dxa"/>
            <w:vAlign w:val="bottom"/>
          </w:tcPr>
          <w:p>
            <w:pPr>
              <w:spacing w:after="0"/>
              <w:rPr>
                <w:sz w:val="14"/>
                <w:szCs w:val="14"/>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w w:val="96"/>
              </w:rPr>
              <w:t>2,820,940</w:t>
            </w:r>
          </w:p>
        </w:tc>
        <w:tc>
          <w:tcPr>
            <w:tcW w:w="180" w:type="dxa"/>
            <w:vAlign w:val="bottom"/>
          </w:tcPr>
          <w:p>
            <w:pPr>
              <w:spacing w:after="0"/>
              <w:rPr>
                <w:sz w:val="14"/>
                <w:szCs w:val="14"/>
                <w:color w:val="auto"/>
              </w:rPr>
            </w:pP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3,312,916</w:t>
            </w:r>
          </w:p>
        </w:tc>
        <w:tc>
          <w:tcPr>
            <w:tcW w:w="160" w:type="dxa"/>
            <w:vAlign w:val="bottom"/>
          </w:tcPr>
          <w:p>
            <w:pPr>
              <w:spacing w:after="0"/>
              <w:rPr>
                <w:sz w:val="14"/>
                <w:szCs w:val="14"/>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2,259,455</w:t>
            </w:r>
          </w:p>
        </w:tc>
        <w:tc>
          <w:tcPr>
            <w:tcW w:w="180" w:type="dxa"/>
            <w:vAlign w:val="bottom"/>
          </w:tcPr>
          <w:p>
            <w:pPr>
              <w:spacing w:after="0"/>
              <w:rPr>
                <w:sz w:val="14"/>
                <w:szCs w:val="14"/>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1,590,812</w:t>
            </w:r>
          </w:p>
        </w:tc>
        <w:tc>
          <w:tcPr>
            <w:tcW w:w="180" w:type="dxa"/>
            <w:vAlign w:val="bottom"/>
          </w:tcPr>
          <w:p>
            <w:pPr>
              <w:spacing w:after="0"/>
              <w:rPr>
                <w:sz w:val="14"/>
                <w:szCs w:val="14"/>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1,107,189</w:t>
            </w:r>
          </w:p>
        </w:tc>
        <w:tc>
          <w:tcPr>
            <w:tcW w:w="18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color w:val="auto"/>
              </w:rPr>
              <w:t>4,422,021</w:t>
            </w:r>
          </w:p>
        </w:tc>
        <w:tc>
          <w:tcPr>
            <w:tcW w:w="12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15,513,333</w:t>
            </w:r>
          </w:p>
        </w:tc>
        <w:tc>
          <w:tcPr>
            <w:tcW w:w="0" w:type="dxa"/>
            <w:vAlign w:val="bottom"/>
          </w:tcPr>
          <w:p>
            <w:pPr>
              <w:spacing w:after="0"/>
              <w:rPr>
                <w:sz w:val="1"/>
                <w:szCs w:val="1"/>
                <w:color w:val="auto"/>
              </w:rPr>
            </w:pPr>
          </w:p>
        </w:tc>
      </w:tr>
      <w:tr>
        <w:trPr>
          <w:trHeight w:val="126"/>
        </w:trPr>
        <w:tc>
          <w:tcPr>
            <w:tcW w:w="1920" w:type="dxa"/>
            <w:vAlign w:val="bottom"/>
            <w:shd w:val="clear" w:color="auto" w:fill="EDEDEE"/>
          </w:tcPr>
          <w:p>
            <w:pPr>
              <w:ind w:left="140"/>
              <w:spacing w:after="0" w:line="126" w:lineRule="exact"/>
              <w:rPr>
                <w:sz w:val="20"/>
                <w:szCs w:val="20"/>
                <w:color w:val="auto"/>
              </w:rPr>
            </w:pPr>
            <w:r>
              <w:rPr>
                <w:rFonts w:ascii="Arial" w:cs="Arial" w:eastAsia="Arial" w:hAnsi="Arial"/>
                <w:sz w:val="13"/>
                <w:szCs w:val="13"/>
                <w:color w:val="auto"/>
              </w:rPr>
              <w:t>Loans delinquent 30-59</w:t>
            </w:r>
          </w:p>
        </w:tc>
        <w:tc>
          <w:tcPr>
            <w:tcW w:w="140" w:type="dxa"/>
            <w:vAlign w:val="bottom"/>
            <w:shd w:val="clear" w:color="auto" w:fill="EDEDEE"/>
          </w:tcPr>
          <w:p>
            <w:pPr>
              <w:spacing w:after="0"/>
              <w:rPr>
                <w:sz w:val="10"/>
                <w:szCs w:val="10"/>
                <w:color w:val="auto"/>
              </w:rPr>
            </w:pPr>
          </w:p>
        </w:tc>
        <w:tc>
          <w:tcPr>
            <w:tcW w:w="80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40" w:type="dxa"/>
            <w:vAlign w:val="bottom"/>
            <w:shd w:val="clear" w:color="auto" w:fill="EDEDEE"/>
          </w:tcPr>
          <w:p>
            <w:pPr>
              <w:spacing w:after="0"/>
              <w:rPr>
                <w:sz w:val="10"/>
                <w:szCs w:val="10"/>
                <w:color w:val="auto"/>
              </w:rPr>
            </w:pPr>
          </w:p>
        </w:tc>
        <w:tc>
          <w:tcPr>
            <w:tcW w:w="16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900" w:type="dxa"/>
            <w:vAlign w:val="bottom"/>
            <w:shd w:val="clear" w:color="auto" w:fill="EDEDEE"/>
          </w:tcPr>
          <w:p>
            <w:pPr>
              <w:spacing w:after="0"/>
              <w:rPr>
                <w:sz w:val="10"/>
                <w:szCs w:val="10"/>
                <w:color w:val="auto"/>
              </w:rPr>
            </w:pPr>
          </w:p>
        </w:tc>
        <w:tc>
          <w:tcPr>
            <w:tcW w:w="120" w:type="dxa"/>
            <w:vAlign w:val="bottom"/>
            <w:shd w:val="clear" w:color="auto" w:fill="EDEDEE"/>
          </w:tcPr>
          <w:p>
            <w:pPr>
              <w:spacing w:after="0"/>
              <w:rPr>
                <w:sz w:val="10"/>
                <w:szCs w:val="10"/>
                <w:color w:val="auto"/>
              </w:rPr>
            </w:pPr>
          </w:p>
        </w:tc>
        <w:tc>
          <w:tcPr>
            <w:tcW w:w="860" w:type="dxa"/>
            <w:vAlign w:val="bottom"/>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EDEDEE"/>
          </w:tcPr>
          <w:p>
            <w:pPr>
              <w:ind w:left="140"/>
              <w:spacing w:after="0"/>
              <w:rPr>
                <w:sz w:val="20"/>
                <w:szCs w:val="20"/>
                <w:color w:val="auto"/>
              </w:rPr>
            </w:pPr>
            <w:r>
              <w:rPr>
                <w:rFonts w:ascii="Arial" w:cs="Arial" w:eastAsia="Arial" w:hAnsi="Arial"/>
                <w:sz w:val="13"/>
                <w:szCs w:val="13"/>
                <w:color w:val="auto"/>
              </w:rPr>
              <w:t>days</w:t>
            </w:r>
            <w:r>
              <w:rPr>
                <w:rFonts w:ascii="Arial" w:cs="Arial" w:eastAsia="Arial" w:hAnsi="Arial"/>
                <w:sz w:val="16"/>
                <w:szCs w:val="16"/>
                <w:color w:val="auto"/>
                <w:vertAlign w:val="superscript"/>
              </w:rPr>
              <w:t>(3)</w:t>
            </w:r>
          </w:p>
        </w:tc>
        <w:tc>
          <w:tcPr>
            <w:tcW w:w="140" w:type="dxa"/>
            <w:vAlign w:val="bottom"/>
            <w:shd w:val="clear" w:color="auto" w:fill="EDEDEE"/>
          </w:tcPr>
          <w:p>
            <w:pPr>
              <w:spacing w:after="0"/>
              <w:rPr>
                <w:sz w:val="16"/>
                <w:szCs w:val="16"/>
                <w:color w:val="auto"/>
              </w:rPr>
            </w:pPr>
          </w:p>
        </w:tc>
        <w:tc>
          <w:tcPr>
            <w:tcW w:w="80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13,533</w:t>
            </w:r>
          </w:p>
        </w:tc>
        <w:tc>
          <w:tcPr>
            <w:tcW w:w="180" w:type="dxa"/>
            <w:vAlign w:val="bottom"/>
            <w:shd w:val="clear" w:color="auto" w:fill="EDEDEE"/>
          </w:tcPr>
          <w:p>
            <w:pPr>
              <w:spacing w:after="0"/>
              <w:rPr>
                <w:sz w:val="16"/>
                <w:szCs w:val="16"/>
                <w:color w:val="auto"/>
              </w:rPr>
            </w:pPr>
          </w:p>
        </w:tc>
        <w:tc>
          <w:tcPr>
            <w:tcW w:w="8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36,441</w:t>
            </w:r>
          </w:p>
        </w:tc>
        <w:tc>
          <w:tcPr>
            <w:tcW w:w="160" w:type="dxa"/>
            <w:vAlign w:val="bottom"/>
            <w:shd w:val="clear" w:color="auto" w:fill="EDEDEE"/>
          </w:tcPr>
          <w:p>
            <w:pPr>
              <w:spacing w:after="0"/>
              <w:rPr>
                <w:sz w:val="16"/>
                <w:szCs w:val="16"/>
                <w:color w:val="auto"/>
              </w:rPr>
            </w:pP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45,543</w:t>
            </w:r>
          </w:p>
        </w:tc>
        <w:tc>
          <w:tcPr>
            <w:tcW w:w="180" w:type="dxa"/>
            <w:vAlign w:val="bottom"/>
            <w:shd w:val="clear" w:color="auto" w:fill="EDEDEE"/>
          </w:tcPr>
          <w:p>
            <w:pPr>
              <w:spacing w:after="0"/>
              <w:rPr>
                <w:sz w:val="16"/>
                <w:szCs w:val="16"/>
                <w:color w:val="auto"/>
              </w:rPr>
            </w:pP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35,245</w:t>
            </w:r>
          </w:p>
        </w:tc>
        <w:tc>
          <w:tcPr>
            <w:tcW w:w="180" w:type="dxa"/>
            <w:vAlign w:val="bottom"/>
            <w:shd w:val="clear" w:color="auto" w:fill="EDEDEE"/>
          </w:tcPr>
          <w:p>
            <w:pPr>
              <w:spacing w:after="0"/>
              <w:rPr>
                <w:sz w:val="16"/>
                <w:szCs w:val="16"/>
                <w:color w:val="auto"/>
              </w:rPr>
            </w:pP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27,302</w:t>
            </w:r>
          </w:p>
        </w:tc>
        <w:tc>
          <w:tcPr>
            <w:tcW w:w="180" w:type="dxa"/>
            <w:vAlign w:val="bottom"/>
            <w:shd w:val="clear" w:color="auto" w:fill="EDEDEE"/>
          </w:tcPr>
          <w:p>
            <w:pPr>
              <w:spacing w:after="0"/>
              <w:rPr>
                <w:sz w:val="16"/>
                <w:szCs w:val="16"/>
                <w:color w:val="auto"/>
              </w:rPr>
            </w:pPr>
          </w:p>
        </w:tc>
        <w:tc>
          <w:tcPr>
            <w:tcW w:w="900" w:type="dxa"/>
            <w:vAlign w:val="bottom"/>
            <w:shd w:val="clear" w:color="auto" w:fill="EDEDEE"/>
          </w:tcPr>
          <w:p>
            <w:pPr>
              <w:jc w:val="right"/>
              <w:ind w:right="237"/>
              <w:spacing w:after="0"/>
              <w:rPr>
                <w:sz w:val="20"/>
                <w:szCs w:val="20"/>
                <w:color w:val="auto"/>
              </w:rPr>
            </w:pPr>
            <w:r>
              <w:rPr>
                <w:rFonts w:ascii="Arial" w:cs="Arial" w:eastAsia="Arial" w:hAnsi="Arial"/>
                <w:sz w:val="13"/>
                <w:szCs w:val="13"/>
                <w:color w:val="auto"/>
              </w:rPr>
              <w:t>152,684</w:t>
            </w:r>
          </w:p>
        </w:tc>
        <w:tc>
          <w:tcPr>
            <w:tcW w:w="120" w:type="dxa"/>
            <w:vAlign w:val="bottom"/>
            <w:shd w:val="clear" w:color="auto" w:fill="EDEDEE"/>
          </w:tcPr>
          <w:p>
            <w:pPr>
              <w:spacing w:after="0"/>
              <w:rPr>
                <w:sz w:val="16"/>
                <w:szCs w:val="16"/>
                <w:color w:val="auto"/>
              </w:rPr>
            </w:pPr>
          </w:p>
        </w:tc>
        <w:tc>
          <w:tcPr>
            <w:tcW w:w="86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310,748</w:t>
            </w:r>
          </w:p>
        </w:tc>
        <w:tc>
          <w:tcPr>
            <w:tcW w:w="0" w:type="dxa"/>
            <w:vAlign w:val="bottom"/>
          </w:tcPr>
          <w:p>
            <w:pPr>
              <w:spacing w:after="0"/>
              <w:rPr>
                <w:sz w:val="1"/>
                <w:szCs w:val="1"/>
                <w:color w:val="auto"/>
              </w:rPr>
            </w:pPr>
          </w:p>
        </w:tc>
      </w:tr>
      <w:tr>
        <w:trPr>
          <w:trHeight w:val="122"/>
        </w:trPr>
        <w:tc>
          <w:tcPr>
            <w:tcW w:w="1920" w:type="dxa"/>
            <w:vAlign w:val="bottom"/>
          </w:tcPr>
          <w:p>
            <w:pPr>
              <w:ind w:left="140"/>
              <w:spacing w:after="0" w:line="122" w:lineRule="exact"/>
              <w:rPr>
                <w:sz w:val="20"/>
                <w:szCs w:val="20"/>
                <w:color w:val="auto"/>
              </w:rPr>
            </w:pPr>
            <w:r>
              <w:rPr>
                <w:rFonts w:ascii="Arial" w:cs="Arial" w:eastAsia="Arial" w:hAnsi="Arial"/>
                <w:sz w:val="13"/>
                <w:szCs w:val="13"/>
                <w:color w:val="auto"/>
              </w:rPr>
              <w:t>Loans delinquent 60-89</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140"/>
              <w:spacing w:after="0"/>
              <w:rPr>
                <w:sz w:val="20"/>
                <w:szCs w:val="20"/>
                <w:color w:val="auto"/>
              </w:rPr>
            </w:pPr>
            <w:r>
              <w:rPr>
                <w:rFonts w:ascii="Arial" w:cs="Arial" w:eastAsia="Arial" w:hAnsi="Arial"/>
                <w:sz w:val="13"/>
                <w:szCs w:val="13"/>
                <w:color w:val="auto"/>
              </w:rPr>
              <w:t>days</w:t>
            </w:r>
            <w:r>
              <w:rPr>
                <w:rFonts w:ascii="Arial" w:cs="Arial" w:eastAsia="Arial" w:hAnsi="Arial"/>
                <w:sz w:val="16"/>
                <w:szCs w:val="16"/>
                <w:color w:val="auto"/>
                <w:vertAlign w:val="superscript"/>
              </w:rPr>
              <w:t>(3)</w:t>
            </w:r>
          </w:p>
        </w:tc>
        <w:tc>
          <w:tcPr>
            <w:tcW w:w="140" w:type="dxa"/>
            <w:vAlign w:val="bottom"/>
          </w:tcPr>
          <w:p>
            <w:pPr>
              <w:spacing w:after="0"/>
              <w:rPr>
                <w:sz w:val="16"/>
                <w:szCs w:val="16"/>
                <w:color w:val="auto"/>
              </w:rPr>
            </w:pPr>
          </w:p>
        </w:tc>
        <w:tc>
          <w:tcPr>
            <w:tcW w:w="800" w:type="dxa"/>
            <w:vAlign w:val="bottom"/>
          </w:tcPr>
          <w:p>
            <w:pPr>
              <w:jc w:val="right"/>
              <w:ind w:right="157"/>
              <w:spacing w:after="0"/>
              <w:rPr>
                <w:sz w:val="20"/>
                <w:szCs w:val="20"/>
                <w:color w:val="auto"/>
              </w:rPr>
            </w:pPr>
            <w:r>
              <w:rPr>
                <w:rFonts w:ascii="Arial" w:cs="Arial" w:eastAsia="Arial" w:hAnsi="Arial"/>
                <w:sz w:val="13"/>
                <w:szCs w:val="13"/>
                <w:color w:val="auto"/>
              </w:rPr>
              <w:t>3,973</w:t>
            </w:r>
          </w:p>
        </w:tc>
        <w:tc>
          <w:tcPr>
            <w:tcW w:w="180" w:type="dxa"/>
            <w:vAlign w:val="bottom"/>
          </w:tcPr>
          <w:p>
            <w:pPr>
              <w:spacing w:after="0"/>
              <w:rPr>
                <w:sz w:val="16"/>
                <w:szCs w:val="16"/>
                <w:color w:val="auto"/>
              </w:rPr>
            </w:pPr>
          </w:p>
        </w:tc>
        <w:tc>
          <w:tcPr>
            <w:tcW w:w="840" w:type="dxa"/>
            <w:vAlign w:val="bottom"/>
          </w:tcPr>
          <w:p>
            <w:pPr>
              <w:jc w:val="right"/>
              <w:ind w:right="177"/>
              <w:spacing w:after="0"/>
              <w:rPr>
                <w:sz w:val="20"/>
                <w:szCs w:val="20"/>
                <w:color w:val="auto"/>
              </w:rPr>
            </w:pPr>
            <w:r>
              <w:rPr>
                <w:rFonts w:ascii="Arial" w:cs="Arial" w:eastAsia="Arial" w:hAnsi="Arial"/>
                <w:sz w:val="13"/>
                <w:szCs w:val="13"/>
                <w:color w:val="auto"/>
              </w:rPr>
              <w:t>15,239</w:t>
            </w:r>
          </w:p>
        </w:tc>
        <w:tc>
          <w:tcPr>
            <w:tcW w:w="160" w:type="dxa"/>
            <w:vAlign w:val="bottom"/>
          </w:tcPr>
          <w:p>
            <w:pPr>
              <w:spacing w:after="0"/>
              <w:rPr>
                <w:sz w:val="16"/>
                <w:szCs w:val="16"/>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23,359</w:t>
            </w:r>
          </w:p>
        </w:tc>
        <w:tc>
          <w:tcPr>
            <w:tcW w:w="180" w:type="dxa"/>
            <w:vAlign w:val="bottom"/>
          </w:tcPr>
          <w:p>
            <w:pPr>
              <w:spacing w:after="0"/>
              <w:rPr>
                <w:sz w:val="16"/>
                <w:szCs w:val="16"/>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18,365</w:t>
            </w:r>
          </w:p>
        </w:tc>
        <w:tc>
          <w:tcPr>
            <w:tcW w:w="180" w:type="dxa"/>
            <w:vAlign w:val="bottom"/>
          </w:tcPr>
          <w:p>
            <w:pPr>
              <w:spacing w:after="0"/>
              <w:rPr>
                <w:sz w:val="16"/>
                <w:szCs w:val="16"/>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color w:val="auto"/>
              </w:rPr>
              <w:t>10,921</w:t>
            </w:r>
          </w:p>
        </w:tc>
        <w:tc>
          <w:tcPr>
            <w:tcW w:w="180" w:type="dxa"/>
            <w:vAlign w:val="bottom"/>
          </w:tcPr>
          <w:p>
            <w:pPr>
              <w:spacing w:after="0"/>
              <w:rPr>
                <w:sz w:val="16"/>
                <w:szCs w:val="16"/>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color w:val="auto"/>
              </w:rPr>
              <w:t>68,878</w:t>
            </w:r>
          </w:p>
        </w:tc>
        <w:tc>
          <w:tcPr>
            <w:tcW w:w="120" w:type="dxa"/>
            <w:vAlign w:val="bottom"/>
          </w:tcPr>
          <w:p>
            <w:pPr>
              <w:spacing w:after="0"/>
              <w:rPr>
                <w:sz w:val="16"/>
                <w:szCs w:val="16"/>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140,735</w:t>
            </w:r>
          </w:p>
        </w:tc>
        <w:tc>
          <w:tcPr>
            <w:tcW w:w="0" w:type="dxa"/>
            <w:vAlign w:val="bottom"/>
          </w:tcPr>
          <w:p>
            <w:pPr>
              <w:spacing w:after="0"/>
              <w:rPr>
                <w:sz w:val="1"/>
                <w:szCs w:val="1"/>
                <w:color w:val="auto"/>
              </w:rPr>
            </w:pPr>
          </w:p>
        </w:tc>
      </w:tr>
      <w:tr>
        <w:trPr>
          <w:trHeight w:val="121"/>
        </w:trPr>
        <w:tc>
          <w:tcPr>
            <w:tcW w:w="1920" w:type="dxa"/>
            <w:vAlign w:val="bottom"/>
            <w:shd w:val="clear" w:color="auto" w:fill="EDEDEE"/>
          </w:tcPr>
          <w:p>
            <w:pPr>
              <w:ind w:left="140"/>
              <w:spacing w:after="0" w:line="122" w:lineRule="exact"/>
              <w:rPr>
                <w:sz w:val="20"/>
                <w:szCs w:val="20"/>
                <w:color w:val="auto"/>
              </w:rPr>
            </w:pPr>
            <w:r>
              <w:rPr>
                <w:rFonts w:ascii="Arial" w:cs="Arial" w:eastAsia="Arial" w:hAnsi="Arial"/>
                <w:sz w:val="13"/>
                <w:szCs w:val="13"/>
                <w:color w:val="auto"/>
              </w:rPr>
              <w:t>Loans 90 days or greater</w:t>
            </w:r>
          </w:p>
        </w:tc>
        <w:tc>
          <w:tcPr>
            <w:tcW w:w="140" w:type="dxa"/>
            <w:vAlign w:val="bottom"/>
            <w:shd w:val="clear" w:color="auto" w:fill="EDEDEE"/>
          </w:tcPr>
          <w:p>
            <w:pPr>
              <w:spacing w:after="0"/>
              <w:rPr>
                <w:sz w:val="10"/>
                <w:szCs w:val="10"/>
                <w:color w:val="auto"/>
              </w:rPr>
            </w:pPr>
          </w:p>
        </w:tc>
        <w:tc>
          <w:tcPr>
            <w:tcW w:w="80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40" w:type="dxa"/>
            <w:vAlign w:val="bottom"/>
            <w:shd w:val="clear" w:color="auto" w:fill="EDEDEE"/>
          </w:tcPr>
          <w:p>
            <w:pPr>
              <w:spacing w:after="0"/>
              <w:rPr>
                <w:sz w:val="10"/>
                <w:szCs w:val="10"/>
                <w:color w:val="auto"/>
              </w:rPr>
            </w:pPr>
          </w:p>
        </w:tc>
        <w:tc>
          <w:tcPr>
            <w:tcW w:w="16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900" w:type="dxa"/>
            <w:vAlign w:val="bottom"/>
            <w:shd w:val="clear" w:color="auto" w:fill="EDEDEE"/>
          </w:tcPr>
          <w:p>
            <w:pPr>
              <w:spacing w:after="0"/>
              <w:rPr>
                <w:sz w:val="10"/>
                <w:szCs w:val="10"/>
                <w:color w:val="auto"/>
              </w:rPr>
            </w:pPr>
          </w:p>
        </w:tc>
        <w:tc>
          <w:tcPr>
            <w:tcW w:w="120" w:type="dxa"/>
            <w:vAlign w:val="bottom"/>
            <w:shd w:val="clear" w:color="auto" w:fill="EDEDEE"/>
          </w:tcPr>
          <w:p>
            <w:pPr>
              <w:spacing w:after="0"/>
              <w:rPr>
                <w:sz w:val="10"/>
                <w:szCs w:val="10"/>
                <w:color w:val="auto"/>
              </w:rPr>
            </w:pPr>
          </w:p>
        </w:tc>
        <w:tc>
          <w:tcPr>
            <w:tcW w:w="860" w:type="dxa"/>
            <w:vAlign w:val="bottom"/>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EDEDEE"/>
          </w:tcPr>
          <w:p>
            <w:pPr>
              <w:ind w:left="140"/>
              <w:spacing w:after="0"/>
              <w:rPr>
                <w:sz w:val="20"/>
                <w:szCs w:val="20"/>
                <w:color w:val="auto"/>
              </w:rPr>
            </w:pPr>
            <w:r>
              <w:rPr>
                <w:rFonts w:ascii="Arial" w:cs="Arial" w:eastAsia="Arial" w:hAnsi="Arial"/>
                <w:sz w:val="13"/>
                <w:szCs w:val="13"/>
                <w:color w:val="auto"/>
              </w:rPr>
              <w:t>past due</w:t>
            </w:r>
            <w:r>
              <w:rPr>
                <w:rFonts w:ascii="Arial" w:cs="Arial" w:eastAsia="Arial" w:hAnsi="Arial"/>
                <w:sz w:val="16"/>
                <w:szCs w:val="16"/>
                <w:color w:val="auto"/>
                <w:vertAlign w:val="superscript"/>
              </w:rPr>
              <w:t>(3)</w:t>
            </w:r>
          </w:p>
        </w:tc>
        <w:tc>
          <w:tcPr>
            <w:tcW w:w="140" w:type="dxa"/>
            <w:vAlign w:val="bottom"/>
            <w:tcBorders>
              <w:bottom w:val="single" w:sz="8" w:color="auto"/>
            </w:tcBorders>
            <w:shd w:val="clear" w:color="auto" w:fill="EDEDEE"/>
          </w:tcPr>
          <w:p>
            <w:pPr>
              <w:spacing w:after="0"/>
              <w:rPr>
                <w:sz w:val="16"/>
                <w:szCs w:val="16"/>
                <w:color w:val="auto"/>
              </w:rPr>
            </w:pPr>
          </w:p>
        </w:tc>
        <w:tc>
          <w:tcPr>
            <w:tcW w:w="800" w:type="dxa"/>
            <w:vAlign w:val="bottom"/>
            <w:tcBorders>
              <w:bottom w:val="single" w:sz="8" w:color="auto"/>
            </w:tcBorders>
            <w:shd w:val="clear" w:color="auto" w:fill="EDEDEE"/>
          </w:tcPr>
          <w:p>
            <w:pPr>
              <w:jc w:val="right"/>
              <w:ind w:right="157"/>
              <w:spacing w:after="0"/>
              <w:rPr>
                <w:sz w:val="20"/>
                <w:szCs w:val="20"/>
                <w:color w:val="auto"/>
              </w:rPr>
            </w:pPr>
            <w:r>
              <w:rPr>
                <w:rFonts w:ascii="Arial" w:cs="Arial" w:eastAsia="Arial" w:hAnsi="Arial"/>
                <w:sz w:val="13"/>
                <w:szCs w:val="13"/>
                <w:color w:val="auto"/>
              </w:rPr>
              <w:t>1,683</w:t>
            </w:r>
          </w:p>
        </w:tc>
        <w:tc>
          <w:tcPr>
            <w:tcW w:w="180" w:type="dxa"/>
            <w:vAlign w:val="bottom"/>
            <w:tcBorders>
              <w:bottom w:val="single" w:sz="8" w:color="auto"/>
            </w:tcBorders>
            <w:shd w:val="clear" w:color="auto" w:fill="EDEDEE"/>
          </w:tcPr>
          <w:p>
            <w:pPr>
              <w:spacing w:after="0"/>
              <w:rPr>
                <w:sz w:val="16"/>
                <w:szCs w:val="16"/>
                <w:color w:val="auto"/>
              </w:rPr>
            </w:pPr>
          </w:p>
        </w:tc>
        <w:tc>
          <w:tcPr>
            <w:tcW w:w="84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14,481</w:t>
            </w:r>
          </w:p>
        </w:tc>
        <w:tc>
          <w:tcPr>
            <w:tcW w:w="160" w:type="dxa"/>
            <w:vAlign w:val="bottom"/>
            <w:tcBorders>
              <w:bottom w:val="single" w:sz="8" w:color="auto"/>
            </w:tcBorders>
            <w:shd w:val="clear" w:color="auto" w:fill="EDEDEE"/>
          </w:tcPr>
          <w:p>
            <w:pPr>
              <w:spacing w:after="0"/>
              <w:rPr>
                <w:sz w:val="16"/>
                <w:szCs w:val="16"/>
                <w:color w:val="auto"/>
              </w:rPr>
            </w:pPr>
          </w:p>
        </w:tc>
        <w:tc>
          <w:tcPr>
            <w:tcW w:w="820" w:type="dxa"/>
            <w:vAlign w:val="bottom"/>
            <w:tcBorders>
              <w:bottom w:val="single" w:sz="8" w:color="auto"/>
            </w:tcBorders>
            <w:shd w:val="clear" w:color="auto" w:fill="EDEDEE"/>
          </w:tcPr>
          <w:p>
            <w:pPr>
              <w:jc w:val="right"/>
              <w:ind w:right="157"/>
              <w:spacing w:after="0"/>
              <w:rPr>
                <w:sz w:val="20"/>
                <w:szCs w:val="20"/>
                <w:color w:val="auto"/>
              </w:rPr>
            </w:pPr>
            <w:r>
              <w:rPr>
                <w:rFonts w:ascii="Arial" w:cs="Arial" w:eastAsia="Arial" w:hAnsi="Arial"/>
                <w:sz w:val="13"/>
                <w:szCs w:val="13"/>
                <w:color w:val="auto"/>
              </w:rPr>
              <w:t>20,147</w:t>
            </w:r>
          </w:p>
        </w:tc>
        <w:tc>
          <w:tcPr>
            <w:tcW w:w="180" w:type="dxa"/>
            <w:vAlign w:val="bottom"/>
            <w:tcBorders>
              <w:bottom w:val="single" w:sz="8" w:color="auto"/>
            </w:tcBorders>
            <w:shd w:val="clear" w:color="auto" w:fill="EDEDEE"/>
          </w:tcPr>
          <w:p>
            <w:pPr>
              <w:spacing w:after="0"/>
              <w:rPr>
                <w:sz w:val="16"/>
                <w:szCs w:val="16"/>
                <w:color w:val="auto"/>
              </w:rPr>
            </w:pPr>
          </w:p>
        </w:tc>
        <w:tc>
          <w:tcPr>
            <w:tcW w:w="820" w:type="dxa"/>
            <w:vAlign w:val="bottom"/>
            <w:tcBorders>
              <w:bottom w:val="single" w:sz="8" w:color="auto"/>
            </w:tcBorders>
            <w:shd w:val="clear" w:color="auto" w:fill="EDEDEE"/>
          </w:tcPr>
          <w:p>
            <w:pPr>
              <w:jc w:val="right"/>
              <w:ind w:right="157"/>
              <w:spacing w:after="0"/>
              <w:rPr>
                <w:sz w:val="20"/>
                <w:szCs w:val="20"/>
                <w:color w:val="auto"/>
              </w:rPr>
            </w:pPr>
            <w:r>
              <w:rPr>
                <w:rFonts w:ascii="Arial" w:cs="Arial" w:eastAsia="Arial" w:hAnsi="Arial"/>
                <w:sz w:val="13"/>
                <w:szCs w:val="13"/>
                <w:color w:val="auto"/>
              </w:rPr>
              <w:t>17,080</w:t>
            </w:r>
          </w:p>
        </w:tc>
        <w:tc>
          <w:tcPr>
            <w:tcW w:w="180" w:type="dxa"/>
            <w:vAlign w:val="bottom"/>
            <w:tcBorders>
              <w:bottom w:val="single" w:sz="8" w:color="auto"/>
            </w:tcBorders>
            <w:shd w:val="clear" w:color="auto" w:fill="EDEDEE"/>
          </w:tcPr>
          <w:p>
            <w:pPr>
              <w:spacing w:after="0"/>
              <w:rPr>
                <w:sz w:val="16"/>
                <w:szCs w:val="16"/>
                <w:color w:val="auto"/>
              </w:rPr>
            </w:pPr>
          </w:p>
        </w:tc>
        <w:tc>
          <w:tcPr>
            <w:tcW w:w="820" w:type="dxa"/>
            <w:vAlign w:val="bottom"/>
            <w:tcBorders>
              <w:bottom w:val="single" w:sz="8" w:color="auto"/>
            </w:tcBorders>
            <w:shd w:val="clear" w:color="auto" w:fill="EDEDEE"/>
          </w:tcPr>
          <w:p>
            <w:pPr>
              <w:jc w:val="right"/>
              <w:ind w:right="157"/>
              <w:spacing w:after="0"/>
              <w:rPr>
                <w:sz w:val="20"/>
                <w:szCs w:val="20"/>
                <w:color w:val="auto"/>
              </w:rPr>
            </w:pPr>
            <w:r>
              <w:rPr>
                <w:rFonts w:ascii="Arial" w:cs="Arial" w:eastAsia="Arial" w:hAnsi="Arial"/>
                <w:sz w:val="13"/>
                <w:szCs w:val="13"/>
                <w:color w:val="auto"/>
              </w:rPr>
              <w:t>12,632</w:t>
            </w:r>
          </w:p>
        </w:tc>
        <w:tc>
          <w:tcPr>
            <w:tcW w:w="180" w:type="dxa"/>
            <w:vAlign w:val="bottom"/>
            <w:tcBorders>
              <w:bottom w:val="single" w:sz="8" w:color="auto"/>
            </w:tcBorders>
            <w:shd w:val="clear" w:color="auto" w:fill="EDEDEE"/>
          </w:tcPr>
          <w:p>
            <w:pPr>
              <w:spacing w:after="0"/>
              <w:rPr>
                <w:sz w:val="16"/>
                <w:szCs w:val="16"/>
                <w:color w:val="auto"/>
              </w:rPr>
            </w:pPr>
          </w:p>
        </w:tc>
        <w:tc>
          <w:tcPr>
            <w:tcW w:w="900" w:type="dxa"/>
            <w:vAlign w:val="bottom"/>
            <w:tcBorders>
              <w:bottom w:val="single" w:sz="8" w:color="auto"/>
            </w:tcBorders>
            <w:shd w:val="clear" w:color="auto" w:fill="EDEDEE"/>
          </w:tcPr>
          <w:p>
            <w:pPr>
              <w:jc w:val="right"/>
              <w:ind w:right="237"/>
              <w:spacing w:after="0"/>
              <w:rPr>
                <w:sz w:val="20"/>
                <w:szCs w:val="20"/>
                <w:color w:val="auto"/>
              </w:rPr>
            </w:pPr>
            <w:r>
              <w:rPr>
                <w:rFonts w:ascii="Arial" w:cs="Arial" w:eastAsia="Arial" w:hAnsi="Arial"/>
                <w:sz w:val="13"/>
                <w:szCs w:val="13"/>
                <w:color w:val="auto"/>
              </w:rPr>
              <w:t>75,912</w:t>
            </w:r>
          </w:p>
        </w:tc>
        <w:tc>
          <w:tcPr>
            <w:tcW w:w="120" w:type="dxa"/>
            <w:vAlign w:val="bottom"/>
            <w:tcBorders>
              <w:bottom w:val="single" w:sz="8" w:color="auto"/>
            </w:tcBorders>
            <w:shd w:val="clear" w:color="auto" w:fill="EDEDEE"/>
          </w:tcPr>
          <w:p>
            <w:pPr>
              <w:spacing w:after="0"/>
              <w:rPr>
                <w:sz w:val="16"/>
                <w:szCs w:val="16"/>
                <w:color w:val="auto"/>
              </w:rPr>
            </w:pPr>
          </w:p>
        </w:tc>
        <w:tc>
          <w:tcPr>
            <w:tcW w:w="860" w:type="dxa"/>
            <w:vAlign w:val="bottom"/>
            <w:tcBorders>
              <w:bottom w:val="single" w:sz="8" w:color="auto"/>
            </w:tcBorders>
            <w:shd w:val="clear" w:color="auto" w:fill="EDEDEE"/>
          </w:tcPr>
          <w:p>
            <w:pPr>
              <w:jc w:val="right"/>
              <w:ind w:right="117"/>
              <w:spacing w:after="0"/>
              <w:rPr>
                <w:sz w:val="20"/>
                <w:szCs w:val="20"/>
                <w:color w:val="auto"/>
              </w:rPr>
            </w:pPr>
            <w:r>
              <w:rPr>
                <w:rFonts w:ascii="Arial" w:cs="Arial" w:eastAsia="Arial" w:hAnsi="Arial"/>
                <w:sz w:val="13"/>
                <w:szCs w:val="13"/>
                <w:color w:val="auto"/>
              </w:rPr>
              <w:t>141,935</w:t>
            </w:r>
          </w:p>
        </w:tc>
        <w:tc>
          <w:tcPr>
            <w:tcW w:w="0" w:type="dxa"/>
            <w:vAlign w:val="bottom"/>
          </w:tcPr>
          <w:p>
            <w:pPr>
              <w:spacing w:after="0"/>
              <w:rPr>
                <w:sz w:val="1"/>
                <w:szCs w:val="1"/>
                <w:color w:val="auto"/>
              </w:rPr>
            </w:pPr>
          </w:p>
        </w:tc>
      </w:tr>
      <w:tr>
        <w:trPr>
          <w:trHeight w:val="102"/>
        </w:trPr>
        <w:tc>
          <w:tcPr>
            <w:tcW w:w="1920" w:type="dxa"/>
            <w:vAlign w:val="bottom"/>
          </w:tcPr>
          <w:p>
            <w:pPr>
              <w:ind w:left="20"/>
              <w:spacing w:after="0" w:line="102" w:lineRule="exact"/>
              <w:rPr>
                <w:sz w:val="20"/>
                <w:szCs w:val="20"/>
                <w:color w:val="auto"/>
              </w:rPr>
            </w:pPr>
            <w:r>
              <w:rPr>
                <w:rFonts w:ascii="Arial" w:cs="Arial" w:eastAsia="Arial" w:hAnsi="Arial"/>
                <w:sz w:val="10"/>
                <w:szCs w:val="10"/>
                <w:color w:val="auto"/>
              </w:rPr>
              <w:t>Total Private Education Loans</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920" w:type="dxa"/>
            <w:vAlign w:val="bottom"/>
            <w:tcBorders>
              <w:bottom w:val="single" w:sz="8" w:color="EDEDEE"/>
            </w:tcBorders>
          </w:tcPr>
          <w:p>
            <w:pPr>
              <w:ind w:left="20"/>
              <w:spacing w:after="0"/>
              <w:rPr>
                <w:sz w:val="20"/>
                <w:szCs w:val="20"/>
                <w:color w:val="auto"/>
              </w:rPr>
            </w:pPr>
            <w:r>
              <w:rPr>
                <w:rFonts w:ascii="Arial" w:cs="Arial" w:eastAsia="Arial" w:hAnsi="Arial"/>
                <w:sz w:val="13"/>
                <w:szCs w:val="13"/>
                <w:color w:val="auto"/>
              </w:rPr>
              <w:t>in repayment</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96"/>
              </w:rPr>
              <w:t>2,840,129</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3,379,077</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2,348,504</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1,661,502</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1,158,044</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4,719,495</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16,106,751</w:t>
            </w:r>
          </w:p>
        </w:tc>
        <w:tc>
          <w:tcPr>
            <w:tcW w:w="0" w:type="dxa"/>
            <w:vAlign w:val="bottom"/>
          </w:tcPr>
          <w:p>
            <w:pPr>
              <w:spacing w:after="0"/>
              <w:rPr>
                <w:sz w:val="1"/>
                <w:szCs w:val="1"/>
                <w:color w:val="auto"/>
              </w:rPr>
            </w:pPr>
          </w:p>
        </w:tc>
      </w:tr>
      <w:tr>
        <w:trPr>
          <w:trHeight w:val="108"/>
        </w:trPr>
        <w:tc>
          <w:tcPr>
            <w:tcW w:w="1920" w:type="dxa"/>
            <w:vAlign w:val="bottom"/>
            <w:shd w:val="clear" w:color="auto" w:fill="EDEDEE"/>
          </w:tcPr>
          <w:p>
            <w:pPr>
              <w:ind w:left="20"/>
              <w:spacing w:after="0" w:line="108" w:lineRule="exact"/>
              <w:rPr>
                <w:sz w:val="20"/>
                <w:szCs w:val="20"/>
                <w:color w:val="auto"/>
              </w:rPr>
            </w:pPr>
            <w:r>
              <w:rPr>
                <w:rFonts w:ascii="Arial" w:cs="Arial" w:eastAsia="Arial" w:hAnsi="Arial"/>
                <w:sz w:val="12"/>
                <w:szCs w:val="12"/>
                <w:color w:val="auto"/>
              </w:rPr>
              <w:t>Total Private Education Loans,</w:t>
            </w:r>
          </w:p>
        </w:tc>
        <w:tc>
          <w:tcPr>
            <w:tcW w:w="140" w:type="dxa"/>
            <w:vAlign w:val="bottom"/>
            <w:shd w:val="clear" w:color="auto" w:fill="EDEDEE"/>
          </w:tcPr>
          <w:p>
            <w:pPr>
              <w:spacing w:after="0"/>
              <w:rPr>
                <w:sz w:val="9"/>
                <w:szCs w:val="9"/>
                <w:color w:val="auto"/>
              </w:rPr>
            </w:pPr>
          </w:p>
        </w:tc>
        <w:tc>
          <w:tcPr>
            <w:tcW w:w="800" w:type="dxa"/>
            <w:vAlign w:val="bottom"/>
            <w:shd w:val="clear" w:color="auto" w:fill="EDEDEE"/>
          </w:tcPr>
          <w:p>
            <w:pPr>
              <w:spacing w:after="0"/>
              <w:rPr>
                <w:sz w:val="9"/>
                <w:szCs w:val="9"/>
                <w:color w:val="auto"/>
              </w:rPr>
            </w:pPr>
          </w:p>
        </w:tc>
        <w:tc>
          <w:tcPr>
            <w:tcW w:w="180" w:type="dxa"/>
            <w:vAlign w:val="bottom"/>
            <w:shd w:val="clear" w:color="auto" w:fill="EDEDEE"/>
          </w:tcPr>
          <w:p>
            <w:pPr>
              <w:spacing w:after="0"/>
              <w:rPr>
                <w:sz w:val="9"/>
                <w:szCs w:val="9"/>
                <w:color w:val="auto"/>
              </w:rPr>
            </w:pPr>
          </w:p>
        </w:tc>
        <w:tc>
          <w:tcPr>
            <w:tcW w:w="840" w:type="dxa"/>
            <w:vAlign w:val="bottom"/>
            <w:shd w:val="clear" w:color="auto" w:fill="EDEDEE"/>
          </w:tcPr>
          <w:p>
            <w:pPr>
              <w:spacing w:after="0"/>
              <w:rPr>
                <w:sz w:val="9"/>
                <w:szCs w:val="9"/>
                <w:color w:val="auto"/>
              </w:rPr>
            </w:pPr>
          </w:p>
        </w:tc>
        <w:tc>
          <w:tcPr>
            <w:tcW w:w="160" w:type="dxa"/>
            <w:vAlign w:val="bottom"/>
            <w:shd w:val="clear" w:color="auto" w:fill="EDEDEE"/>
          </w:tcPr>
          <w:p>
            <w:pPr>
              <w:spacing w:after="0"/>
              <w:rPr>
                <w:sz w:val="9"/>
                <w:szCs w:val="9"/>
                <w:color w:val="auto"/>
              </w:rPr>
            </w:pPr>
          </w:p>
        </w:tc>
        <w:tc>
          <w:tcPr>
            <w:tcW w:w="820" w:type="dxa"/>
            <w:vAlign w:val="bottom"/>
            <w:shd w:val="clear" w:color="auto" w:fill="EDEDEE"/>
          </w:tcPr>
          <w:p>
            <w:pPr>
              <w:spacing w:after="0"/>
              <w:rPr>
                <w:sz w:val="9"/>
                <w:szCs w:val="9"/>
                <w:color w:val="auto"/>
              </w:rPr>
            </w:pPr>
          </w:p>
        </w:tc>
        <w:tc>
          <w:tcPr>
            <w:tcW w:w="180" w:type="dxa"/>
            <w:vAlign w:val="bottom"/>
            <w:shd w:val="clear" w:color="auto" w:fill="EDEDEE"/>
          </w:tcPr>
          <w:p>
            <w:pPr>
              <w:spacing w:after="0"/>
              <w:rPr>
                <w:sz w:val="9"/>
                <w:szCs w:val="9"/>
                <w:color w:val="auto"/>
              </w:rPr>
            </w:pPr>
          </w:p>
        </w:tc>
        <w:tc>
          <w:tcPr>
            <w:tcW w:w="820" w:type="dxa"/>
            <w:vAlign w:val="bottom"/>
            <w:shd w:val="clear" w:color="auto" w:fill="EDEDEE"/>
          </w:tcPr>
          <w:p>
            <w:pPr>
              <w:spacing w:after="0"/>
              <w:rPr>
                <w:sz w:val="9"/>
                <w:szCs w:val="9"/>
                <w:color w:val="auto"/>
              </w:rPr>
            </w:pPr>
          </w:p>
        </w:tc>
        <w:tc>
          <w:tcPr>
            <w:tcW w:w="180" w:type="dxa"/>
            <w:vAlign w:val="bottom"/>
            <w:shd w:val="clear" w:color="auto" w:fill="EDEDEE"/>
          </w:tcPr>
          <w:p>
            <w:pPr>
              <w:spacing w:after="0"/>
              <w:rPr>
                <w:sz w:val="9"/>
                <w:szCs w:val="9"/>
                <w:color w:val="auto"/>
              </w:rPr>
            </w:pPr>
          </w:p>
        </w:tc>
        <w:tc>
          <w:tcPr>
            <w:tcW w:w="820" w:type="dxa"/>
            <w:vAlign w:val="bottom"/>
            <w:shd w:val="clear" w:color="auto" w:fill="EDEDEE"/>
          </w:tcPr>
          <w:p>
            <w:pPr>
              <w:spacing w:after="0"/>
              <w:rPr>
                <w:sz w:val="9"/>
                <w:szCs w:val="9"/>
                <w:color w:val="auto"/>
              </w:rPr>
            </w:pPr>
          </w:p>
        </w:tc>
        <w:tc>
          <w:tcPr>
            <w:tcW w:w="180" w:type="dxa"/>
            <w:vAlign w:val="bottom"/>
            <w:shd w:val="clear" w:color="auto" w:fill="EDEDEE"/>
          </w:tcPr>
          <w:p>
            <w:pPr>
              <w:spacing w:after="0"/>
              <w:rPr>
                <w:sz w:val="9"/>
                <w:szCs w:val="9"/>
                <w:color w:val="auto"/>
              </w:rPr>
            </w:pPr>
          </w:p>
        </w:tc>
        <w:tc>
          <w:tcPr>
            <w:tcW w:w="900" w:type="dxa"/>
            <w:vAlign w:val="bottom"/>
            <w:shd w:val="clear" w:color="auto" w:fill="EDEDEE"/>
          </w:tcPr>
          <w:p>
            <w:pPr>
              <w:spacing w:after="0"/>
              <w:rPr>
                <w:sz w:val="9"/>
                <w:szCs w:val="9"/>
                <w:color w:val="auto"/>
              </w:rPr>
            </w:pPr>
          </w:p>
        </w:tc>
        <w:tc>
          <w:tcPr>
            <w:tcW w:w="120" w:type="dxa"/>
            <w:vAlign w:val="bottom"/>
            <w:shd w:val="clear" w:color="auto" w:fill="EDEDEE"/>
          </w:tcPr>
          <w:p>
            <w:pPr>
              <w:spacing w:after="0"/>
              <w:rPr>
                <w:sz w:val="9"/>
                <w:szCs w:val="9"/>
                <w:color w:val="auto"/>
              </w:rPr>
            </w:pPr>
          </w:p>
        </w:tc>
        <w:tc>
          <w:tcPr>
            <w:tcW w:w="860" w:type="dxa"/>
            <w:vAlign w:val="bottom"/>
            <w:shd w:val="clear" w:color="auto" w:fill="EDEDE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gross</w:t>
            </w:r>
          </w:p>
        </w:tc>
        <w:tc>
          <w:tcPr>
            <w:tcW w:w="140" w:type="dxa"/>
            <w:vAlign w:val="bottom"/>
            <w:shd w:val="clear" w:color="auto" w:fill="EDEDEE"/>
          </w:tcPr>
          <w:p>
            <w:pPr>
              <w:spacing w:after="0"/>
              <w:rPr>
                <w:sz w:val="16"/>
                <w:szCs w:val="16"/>
                <w:color w:val="auto"/>
              </w:rPr>
            </w:pPr>
          </w:p>
        </w:tc>
        <w:tc>
          <w:tcPr>
            <w:tcW w:w="80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w w:val="96"/>
              </w:rPr>
              <w:t>5,024,592</w:t>
            </w:r>
          </w:p>
        </w:tc>
        <w:tc>
          <w:tcPr>
            <w:tcW w:w="180" w:type="dxa"/>
            <w:vAlign w:val="bottom"/>
            <w:shd w:val="clear" w:color="auto" w:fill="EDEDEE"/>
          </w:tcPr>
          <w:p>
            <w:pPr>
              <w:spacing w:after="0"/>
              <w:rPr>
                <w:sz w:val="16"/>
                <w:szCs w:val="16"/>
                <w:color w:val="auto"/>
              </w:rPr>
            </w:pPr>
          </w:p>
        </w:tc>
        <w:tc>
          <w:tcPr>
            <w:tcW w:w="8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5,321,510</w:t>
            </w:r>
          </w:p>
        </w:tc>
        <w:tc>
          <w:tcPr>
            <w:tcW w:w="160" w:type="dxa"/>
            <w:vAlign w:val="bottom"/>
            <w:shd w:val="clear" w:color="auto" w:fill="EDEDEE"/>
          </w:tcPr>
          <w:p>
            <w:pPr>
              <w:spacing w:after="0"/>
              <w:rPr>
                <w:sz w:val="16"/>
                <w:szCs w:val="16"/>
                <w:color w:val="auto"/>
              </w:rPr>
            </w:pP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3,185,247</w:t>
            </w:r>
          </w:p>
        </w:tc>
        <w:tc>
          <w:tcPr>
            <w:tcW w:w="180" w:type="dxa"/>
            <w:vAlign w:val="bottom"/>
            <w:shd w:val="clear" w:color="auto" w:fill="EDEDEE"/>
          </w:tcPr>
          <w:p>
            <w:pPr>
              <w:spacing w:after="0"/>
              <w:rPr>
                <w:sz w:val="16"/>
                <w:szCs w:val="16"/>
                <w:color w:val="auto"/>
              </w:rPr>
            </w:pP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2,069,436</w:t>
            </w:r>
          </w:p>
        </w:tc>
        <w:tc>
          <w:tcPr>
            <w:tcW w:w="180" w:type="dxa"/>
            <w:vAlign w:val="bottom"/>
            <w:shd w:val="clear" w:color="auto" w:fill="EDEDEE"/>
          </w:tcPr>
          <w:p>
            <w:pPr>
              <w:spacing w:after="0"/>
              <w:rPr>
                <w:sz w:val="16"/>
                <w:szCs w:val="16"/>
                <w:color w:val="auto"/>
              </w:rPr>
            </w:pP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1,373,996</w:t>
            </w:r>
          </w:p>
        </w:tc>
        <w:tc>
          <w:tcPr>
            <w:tcW w:w="180" w:type="dxa"/>
            <w:vAlign w:val="bottom"/>
            <w:shd w:val="clear" w:color="auto" w:fill="EDEDEE"/>
          </w:tcPr>
          <w:p>
            <w:pPr>
              <w:spacing w:after="0"/>
              <w:rPr>
                <w:sz w:val="16"/>
                <w:szCs w:val="16"/>
                <w:color w:val="auto"/>
              </w:rPr>
            </w:pPr>
          </w:p>
        </w:tc>
        <w:tc>
          <w:tcPr>
            <w:tcW w:w="900" w:type="dxa"/>
            <w:vAlign w:val="bottom"/>
            <w:shd w:val="clear" w:color="auto" w:fill="EDEDEE"/>
          </w:tcPr>
          <w:p>
            <w:pPr>
              <w:jc w:val="right"/>
              <w:ind w:right="237"/>
              <w:spacing w:after="0"/>
              <w:rPr>
                <w:sz w:val="20"/>
                <w:szCs w:val="20"/>
                <w:color w:val="auto"/>
              </w:rPr>
            </w:pPr>
            <w:r>
              <w:rPr>
                <w:rFonts w:ascii="Arial" w:cs="Arial" w:eastAsia="Arial" w:hAnsi="Arial"/>
                <w:sz w:val="13"/>
                <w:szCs w:val="13"/>
                <w:color w:val="auto"/>
              </w:rPr>
              <w:t>5,260,227</w:t>
            </w:r>
          </w:p>
        </w:tc>
        <w:tc>
          <w:tcPr>
            <w:tcW w:w="120" w:type="dxa"/>
            <w:vAlign w:val="bottom"/>
            <w:shd w:val="clear" w:color="auto" w:fill="EDEDEE"/>
          </w:tcPr>
          <w:p>
            <w:pPr>
              <w:spacing w:after="0"/>
              <w:rPr>
                <w:sz w:val="16"/>
                <w:szCs w:val="16"/>
                <w:color w:val="auto"/>
              </w:rPr>
            </w:pPr>
          </w:p>
        </w:tc>
        <w:tc>
          <w:tcPr>
            <w:tcW w:w="86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22,235,008</w:t>
            </w:r>
          </w:p>
        </w:tc>
        <w:tc>
          <w:tcPr>
            <w:tcW w:w="0" w:type="dxa"/>
            <w:vAlign w:val="bottom"/>
          </w:tcPr>
          <w:p>
            <w:pPr>
              <w:spacing w:after="0"/>
              <w:rPr>
                <w:sz w:val="1"/>
                <w:szCs w:val="1"/>
                <w:color w:val="auto"/>
              </w:rPr>
            </w:pPr>
          </w:p>
        </w:tc>
      </w:tr>
      <w:tr>
        <w:trPr>
          <w:trHeight w:val="122"/>
        </w:trPr>
        <w:tc>
          <w:tcPr>
            <w:tcW w:w="1920" w:type="dxa"/>
            <w:vAlign w:val="bottom"/>
          </w:tcPr>
          <w:p>
            <w:pPr>
              <w:ind w:left="20"/>
              <w:spacing w:after="0" w:line="122" w:lineRule="exact"/>
              <w:rPr>
                <w:sz w:val="20"/>
                <w:szCs w:val="20"/>
                <w:color w:val="auto"/>
              </w:rPr>
            </w:pPr>
            <w:r>
              <w:rPr>
                <w:rFonts w:ascii="Arial" w:cs="Arial" w:eastAsia="Arial" w:hAnsi="Arial"/>
                <w:sz w:val="13"/>
                <w:szCs w:val="13"/>
                <w:color w:val="auto"/>
              </w:rPr>
              <w:t>Private Education Loans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20" w:type="dxa"/>
            <w:vAlign w:val="bottom"/>
          </w:tcPr>
          <w:p>
            <w:pPr>
              <w:ind w:left="20"/>
              <w:spacing w:after="0" w:line="131" w:lineRule="exact"/>
              <w:rPr>
                <w:sz w:val="20"/>
                <w:szCs w:val="20"/>
                <w:color w:val="auto"/>
              </w:rPr>
            </w:pPr>
            <w:r>
              <w:rPr>
                <w:rFonts w:ascii="Arial" w:cs="Arial" w:eastAsia="Arial" w:hAnsi="Arial"/>
                <w:sz w:val="13"/>
                <w:szCs w:val="13"/>
                <w:color w:val="auto"/>
              </w:rPr>
              <w:t>deferred origination costs and</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920" w:type="dxa"/>
            <w:vAlign w:val="bottom"/>
          </w:tcPr>
          <w:p>
            <w:pPr>
              <w:ind w:left="20"/>
              <w:spacing w:after="0" w:line="126" w:lineRule="exact"/>
              <w:rPr>
                <w:sz w:val="20"/>
                <w:szCs w:val="20"/>
                <w:color w:val="auto"/>
              </w:rPr>
            </w:pPr>
            <w:r>
              <w:rPr>
                <w:rFonts w:ascii="Arial" w:cs="Arial" w:eastAsia="Arial" w:hAnsi="Arial"/>
                <w:sz w:val="13"/>
                <w:szCs w:val="13"/>
                <w:color w:val="auto"/>
              </w:rPr>
              <w:t>unamortized</w:t>
            </w:r>
          </w:p>
        </w:tc>
        <w:tc>
          <w:tcPr>
            <w:tcW w:w="140" w:type="dxa"/>
            <w:vAlign w:val="bottom"/>
          </w:tcPr>
          <w:p>
            <w:pPr>
              <w:spacing w:after="0"/>
              <w:rPr>
                <w:sz w:val="10"/>
                <w:szCs w:val="10"/>
                <w:color w:val="auto"/>
              </w:rPr>
            </w:pPr>
          </w:p>
        </w:tc>
        <w:tc>
          <w:tcPr>
            <w:tcW w:w="800" w:type="dxa"/>
            <w:vAlign w:val="bottom"/>
            <w:vMerge w:val="restart"/>
          </w:tcPr>
          <w:p>
            <w:pPr>
              <w:jc w:val="right"/>
              <w:ind w:right="157"/>
              <w:spacing w:after="0"/>
              <w:rPr>
                <w:sz w:val="20"/>
                <w:szCs w:val="20"/>
                <w:color w:val="auto"/>
              </w:rPr>
            </w:pPr>
            <w:r>
              <w:rPr>
                <w:rFonts w:ascii="Arial" w:cs="Arial" w:eastAsia="Arial" w:hAnsi="Arial"/>
                <w:sz w:val="13"/>
                <w:szCs w:val="13"/>
                <w:color w:val="auto"/>
              </w:rPr>
              <w:t>47,659</w:t>
            </w:r>
          </w:p>
        </w:tc>
        <w:tc>
          <w:tcPr>
            <w:tcW w:w="180" w:type="dxa"/>
            <w:vAlign w:val="bottom"/>
          </w:tcPr>
          <w:p>
            <w:pPr>
              <w:spacing w:after="0"/>
              <w:rPr>
                <w:sz w:val="10"/>
                <w:szCs w:val="10"/>
                <w:color w:val="auto"/>
              </w:rPr>
            </w:pPr>
          </w:p>
        </w:tc>
        <w:tc>
          <w:tcPr>
            <w:tcW w:w="840" w:type="dxa"/>
            <w:vAlign w:val="bottom"/>
            <w:vMerge w:val="restart"/>
          </w:tcPr>
          <w:p>
            <w:pPr>
              <w:jc w:val="right"/>
              <w:ind w:right="177"/>
              <w:spacing w:after="0"/>
              <w:rPr>
                <w:sz w:val="20"/>
                <w:szCs w:val="20"/>
                <w:color w:val="auto"/>
              </w:rPr>
            </w:pPr>
            <w:r>
              <w:rPr>
                <w:rFonts w:ascii="Arial" w:cs="Arial" w:eastAsia="Arial" w:hAnsi="Arial"/>
                <w:sz w:val="13"/>
                <w:szCs w:val="13"/>
                <w:color w:val="auto"/>
              </w:rPr>
              <w:t>25,599</w:t>
            </w:r>
          </w:p>
        </w:tc>
        <w:tc>
          <w:tcPr>
            <w:tcW w:w="160" w:type="dxa"/>
            <w:vAlign w:val="bottom"/>
          </w:tcPr>
          <w:p>
            <w:pPr>
              <w:spacing w:after="0"/>
              <w:rPr>
                <w:sz w:val="10"/>
                <w:szCs w:val="10"/>
                <w:color w:val="auto"/>
              </w:rPr>
            </w:pPr>
          </w:p>
        </w:tc>
        <w:tc>
          <w:tcPr>
            <w:tcW w:w="820" w:type="dxa"/>
            <w:vAlign w:val="bottom"/>
            <w:vMerge w:val="restart"/>
          </w:tcPr>
          <w:p>
            <w:pPr>
              <w:jc w:val="right"/>
              <w:ind w:right="157"/>
              <w:spacing w:after="0"/>
              <w:rPr>
                <w:sz w:val="20"/>
                <w:szCs w:val="20"/>
                <w:color w:val="auto"/>
              </w:rPr>
            </w:pPr>
            <w:r>
              <w:rPr>
                <w:rFonts w:ascii="Arial" w:cs="Arial" w:eastAsia="Arial" w:hAnsi="Arial"/>
                <w:sz w:val="13"/>
                <w:szCs w:val="13"/>
                <w:color w:val="auto"/>
              </w:rPr>
              <w:t>10,788</w:t>
            </w:r>
          </w:p>
        </w:tc>
        <w:tc>
          <w:tcPr>
            <w:tcW w:w="180" w:type="dxa"/>
            <w:vAlign w:val="bottom"/>
          </w:tcPr>
          <w:p>
            <w:pPr>
              <w:spacing w:after="0"/>
              <w:rPr>
                <w:sz w:val="10"/>
                <w:szCs w:val="10"/>
                <w:color w:val="auto"/>
              </w:rPr>
            </w:pPr>
          </w:p>
        </w:tc>
        <w:tc>
          <w:tcPr>
            <w:tcW w:w="820" w:type="dxa"/>
            <w:vAlign w:val="bottom"/>
            <w:vMerge w:val="restart"/>
          </w:tcPr>
          <w:p>
            <w:pPr>
              <w:jc w:val="right"/>
              <w:ind w:right="157"/>
              <w:spacing w:after="0"/>
              <w:rPr>
                <w:sz w:val="20"/>
                <w:szCs w:val="20"/>
                <w:color w:val="auto"/>
              </w:rPr>
            </w:pPr>
            <w:r>
              <w:rPr>
                <w:rFonts w:ascii="Arial" w:cs="Arial" w:eastAsia="Arial" w:hAnsi="Arial"/>
                <w:sz w:val="13"/>
                <w:szCs w:val="13"/>
                <w:color w:val="auto"/>
              </w:rPr>
              <w:t>6,142</w:t>
            </w:r>
          </w:p>
        </w:tc>
        <w:tc>
          <w:tcPr>
            <w:tcW w:w="180" w:type="dxa"/>
            <w:vAlign w:val="bottom"/>
          </w:tcPr>
          <w:p>
            <w:pPr>
              <w:spacing w:after="0"/>
              <w:rPr>
                <w:sz w:val="10"/>
                <w:szCs w:val="10"/>
                <w:color w:val="auto"/>
              </w:rPr>
            </w:pPr>
          </w:p>
        </w:tc>
        <w:tc>
          <w:tcPr>
            <w:tcW w:w="820" w:type="dxa"/>
            <w:vAlign w:val="bottom"/>
            <w:vMerge w:val="restart"/>
          </w:tcPr>
          <w:p>
            <w:pPr>
              <w:jc w:val="right"/>
              <w:ind w:right="157"/>
              <w:spacing w:after="0"/>
              <w:rPr>
                <w:sz w:val="20"/>
                <w:szCs w:val="20"/>
                <w:color w:val="auto"/>
              </w:rPr>
            </w:pPr>
            <w:r>
              <w:rPr>
                <w:rFonts w:ascii="Arial" w:cs="Arial" w:eastAsia="Arial" w:hAnsi="Arial"/>
                <w:sz w:val="13"/>
                <w:szCs w:val="13"/>
                <w:color w:val="auto"/>
              </w:rPr>
              <w:t>4,057</w:t>
            </w:r>
          </w:p>
        </w:tc>
        <w:tc>
          <w:tcPr>
            <w:tcW w:w="180" w:type="dxa"/>
            <w:vAlign w:val="bottom"/>
          </w:tcPr>
          <w:p>
            <w:pPr>
              <w:spacing w:after="0"/>
              <w:rPr>
                <w:sz w:val="10"/>
                <w:szCs w:val="10"/>
                <w:color w:val="auto"/>
              </w:rPr>
            </w:pPr>
          </w:p>
        </w:tc>
        <w:tc>
          <w:tcPr>
            <w:tcW w:w="900" w:type="dxa"/>
            <w:vAlign w:val="bottom"/>
            <w:vMerge w:val="restart"/>
          </w:tcPr>
          <w:p>
            <w:pPr>
              <w:jc w:val="right"/>
              <w:ind w:right="237"/>
              <w:spacing w:after="0"/>
              <w:rPr>
                <w:sz w:val="20"/>
                <w:szCs w:val="20"/>
                <w:color w:val="auto"/>
              </w:rPr>
            </w:pPr>
            <w:r>
              <w:rPr>
                <w:rFonts w:ascii="Arial" w:cs="Arial" w:eastAsia="Arial" w:hAnsi="Arial"/>
                <w:sz w:val="13"/>
                <w:szCs w:val="13"/>
                <w:color w:val="auto"/>
              </w:rPr>
              <w:t>8,825</w:t>
            </w:r>
          </w:p>
        </w:tc>
        <w:tc>
          <w:tcPr>
            <w:tcW w:w="120" w:type="dxa"/>
            <w:vAlign w:val="bottom"/>
          </w:tcPr>
          <w:p>
            <w:pPr>
              <w:spacing w:after="0"/>
              <w:rPr>
                <w:sz w:val="10"/>
                <w:szCs w:val="10"/>
                <w:color w:val="auto"/>
              </w:rPr>
            </w:pP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103,070</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EDEDEE"/>
            </w:tcBorders>
          </w:tcPr>
          <w:p>
            <w:pPr>
              <w:ind w:left="20"/>
              <w:spacing w:after="0"/>
              <w:rPr>
                <w:sz w:val="20"/>
                <w:szCs w:val="20"/>
                <w:color w:val="auto"/>
              </w:rPr>
            </w:pPr>
            <w:r>
              <w:rPr>
                <w:rFonts w:ascii="Arial" w:cs="Arial" w:eastAsia="Arial" w:hAnsi="Arial"/>
                <w:sz w:val="13"/>
                <w:szCs w:val="13"/>
                <w:color w:val="auto"/>
              </w:rPr>
              <w:t>premium/(discount)</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Total Private Education Loans</w:t>
            </w:r>
          </w:p>
        </w:tc>
        <w:tc>
          <w:tcPr>
            <w:tcW w:w="140" w:type="dxa"/>
            <w:vAlign w:val="bottom"/>
            <w:shd w:val="clear" w:color="auto" w:fill="EDEDEE"/>
          </w:tcPr>
          <w:p>
            <w:pPr>
              <w:spacing w:after="0"/>
              <w:rPr>
                <w:sz w:val="15"/>
                <w:szCs w:val="15"/>
                <w:color w:val="auto"/>
              </w:rPr>
            </w:pPr>
          </w:p>
        </w:tc>
        <w:tc>
          <w:tcPr>
            <w:tcW w:w="80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w w:val="96"/>
              </w:rPr>
              <w:t>5,072,251</w:t>
            </w:r>
          </w:p>
        </w:tc>
        <w:tc>
          <w:tcPr>
            <w:tcW w:w="180" w:type="dxa"/>
            <w:vAlign w:val="bottom"/>
            <w:shd w:val="clear" w:color="auto" w:fill="EDEDEE"/>
          </w:tcPr>
          <w:p>
            <w:pPr>
              <w:spacing w:after="0"/>
              <w:rPr>
                <w:sz w:val="15"/>
                <w:szCs w:val="15"/>
                <w:color w:val="auto"/>
              </w:rPr>
            </w:pPr>
          </w:p>
        </w:tc>
        <w:tc>
          <w:tcPr>
            <w:tcW w:w="8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5,347,109</w:t>
            </w:r>
          </w:p>
        </w:tc>
        <w:tc>
          <w:tcPr>
            <w:tcW w:w="16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3,196,035</w:t>
            </w:r>
          </w:p>
        </w:tc>
        <w:tc>
          <w:tcPr>
            <w:tcW w:w="18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2,075,578</w:t>
            </w:r>
          </w:p>
        </w:tc>
        <w:tc>
          <w:tcPr>
            <w:tcW w:w="180" w:type="dxa"/>
            <w:vAlign w:val="bottom"/>
            <w:shd w:val="clear" w:color="auto" w:fill="EDEDEE"/>
          </w:tcPr>
          <w:p>
            <w:pPr>
              <w:spacing w:after="0"/>
              <w:rPr>
                <w:sz w:val="15"/>
                <w:szCs w:val="15"/>
                <w:color w:val="auto"/>
              </w:rPr>
            </w:pPr>
          </w:p>
        </w:tc>
        <w:tc>
          <w:tcPr>
            <w:tcW w:w="820" w:type="dxa"/>
            <w:vAlign w:val="bottom"/>
            <w:shd w:val="clear" w:color="auto" w:fill="EDEDEE"/>
          </w:tcPr>
          <w:p>
            <w:pPr>
              <w:jc w:val="right"/>
              <w:ind w:right="157"/>
              <w:spacing w:after="0"/>
              <w:rPr>
                <w:sz w:val="20"/>
                <w:szCs w:val="20"/>
                <w:color w:val="auto"/>
              </w:rPr>
            </w:pPr>
            <w:r>
              <w:rPr>
                <w:rFonts w:ascii="Arial" w:cs="Arial" w:eastAsia="Arial" w:hAnsi="Arial"/>
                <w:sz w:val="13"/>
                <w:szCs w:val="13"/>
                <w:color w:val="auto"/>
              </w:rPr>
              <w:t>1,378,053</w:t>
            </w:r>
          </w:p>
        </w:tc>
        <w:tc>
          <w:tcPr>
            <w:tcW w:w="18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237"/>
              <w:spacing w:after="0"/>
              <w:rPr>
                <w:sz w:val="20"/>
                <w:szCs w:val="20"/>
                <w:color w:val="auto"/>
              </w:rPr>
            </w:pPr>
            <w:r>
              <w:rPr>
                <w:rFonts w:ascii="Arial" w:cs="Arial" w:eastAsia="Arial" w:hAnsi="Arial"/>
                <w:sz w:val="13"/>
                <w:szCs w:val="13"/>
                <w:color w:val="auto"/>
              </w:rPr>
              <w:t>5,269,052</w:t>
            </w:r>
          </w:p>
        </w:tc>
        <w:tc>
          <w:tcPr>
            <w:tcW w:w="120" w:type="dxa"/>
            <w:vAlign w:val="bottom"/>
            <w:shd w:val="clear" w:color="auto" w:fill="EDEDEE"/>
          </w:tcPr>
          <w:p>
            <w:pPr>
              <w:spacing w:after="0"/>
              <w:rPr>
                <w:sz w:val="15"/>
                <w:szCs w:val="15"/>
                <w:color w:val="auto"/>
              </w:rPr>
            </w:pPr>
          </w:p>
        </w:tc>
        <w:tc>
          <w:tcPr>
            <w:tcW w:w="860" w:type="dxa"/>
            <w:vAlign w:val="bottom"/>
            <w:shd w:val="clear" w:color="auto" w:fill="EDEDEE"/>
          </w:tcPr>
          <w:p>
            <w:pPr>
              <w:jc w:val="right"/>
              <w:ind w:right="117"/>
              <w:spacing w:after="0"/>
              <w:rPr>
                <w:sz w:val="20"/>
                <w:szCs w:val="20"/>
                <w:color w:val="auto"/>
              </w:rPr>
            </w:pPr>
            <w:r>
              <w:rPr>
                <w:rFonts w:ascii="Arial" w:cs="Arial" w:eastAsia="Arial" w:hAnsi="Arial"/>
                <w:sz w:val="13"/>
                <w:szCs w:val="13"/>
                <w:color w:val="auto"/>
              </w:rPr>
              <w:t>22,338,078</w:t>
            </w:r>
          </w:p>
        </w:tc>
        <w:tc>
          <w:tcPr>
            <w:tcW w:w="0" w:type="dxa"/>
            <w:vAlign w:val="bottom"/>
          </w:tcPr>
          <w:p>
            <w:pPr>
              <w:spacing w:after="0"/>
              <w:rPr>
                <w:sz w:val="1"/>
                <w:szCs w:val="1"/>
                <w:color w:val="auto"/>
              </w:rPr>
            </w:pPr>
          </w:p>
        </w:tc>
      </w:tr>
      <w:tr>
        <w:trPr>
          <w:trHeight w:val="122"/>
        </w:trPr>
        <w:tc>
          <w:tcPr>
            <w:tcW w:w="1920" w:type="dxa"/>
            <w:vAlign w:val="bottom"/>
          </w:tcPr>
          <w:p>
            <w:pPr>
              <w:ind w:left="20"/>
              <w:spacing w:after="0" w:line="122" w:lineRule="exact"/>
              <w:rPr>
                <w:sz w:val="20"/>
                <w:szCs w:val="20"/>
                <w:color w:val="auto"/>
              </w:rPr>
            </w:pPr>
            <w:r>
              <w:rPr>
                <w:rFonts w:ascii="Arial" w:cs="Arial" w:eastAsia="Arial" w:hAnsi="Arial"/>
                <w:sz w:val="13"/>
                <w:szCs w:val="13"/>
                <w:color w:val="auto"/>
              </w:rPr>
              <w:t>Private Education Loans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20" w:type="dxa"/>
            <w:vAlign w:val="bottom"/>
            <w:tcBorders>
              <w:bottom w:val="single" w:sz="8" w:color="EDEDEE"/>
            </w:tcBorders>
          </w:tcPr>
          <w:p>
            <w:pPr>
              <w:ind w:left="20"/>
              <w:spacing w:after="0"/>
              <w:rPr>
                <w:sz w:val="20"/>
                <w:szCs w:val="20"/>
                <w:color w:val="auto"/>
              </w:rPr>
            </w:pPr>
            <w:r>
              <w:rPr>
                <w:rFonts w:ascii="Arial" w:cs="Arial" w:eastAsia="Arial" w:hAnsi="Arial"/>
                <w:sz w:val="13"/>
                <w:szCs w:val="13"/>
                <w:color w:val="auto"/>
              </w:rPr>
              <w:t>allowance for losses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(258,235)</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(326,207)</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(234,532)</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(150,324)</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(90,600)</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(376,022)</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(1,435,920)</w:t>
            </w:r>
          </w:p>
        </w:tc>
        <w:tc>
          <w:tcPr>
            <w:tcW w:w="0" w:type="dxa"/>
            <w:vAlign w:val="bottom"/>
          </w:tcPr>
          <w:p>
            <w:pPr>
              <w:spacing w:after="0"/>
              <w:rPr>
                <w:sz w:val="1"/>
                <w:szCs w:val="1"/>
                <w:color w:val="auto"/>
              </w:rPr>
            </w:pPr>
          </w:p>
        </w:tc>
      </w:tr>
      <w:tr>
        <w:trPr>
          <w:trHeight w:val="201"/>
        </w:trPr>
        <w:tc>
          <w:tcPr>
            <w:tcW w:w="19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3"/>
                <w:szCs w:val="13"/>
                <w:b w:val="1"/>
                <w:bCs w:val="1"/>
                <w:color w:val="144F82"/>
              </w:rPr>
              <w:t>Private Education Loans, net</w:t>
            </w:r>
          </w:p>
        </w:tc>
        <w:tc>
          <w:tcPr>
            <w:tcW w:w="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157"/>
              <w:spacing w:after="0"/>
              <w:rPr>
                <w:sz w:val="20"/>
                <w:szCs w:val="20"/>
                <w:color w:val="auto"/>
              </w:rPr>
            </w:pPr>
            <w:r>
              <w:rPr>
                <w:rFonts w:ascii="Arial" w:cs="Arial" w:eastAsia="Arial" w:hAnsi="Arial"/>
                <w:sz w:val="13"/>
                <w:szCs w:val="13"/>
                <w:color w:val="auto"/>
                <w:w w:val="96"/>
              </w:rPr>
              <w:t>4,814,016</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5,020,902</w:t>
            </w:r>
          </w:p>
        </w:tc>
        <w:tc>
          <w:tcPr>
            <w:tcW w:w="1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EDEDEE"/>
          </w:tcPr>
          <w:p>
            <w:pPr>
              <w:jc w:val="right"/>
              <w:ind w:right="157"/>
              <w:spacing w:after="0"/>
              <w:rPr>
                <w:sz w:val="20"/>
                <w:szCs w:val="20"/>
                <w:color w:val="auto"/>
              </w:rPr>
            </w:pPr>
            <w:r>
              <w:rPr>
                <w:rFonts w:ascii="Arial" w:cs="Arial" w:eastAsia="Arial" w:hAnsi="Arial"/>
                <w:sz w:val="13"/>
                <w:szCs w:val="13"/>
                <w:color w:val="auto"/>
              </w:rPr>
              <w:t>2,961,503</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EDEDEE"/>
          </w:tcPr>
          <w:p>
            <w:pPr>
              <w:jc w:val="right"/>
              <w:ind w:right="157"/>
              <w:spacing w:after="0"/>
              <w:rPr>
                <w:sz w:val="20"/>
                <w:szCs w:val="20"/>
                <w:color w:val="auto"/>
              </w:rPr>
            </w:pPr>
            <w:r>
              <w:rPr>
                <w:rFonts w:ascii="Arial" w:cs="Arial" w:eastAsia="Arial" w:hAnsi="Arial"/>
                <w:sz w:val="13"/>
                <w:szCs w:val="13"/>
                <w:color w:val="auto"/>
              </w:rPr>
              <w:t>1,925,254</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EDEDEE"/>
          </w:tcPr>
          <w:p>
            <w:pPr>
              <w:jc w:val="right"/>
              <w:ind w:right="157"/>
              <w:spacing w:after="0"/>
              <w:rPr>
                <w:sz w:val="20"/>
                <w:szCs w:val="20"/>
                <w:color w:val="auto"/>
              </w:rPr>
            </w:pPr>
            <w:r>
              <w:rPr>
                <w:rFonts w:ascii="Arial" w:cs="Arial" w:eastAsia="Arial" w:hAnsi="Arial"/>
                <w:sz w:val="13"/>
                <w:szCs w:val="13"/>
                <w:color w:val="auto"/>
              </w:rPr>
              <w:t>1,287,453</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EDEDEE"/>
          </w:tcPr>
          <w:p>
            <w:pPr>
              <w:jc w:val="right"/>
              <w:ind w:right="237"/>
              <w:spacing w:after="0"/>
              <w:rPr>
                <w:sz w:val="20"/>
                <w:szCs w:val="20"/>
                <w:color w:val="auto"/>
              </w:rPr>
            </w:pPr>
            <w:r>
              <w:rPr>
                <w:rFonts w:ascii="Arial" w:cs="Arial" w:eastAsia="Arial" w:hAnsi="Arial"/>
                <w:sz w:val="13"/>
                <w:szCs w:val="13"/>
                <w:color w:val="auto"/>
              </w:rPr>
              <w:t>4,893,030</w:t>
            </w:r>
          </w:p>
        </w:tc>
        <w:tc>
          <w:tcPr>
            <w:tcW w:w="120" w:type="dxa"/>
            <w:vAlign w:val="bottom"/>
            <w:tcBorders>
              <w:bottom w:val="single" w:sz="8" w:color="auto"/>
            </w:tcBorders>
            <w:shd w:val="clear" w:color="auto" w:fill="EDEDEE"/>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EDEDEE"/>
          </w:tcPr>
          <w:p>
            <w:pPr>
              <w:jc w:val="right"/>
              <w:ind w:right="117"/>
              <w:spacing w:after="0"/>
              <w:rPr>
                <w:sz w:val="20"/>
                <w:szCs w:val="20"/>
                <w:color w:val="auto"/>
              </w:rPr>
            </w:pPr>
            <w:r>
              <w:rPr>
                <w:rFonts w:ascii="Arial" w:cs="Arial" w:eastAsia="Arial" w:hAnsi="Arial"/>
                <w:sz w:val="13"/>
                <w:szCs w:val="13"/>
                <w:color w:val="auto"/>
              </w:rPr>
              <w:t>20,902,158</w:t>
            </w:r>
          </w:p>
        </w:tc>
        <w:tc>
          <w:tcPr>
            <w:tcW w:w="0" w:type="dxa"/>
            <w:vAlign w:val="bottom"/>
          </w:tcPr>
          <w:p>
            <w:pPr>
              <w:spacing w:after="0"/>
              <w:rPr>
                <w:sz w:val="1"/>
                <w:szCs w:val="1"/>
                <w:color w:val="auto"/>
              </w:rPr>
            </w:pPr>
          </w:p>
        </w:tc>
      </w:tr>
      <w:tr>
        <w:trPr>
          <w:trHeight w:val="20"/>
        </w:trPr>
        <w:tc>
          <w:tcPr>
            <w:tcW w:w="1920" w:type="dxa"/>
            <w:vAlign w:val="bottom"/>
            <w:tcBorders>
              <w:top w:val="single" w:sz="8" w:color="EDEDEE"/>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840" w:type="dxa"/>
            <w:vAlign w:val="bottom"/>
            <w:tcBorders>
              <w:top w:val="single" w:sz="8" w:color="EDEDEE"/>
              <w:bottom w:val="single" w:sz="8" w:color="auto"/>
            </w:tcBorders>
          </w:tcPr>
          <w:p>
            <w:pPr>
              <w:spacing w:after="0" w:line="20" w:lineRule="exact"/>
              <w:rPr>
                <w:sz w:val="1"/>
                <w:szCs w:val="1"/>
                <w:color w:val="auto"/>
              </w:rPr>
            </w:pPr>
          </w:p>
        </w:tc>
        <w:tc>
          <w:tcPr>
            <w:tcW w:w="160" w:type="dxa"/>
            <w:vAlign w:val="bottom"/>
            <w:tcBorders>
              <w:top w:val="single" w:sz="8" w:color="EDEDEE"/>
              <w:bottom w:val="single" w:sz="8" w:color="auto"/>
            </w:tcBorders>
          </w:tcPr>
          <w:p>
            <w:pPr>
              <w:spacing w:after="0" w:line="20" w:lineRule="exact"/>
              <w:rPr>
                <w:sz w:val="1"/>
                <w:szCs w:val="1"/>
                <w:color w:val="auto"/>
              </w:rPr>
            </w:pPr>
          </w:p>
        </w:tc>
        <w:tc>
          <w:tcPr>
            <w:tcW w:w="82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82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82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86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EDEDEE"/>
          </w:tcPr>
          <w:p>
            <w:pPr>
              <w:ind w:left="20"/>
              <w:spacing w:after="0" w:line="122" w:lineRule="exact"/>
              <w:rPr>
                <w:sz w:val="20"/>
                <w:szCs w:val="20"/>
                <w:color w:val="auto"/>
              </w:rPr>
            </w:pPr>
            <w:r>
              <w:rPr>
                <w:rFonts w:ascii="Arial" w:cs="Arial" w:eastAsia="Arial" w:hAnsi="Arial"/>
                <w:sz w:val="13"/>
                <w:szCs w:val="13"/>
                <w:color w:val="auto"/>
              </w:rPr>
              <w:t>Percentage of Private</w:t>
            </w:r>
          </w:p>
        </w:tc>
        <w:tc>
          <w:tcPr>
            <w:tcW w:w="140" w:type="dxa"/>
            <w:vAlign w:val="bottom"/>
            <w:shd w:val="clear" w:color="auto" w:fill="EDEDEE"/>
          </w:tcPr>
          <w:p>
            <w:pPr>
              <w:spacing w:after="0"/>
              <w:rPr>
                <w:sz w:val="10"/>
                <w:szCs w:val="10"/>
                <w:color w:val="auto"/>
              </w:rPr>
            </w:pPr>
          </w:p>
        </w:tc>
        <w:tc>
          <w:tcPr>
            <w:tcW w:w="80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40" w:type="dxa"/>
            <w:vAlign w:val="bottom"/>
            <w:shd w:val="clear" w:color="auto" w:fill="EDEDEE"/>
          </w:tcPr>
          <w:p>
            <w:pPr>
              <w:spacing w:after="0"/>
              <w:rPr>
                <w:sz w:val="10"/>
                <w:szCs w:val="10"/>
                <w:color w:val="auto"/>
              </w:rPr>
            </w:pPr>
          </w:p>
        </w:tc>
        <w:tc>
          <w:tcPr>
            <w:tcW w:w="16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900" w:type="dxa"/>
            <w:vAlign w:val="bottom"/>
            <w:shd w:val="clear" w:color="auto" w:fill="EDEDEE"/>
          </w:tcPr>
          <w:p>
            <w:pPr>
              <w:spacing w:after="0"/>
              <w:rPr>
                <w:sz w:val="10"/>
                <w:szCs w:val="10"/>
                <w:color w:val="auto"/>
              </w:rPr>
            </w:pPr>
          </w:p>
        </w:tc>
        <w:tc>
          <w:tcPr>
            <w:tcW w:w="120" w:type="dxa"/>
            <w:vAlign w:val="bottom"/>
            <w:shd w:val="clear" w:color="auto" w:fill="EDEDEE"/>
          </w:tcPr>
          <w:p>
            <w:pPr>
              <w:spacing w:after="0"/>
              <w:rPr>
                <w:sz w:val="10"/>
                <w:szCs w:val="10"/>
                <w:color w:val="auto"/>
              </w:rPr>
            </w:pPr>
          </w:p>
        </w:tc>
        <w:tc>
          <w:tcPr>
            <w:tcW w:w="860" w:type="dxa"/>
            <w:vAlign w:val="bottom"/>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Education Loans in repayment</w:t>
            </w:r>
          </w:p>
        </w:tc>
        <w:tc>
          <w:tcPr>
            <w:tcW w:w="140" w:type="dxa"/>
            <w:vAlign w:val="bottom"/>
            <w:shd w:val="clear" w:color="auto" w:fill="EDEDEE"/>
          </w:tcPr>
          <w:p>
            <w:pPr>
              <w:spacing w:after="0"/>
              <w:rPr>
                <w:sz w:val="16"/>
                <w:szCs w:val="16"/>
                <w:color w:val="auto"/>
              </w:rPr>
            </w:pPr>
          </w:p>
        </w:tc>
        <w:tc>
          <w:tcPr>
            <w:tcW w:w="800" w:type="dxa"/>
            <w:vAlign w:val="bottom"/>
            <w:shd w:val="clear" w:color="auto" w:fill="EDEDEE"/>
          </w:tcPr>
          <w:p>
            <w:pPr>
              <w:jc w:val="right"/>
              <w:spacing w:after="0"/>
              <w:rPr>
                <w:sz w:val="20"/>
                <w:szCs w:val="20"/>
                <w:color w:val="auto"/>
              </w:rPr>
            </w:pPr>
            <w:r>
              <w:rPr>
                <w:rFonts w:ascii="Arial" w:cs="Arial" w:eastAsia="Arial" w:hAnsi="Arial"/>
                <w:sz w:val="13"/>
                <w:szCs w:val="13"/>
                <w:color w:val="auto"/>
              </w:rPr>
              <w:t>56.5 %</w:t>
            </w:r>
          </w:p>
        </w:tc>
        <w:tc>
          <w:tcPr>
            <w:tcW w:w="180" w:type="dxa"/>
            <w:vAlign w:val="bottom"/>
            <w:shd w:val="clear" w:color="auto" w:fill="EDEDEE"/>
          </w:tcPr>
          <w:p>
            <w:pPr>
              <w:spacing w:after="0"/>
              <w:rPr>
                <w:sz w:val="16"/>
                <w:szCs w:val="16"/>
                <w:color w:val="auto"/>
              </w:rPr>
            </w:pPr>
          </w:p>
        </w:tc>
        <w:tc>
          <w:tcPr>
            <w:tcW w:w="8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63.5 %</w:t>
            </w:r>
          </w:p>
        </w:tc>
        <w:tc>
          <w:tcPr>
            <w:tcW w:w="160" w:type="dxa"/>
            <w:vAlign w:val="bottom"/>
            <w:shd w:val="clear" w:color="auto" w:fill="EDEDEE"/>
          </w:tcPr>
          <w:p>
            <w:pPr>
              <w:spacing w:after="0"/>
              <w:rPr>
                <w:sz w:val="16"/>
                <w:szCs w:val="16"/>
                <w:color w:val="auto"/>
              </w:rPr>
            </w:pPr>
          </w:p>
        </w:tc>
        <w:tc>
          <w:tcPr>
            <w:tcW w:w="820" w:type="dxa"/>
            <w:vAlign w:val="bottom"/>
            <w:shd w:val="clear" w:color="auto" w:fill="EDEDEE"/>
          </w:tcPr>
          <w:p>
            <w:pPr>
              <w:jc w:val="right"/>
              <w:spacing w:after="0"/>
              <w:rPr>
                <w:sz w:val="20"/>
                <w:szCs w:val="20"/>
                <w:color w:val="auto"/>
              </w:rPr>
            </w:pPr>
            <w:r>
              <w:rPr>
                <w:rFonts w:ascii="Arial" w:cs="Arial" w:eastAsia="Arial" w:hAnsi="Arial"/>
                <w:sz w:val="13"/>
                <w:szCs w:val="13"/>
                <w:color w:val="auto"/>
              </w:rPr>
              <w:t>73.7 %</w:t>
            </w:r>
          </w:p>
        </w:tc>
        <w:tc>
          <w:tcPr>
            <w:tcW w:w="180" w:type="dxa"/>
            <w:vAlign w:val="bottom"/>
            <w:shd w:val="clear" w:color="auto" w:fill="EDEDEE"/>
          </w:tcPr>
          <w:p>
            <w:pPr>
              <w:spacing w:after="0"/>
              <w:rPr>
                <w:sz w:val="16"/>
                <w:szCs w:val="16"/>
                <w:color w:val="auto"/>
              </w:rPr>
            </w:pPr>
          </w:p>
        </w:tc>
        <w:tc>
          <w:tcPr>
            <w:tcW w:w="820" w:type="dxa"/>
            <w:vAlign w:val="bottom"/>
            <w:shd w:val="clear" w:color="auto" w:fill="EDEDEE"/>
          </w:tcPr>
          <w:p>
            <w:pPr>
              <w:jc w:val="right"/>
              <w:spacing w:after="0"/>
              <w:rPr>
                <w:sz w:val="20"/>
                <w:szCs w:val="20"/>
                <w:color w:val="auto"/>
              </w:rPr>
            </w:pPr>
            <w:r>
              <w:rPr>
                <w:rFonts w:ascii="Arial" w:cs="Arial" w:eastAsia="Arial" w:hAnsi="Arial"/>
                <w:sz w:val="13"/>
                <w:szCs w:val="13"/>
                <w:color w:val="auto"/>
              </w:rPr>
              <w:t>80.3 %</w:t>
            </w:r>
          </w:p>
        </w:tc>
        <w:tc>
          <w:tcPr>
            <w:tcW w:w="180" w:type="dxa"/>
            <w:vAlign w:val="bottom"/>
            <w:shd w:val="clear" w:color="auto" w:fill="EDEDEE"/>
          </w:tcPr>
          <w:p>
            <w:pPr>
              <w:spacing w:after="0"/>
              <w:rPr>
                <w:sz w:val="16"/>
                <w:szCs w:val="16"/>
                <w:color w:val="auto"/>
              </w:rPr>
            </w:pPr>
          </w:p>
        </w:tc>
        <w:tc>
          <w:tcPr>
            <w:tcW w:w="820" w:type="dxa"/>
            <w:vAlign w:val="bottom"/>
            <w:shd w:val="clear" w:color="auto" w:fill="EDEDEE"/>
          </w:tcPr>
          <w:p>
            <w:pPr>
              <w:jc w:val="right"/>
              <w:spacing w:after="0"/>
              <w:rPr>
                <w:sz w:val="20"/>
                <w:szCs w:val="20"/>
                <w:color w:val="auto"/>
              </w:rPr>
            </w:pPr>
            <w:r>
              <w:rPr>
                <w:rFonts w:ascii="Arial" w:cs="Arial" w:eastAsia="Arial" w:hAnsi="Arial"/>
                <w:sz w:val="13"/>
                <w:szCs w:val="13"/>
                <w:color w:val="auto"/>
              </w:rPr>
              <w:t>84.3 %</w:t>
            </w:r>
          </w:p>
        </w:tc>
        <w:tc>
          <w:tcPr>
            <w:tcW w:w="180" w:type="dxa"/>
            <w:vAlign w:val="bottom"/>
            <w:shd w:val="clear" w:color="auto" w:fill="EDEDEE"/>
          </w:tcPr>
          <w:p>
            <w:pPr>
              <w:spacing w:after="0"/>
              <w:rPr>
                <w:sz w:val="16"/>
                <w:szCs w:val="16"/>
                <w:color w:val="auto"/>
              </w:rPr>
            </w:pPr>
          </w:p>
        </w:tc>
        <w:tc>
          <w:tcPr>
            <w:tcW w:w="9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89.7 %</w:t>
            </w:r>
          </w:p>
        </w:tc>
        <w:tc>
          <w:tcPr>
            <w:tcW w:w="120" w:type="dxa"/>
            <w:vAlign w:val="bottom"/>
            <w:shd w:val="clear" w:color="auto" w:fill="EDEDEE"/>
          </w:tcPr>
          <w:p>
            <w:pPr>
              <w:spacing w:after="0"/>
              <w:rPr>
                <w:sz w:val="16"/>
                <w:szCs w:val="16"/>
                <w:color w:val="auto"/>
              </w:rPr>
            </w:pPr>
          </w:p>
        </w:tc>
        <w:tc>
          <w:tcPr>
            <w:tcW w:w="860" w:type="dxa"/>
            <w:vAlign w:val="bottom"/>
            <w:shd w:val="clear" w:color="auto" w:fill="EDEDEE"/>
          </w:tcPr>
          <w:p>
            <w:pPr>
              <w:jc w:val="right"/>
              <w:spacing w:after="0"/>
              <w:rPr>
                <w:sz w:val="20"/>
                <w:szCs w:val="20"/>
                <w:color w:val="auto"/>
              </w:rPr>
            </w:pPr>
            <w:r>
              <w:rPr>
                <w:rFonts w:ascii="Arial" w:cs="Arial" w:eastAsia="Arial" w:hAnsi="Arial"/>
                <w:sz w:val="13"/>
                <w:szCs w:val="13"/>
                <w:color w:val="auto"/>
              </w:rPr>
              <w:t>72.4 %</w:t>
            </w:r>
          </w:p>
        </w:tc>
        <w:tc>
          <w:tcPr>
            <w:tcW w:w="0" w:type="dxa"/>
            <w:vAlign w:val="bottom"/>
          </w:tcPr>
          <w:p>
            <w:pPr>
              <w:spacing w:after="0"/>
              <w:rPr>
                <w:sz w:val="1"/>
                <w:szCs w:val="1"/>
                <w:color w:val="auto"/>
              </w:rPr>
            </w:pPr>
          </w:p>
        </w:tc>
      </w:tr>
      <w:tr>
        <w:trPr>
          <w:trHeight w:val="121"/>
        </w:trPr>
        <w:tc>
          <w:tcPr>
            <w:tcW w:w="1920" w:type="dxa"/>
            <w:vAlign w:val="bottom"/>
          </w:tcPr>
          <w:p>
            <w:pPr>
              <w:ind w:left="20"/>
              <w:spacing w:after="0" w:line="122" w:lineRule="exact"/>
              <w:rPr>
                <w:sz w:val="20"/>
                <w:szCs w:val="20"/>
                <w:color w:val="auto"/>
              </w:rPr>
            </w:pPr>
            <w:r>
              <w:rPr>
                <w:rFonts w:ascii="Arial" w:cs="Arial" w:eastAsia="Arial" w:hAnsi="Arial"/>
                <w:sz w:val="13"/>
                <w:szCs w:val="13"/>
                <w:color w:val="auto"/>
              </w:rPr>
              <w:t>Delinquent Private Education</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20" w:type="dxa"/>
            <w:vAlign w:val="bottom"/>
          </w:tcPr>
          <w:p>
            <w:pPr>
              <w:ind w:left="20"/>
              <w:spacing w:after="0" w:line="131" w:lineRule="exact"/>
              <w:rPr>
                <w:sz w:val="20"/>
                <w:szCs w:val="20"/>
                <w:color w:val="auto"/>
              </w:rPr>
            </w:pPr>
            <w:r>
              <w:rPr>
                <w:rFonts w:ascii="Arial" w:cs="Arial" w:eastAsia="Arial" w:hAnsi="Arial"/>
                <w:sz w:val="13"/>
                <w:szCs w:val="13"/>
                <w:color w:val="auto"/>
              </w:rPr>
              <w:t>Loans in repayment as a</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920" w:type="dxa"/>
            <w:vAlign w:val="bottom"/>
          </w:tcPr>
          <w:p>
            <w:pPr>
              <w:ind w:left="20"/>
              <w:spacing w:after="0" w:line="126" w:lineRule="exact"/>
              <w:rPr>
                <w:sz w:val="20"/>
                <w:szCs w:val="20"/>
                <w:color w:val="auto"/>
              </w:rPr>
            </w:pPr>
            <w:r>
              <w:rPr>
                <w:rFonts w:ascii="Arial" w:cs="Arial" w:eastAsia="Arial" w:hAnsi="Arial"/>
                <w:sz w:val="13"/>
                <w:szCs w:val="13"/>
                <w:color w:val="auto"/>
              </w:rPr>
              <w:t>percentage of Private</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0.7 %</w:t>
            </w:r>
          </w:p>
        </w:tc>
        <w:tc>
          <w:tcPr>
            <w:tcW w:w="18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2.0 %</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3.8 %</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4.3 %</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4.4 %</w:t>
            </w:r>
          </w:p>
        </w:tc>
        <w:tc>
          <w:tcPr>
            <w:tcW w:w="18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3"/>
                <w:szCs w:val="13"/>
                <w:color w:val="auto"/>
              </w:rPr>
              <w:t>6.3 %</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3.7 %</w:t>
            </w:r>
          </w:p>
        </w:tc>
        <w:tc>
          <w:tcPr>
            <w:tcW w:w="0" w:type="dxa"/>
            <w:vAlign w:val="bottom"/>
          </w:tcPr>
          <w:p>
            <w:pPr>
              <w:spacing w:after="0"/>
              <w:rPr>
                <w:sz w:val="1"/>
                <w:szCs w:val="1"/>
                <w:color w:val="auto"/>
              </w:rPr>
            </w:pPr>
          </w:p>
        </w:tc>
      </w:tr>
      <w:tr>
        <w:trPr>
          <w:trHeight w:val="171"/>
        </w:trPr>
        <w:tc>
          <w:tcPr>
            <w:tcW w:w="1920" w:type="dxa"/>
            <w:vAlign w:val="bottom"/>
          </w:tcPr>
          <w:p>
            <w:pPr>
              <w:ind w:left="20"/>
              <w:spacing w:after="0"/>
              <w:rPr>
                <w:sz w:val="20"/>
                <w:szCs w:val="20"/>
                <w:color w:val="auto"/>
              </w:rPr>
            </w:pPr>
            <w:r>
              <w:rPr>
                <w:rFonts w:ascii="Arial" w:cs="Arial" w:eastAsia="Arial" w:hAnsi="Arial"/>
                <w:sz w:val="13"/>
                <w:szCs w:val="13"/>
                <w:color w:val="auto"/>
              </w:rPr>
              <w:t>Education Loans in repayment</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EDEDEE"/>
          </w:tcPr>
          <w:p>
            <w:pPr>
              <w:ind w:left="20"/>
              <w:spacing w:after="0" w:line="126" w:lineRule="exact"/>
              <w:rPr>
                <w:sz w:val="20"/>
                <w:szCs w:val="20"/>
                <w:color w:val="auto"/>
              </w:rPr>
            </w:pPr>
            <w:r>
              <w:rPr>
                <w:rFonts w:ascii="Arial" w:cs="Arial" w:eastAsia="Arial" w:hAnsi="Arial"/>
                <w:sz w:val="13"/>
                <w:szCs w:val="13"/>
                <w:color w:val="auto"/>
              </w:rPr>
              <w:t>Loans in forbearance as a</w:t>
            </w:r>
          </w:p>
        </w:tc>
        <w:tc>
          <w:tcPr>
            <w:tcW w:w="140" w:type="dxa"/>
            <w:vAlign w:val="bottom"/>
            <w:shd w:val="clear" w:color="auto" w:fill="EDEDEE"/>
          </w:tcPr>
          <w:p>
            <w:pPr>
              <w:spacing w:after="0"/>
              <w:rPr>
                <w:sz w:val="10"/>
                <w:szCs w:val="10"/>
                <w:color w:val="auto"/>
              </w:rPr>
            </w:pPr>
          </w:p>
        </w:tc>
        <w:tc>
          <w:tcPr>
            <w:tcW w:w="80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40" w:type="dxa"/>
            <w:vAlign w:val="bottom"/>
            <w:shd w:val="clear" w:color="auto" w:fill="EDEDEE"/>
          </w:tcPr>
          <w:p>
            <w:pPr>
              <w:spacing w:after="0"/>
              <w:rPr>
                <w:sz w:val="10"/>
                <w:szCs w:val="10"/>
                <w:color w:val="auto"/>
              </w:rPr>
            </w:pPr>
          </w:p>
        </w:tc>
        <w:tc>
          <w:tcPr>
            <w:tcW w:w="16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820" w:type="dxa"/>
            <w:vAlign w:val="bottom"/>
            <w:shd w:val="clear" w:color="auto" w:fill="EDEDEE"/>
          </w:tcPr>
          <w:p>
            <w:pPr>
              <w:spacing w:after="0"/>
              <w:rPr>
                <w:sz w:val="10"/>
                <w:szCs w:val="10"/>
                <w:color w:val="auto"/>
              </w:rPr>
            </w:pPr>
          </w:p>
        </w:tc>
        <w:tc>
          <w:tcPr>
            <w:tcW w:w="180" w:type="dxa"/>
            <w:vAlign w:val="bottom"/>
            <w:shd w:val="clear" w:color="auto" w:fill="EDEDEE"/>
          </w:tcPr>
          <w:p>
            <w:pPr>
              <w:spacing w:after="0"/>
              <w:rPr>
                <w:sz w:val="10"/>
                <w:szCs w:val="10"/>
                <w:color w:val="auto"/>
              </w:rPr>
            </w:pPr>
          </w:p>
        </w:tc>
        <w:tc>
          <w:tcPr>
            <w:tcW w:w="900" w:type="dxa"/>
            <w:vAlign w:val="bottom"/>
            <w:shd w:val="clear" w:color="auto" w:fill="EDEDEE"/>
          </w:tcPr>
          <w:p>
            <w:pPr>
              <w:spacing w:after="0"/>
              <w:rPr>
                <w:sz w:val="10"/>
                <w:szCs w:val="10"/>
                <w:color w:val="auto"/>
              </w:rPr>
            </w:pPr>
          </w:p>
        </w:tc>
        <w:tc>
          <w:tcPr>
            <w:tcW w:w="120" w:type="dxa"/>
            <w:vAlign w:val="bottom"/>
            <w:shd w:val="clear" w:color="auto" w:fill="EDEDEE"/>
          </w:tcPr>
          <w:p>
            <w:pPr>
              <w:spacing w:after="0"/>
              <w:rPr>
                <w:sz w:val="10"/>
                <w:szCs w:val="10"/>
                <w:color w:val="auto"/>
              </w:rPr>
            </w:pPr>
          </w:p>
        </w:tc>
        <w:tc>
          <w:tcPr>
            <w:tcW w:w="860" w:type="dxa"/>
            <w:vAlign w:val="bottom"/>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20" w:type="dxa"/>
            <w:vAlign w:val="bottom"/>
            <w:shd w:val="clear" w:color="auto" w:fill="EDEDEE"/>
          </w:tcPr>
          <w:p>
            <w:pPr>
              <w:ind w:left="20"/>
              <w:spacing w:after="0" w:line="131" w:lineRule="exact"/>
              <w:rPr>
                <w:sz w:val="20"/>
                <w:szCs w:val="20"/>
                <w:color w:val="auto"/>
              </w:rPr>
            </w:pPr>
            <w:r>
              <w:rPr>
                <w:rFonts w:ascii="Arial" w:cs="Arial" w:eastAsia="Arial" w:hAnsi="Arial"/>
                <w:sz w:val="13"/>
                <w:szCs w:val="13"/>
                <w:color w:val="auto"/>
              </w:rPr>
              <w:t>percentage of loans in</w:t>
            </w:r>
          </w:p>
        </w:tc>
        <w:tc>
          <w:tcPr>
            <w:tcW w:w="140" w:type="dxa"/>
            <w:vAlign w:val="bottom"/>
            <w:shd w:val="clear" w:color="auto" w:fill="EDEDEE"/>
          </w:tcPr>
          <w:p>
            <w:pPr>
              <w:spacing w:after="0"/>
              <w:rPr>
                <w:sz w:val="11"/>
                <w:szCs w:val="11"/>
                <w:color w:val="auto"/>
              </w:rPr>
            </w:pPr>
          </w:p>
        </w:tc>
        <w:tc>
          <w:tcPr>
            <w:tcW w:w="800" w:type="dxa"/>
            <w:vAlign w:val="bottom"/>
            <w:shd w:val="clear" w:color="auto" w:fill="EDEDEE"/>
          </w:tcPr>
          <w:p>
            <w:pPr>
              <w:spacing w:after="0"/>
              <w:rPr>
                <w:sz w:val="11"/>
                <w:szCs w:val="11"/>
                <w:color w:val="auto"/>
              </w:rPr>
            </w:pPr>
          </w:p>
        </w:tc>
        <w:tc>
          <w:tcPr>
            <w:tcW w:w="180" w:type="dxa"/>
            <w:vAlign w:val="bottom"/>
            <w:shd w:val="clear" w:color="auto" w:fill="EDEDEE"/>
          </w:tcPr>
          <w:p>
            <w:pPr>
              <w:spacing w:after="0"/>
              <w:rPr>
                <w:sz w:val="11"/>
                <w:szCs w:val="11"/>
                <w:color w:val="auto"/>
              </w:rPr>
            </w:pPr>
          </w:p>
        </w:tc>
        <w:tc>
          <w:tcPr>
            <w:tcW w:w="840" w:type="dxa"/>
            <w:vAlign w:val="bottom"/>
            <w:shd w:val="clear" w:color="auto" w:fill="EDEDEE"/>
          </w:tcPr>
          <w:p>
            <w:pPr>
              <w:spacing w:after="0"/>
              <w:rPr>
                <w:sz w:val="11"/>
                <w:szCs w:val="11"/>
                <w:color w:val="auto"/>
              </w:rPr>
            </w:pPr>
          </w:p>
        </w:tc>
        <w:tc>
          <w:tcPr>
            <w:tcW w:w="16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18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180" w:type="dxa"/>
            <w:vAlign w:val="bottom"/>
            <w:shd w:val="clear" w:color="auto" w:fill="EDEDEE"/>
          </w:tcPr>
          <w:p>
            <w:pPr>
              <w:spacing w:after="0"/>
              <w:rPr>
                <w:sz w:val="11"/>
                <w:szCs w:val="11"/>
                <w:color w:val="auto"/>
              </w:rPr>
            </w:pPr>
          </w:p>
        </w:tc>
        <w:tc>
          <w:tcPr>
            <w:tcW w:w="820" w:type="dxa"/>
            <w:vAlign w:val="bottom"/>
            <w:shd w:val="clear" w:color="auto" w:fill="EDEDEE"/>
          </w:tcPr>
          <w:p>
            <w:pPr>
              <w:spacing w:after="0"/>
              <w:rPr>
                <w:sz w:val="11"/>
                <w:szCs w:val="11"/>
                <w:color w:val="auto"/>
              </w:rPr>
            </w:pPr>
          </w:p>
        </w:tc>
        <w:tc>
          <w:tcPr>
            <w:tcW w:w="180" w:type="dxa"/>
            <w:vAlign w:val="bottom"/>
            <w:shd w:val="clear" w:color="auto" w:fill="EDEDEE"/>
          </w:tcPr>
          <w:p>
            <w:pPr>
              <w:spacing w:after="0"/>
              <w:rPr>
                <w:sz w:val="11"/>
                <w:szCs w:val="11"/>
                <w:color w:val="auto"/>
              </w:rPr>
            </w:pPr>
          </w:p>
        </w:tc>
        <w:tc>
          <w:tcPr>
            <w:tcW w:w="900" w:type="dxa"/>
            <w:vAlign w:val="bottom"/>
            <w:shd w:val="clear" w:color="auto" w:fill="EDEDEE"/>
          </w:tcPr>
          <w:p>
            <w:pPr>
              <w:spacing w:after="0"/>
              <w:rPr>
                <w:sz w:val="11"/>
                <w:szCs w:val="11"/>
                <w:color w:val="auto"/>
              </w:rPr>
            </w:pPr>
          </w:p>
        </w:tc>
        <w:tc>
          <w:tcPr>
            <w:tcW w:w="120" w:type="dxa"/>
            <w:vAlign w:val="bottom"/>
            <w:shd w:val="clear" w:color="auto" w:fill="EDEDEE"/>
          </w:tcPr>
          <w:p>
            <w:pPr>
              <w:spacing w:after="0"/>
              <w:rPr>
                <w:sz w:val="11"/>
                <w:szCs w:val="11"/>
                <w:color w:val="auto"/>
              </w:rPr>
            </w:pPr>
          </w:p>
        </w:tc>
        <w:tc>
          <w:tcPr>
            <w:tcW w:w="86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EDEDEE"/>
          </w:tcPr>
          <w:p>
            <w:pPr>
              <w:ind w:left="20"/>
              <w:spacing w:after="0"/>
              <w:rPr>
                <w:sz w:val="20"/>
                <w:szCs w:val="20"/>
                <w:color w:val="auto"/>
              </w:rPr>
            </w:pPr>
            <w:r>
              <w:rPr>
                <w:rFonts w:ascii="Arial" w:cs="Arial" w:eastAsia="Arial" w:hAnsi="Arial"/>
                <w:sz w:val="13"/>
                <w:szCs w:val="13"/>
                <w:color w:val="auto"/>
              </w:rPr>
              <w:t>repayment and forbearance</w:t>
            </w:r>
          </w:p>
        </w:tc>
        <w:tc>
          <w:tcPr>
            <w:tcW w:w="140" w:type="dxa"/>
            <w:vAlign w:val="bottom"/>
            <w:shd w:val="clear" w:color="auto" w:fill="EDEDEE"/>
          </w:tcPr>
          <w:p>
            <w:pPr>
              <w:spacing w:after="0"/>
              <w:rPr>
                <w:sz w:val="15"/>
                <w:szCs w:val="15"/>
                <w:color w:val="auto"/>
              </w:rPr>
            </w:pPr>
          </w:p>
        </w:tc>
        <w:tc>
          <w:tcPr>
            <w:tcW w:w="800" w:type="dxa"/>
            <w:vAlign w:val="bottom"/>
            <w:shd w:val="clear" w:color="auto" w:fill="EDEDEE"/>
          </w:tcPr>
          <w:p>
            <w:pPr>
              <w:jc w:val="right"/>
              <w:spacing w:after="0"/>
              <w:rPr>
                <w:sz w:val="20"/>
                <w:szCs w:val="20"/>
                <w:color w:val="auto"/>
              </w:rPr>
            </w:pPr>
            <w:r>
              <w:rPr>
                <w:rFonts w:ascii="Arial" w:cs="Arial" w:eastAsia="Arial" w:hAnsi="Arial"/>
                <w:sz w:val="13"/>
                <w:szCs w:val="13"/>
                <w:color w:val="auto"/>
              </w:rPr>
              <w:t>0.7 %</w:t>
            </w:r>
          </w:p>
        </w:tc>
        <w:tc>
          <w:tcPr>
            <w:tcW w:w="180" w:type="dxa"/>
            <w:vAlign w:val="bottom"/>
            <w:shd w:val="clear" w:color="auto" w:fill="EDEDEE"/>
          </w:tcPr>
          <w:p>
            <w:pPr>
              <w:spacing w:after="0"/>
              <w:rPr>
                <w:sz w:val="15"/>
                <w:szCs w:val="15"/>
                <w:color w:val="auto"/>
              </w:rPr>
            </w:pPr>
          </w:p>
        </w:tc>
        <w:tc>
          <w:tcPr>
            <w:tcW w:w="8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3.6 %</w:t>
            </w:r>
          </w:p>
        </w:tc>
        <w:tc>
          <w:tcPr>
            <w:tcW w:w="160" w:type="dxa"/>
            <w:vAlign w:val="bottom"/>
            <w:shd w:val="clear" w:color="auto" w:fill="EDEDEE"/>
          </w:tcPr>
          <w:p>
            <w:pPr>
              <w:spacing w:after="0"/>
              <w:rPr>
                <w:sz w:val="15"/>
                <w:szCs w:val="15"/>
                <w:color w:val="auto"/>
              </w:rPr>
            </w:pPr>
          </w:p>
        </w:tc>
        <w:tc>
          <w:tcPr>
            <w:tcW w:w="82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3.6 %</w:t>
            </w:r>
          </w:p>
        </w:tc>
        <w:tc>
          <w:tcPr>
            <w:tcW w:w="180" w:type="dxa"/>
            <w:vAlign w:val="bottom"/>
            <w:shd w:val="clear" w:color="auto" w:fill="EDEDEE"/>
          </w:tcPr>
          <w:p>
            <w:pPr>
              <w:spacing w:after="0"/>
              <w:rPr>
                <w:sz w:val="15"/>
                <w:szCs w:val="15"/>
                <w:color w:val="auto"/>
              </w:rPr>
            </w:pPr>
          </w:p>
        </w:tc>
        <w:tc>
          <w:tcPr>
            <w:tcW w:w="82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3.1 %</w:t>
            </w:r>
          </w:p>
        </w:tc>
        <w:tc>
          <w:tcPr>
            <w:tcW w:w="180" w:type="dxa"/>
            <w:vAlign w:val="bottom"/>
            <w:shd w:val="clear" w:color="auto" w:fill="EDEDEE"/>
          </w:tcPr>
          <w:p>
            <w:pPr>
              <w:spacing w:after="0"/>
              <w:rPr>
                <w:sz w:val="15"/>
                <w:szCs w:val="15"/>
                <w:color w:val="auto"/>
              </w:rPr>
            </w:pPr>
          </w:p>
        </w:tc>
        <w:tc>
          <w:tcPr>
            <w:tcW w:w="82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2.7 %</w:t>
            </w:r>
          </w:p>
        </w:tc>
        <w:tc>
          <w:tcPr>
            <w:tcW w:w="180" w:type="dxa"/>
            <w:vAlign w:val="bottom"/>
            <w:shd w:val="clear" w:color="auto" w:fill="EDEDEE"/>
          </w:tcPr>
          <w:p>
            <w:pPr>
              <w:spacing w:after="0"/>
              <w:rPr>
                <w:sz w:val="15"/>
                <w:szCs w:val="15"/>
                <w:color w:val="auto"/>
              </w:rPr>
            </w:pPr>
          </w:p>
        </w:tc>
        <w:tc>
          <w:tcPr>
            <w:tcW w:w="90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1.8 %</w:t>
            </w:r>
          </w:p>
        </w:tc>
        <w:tc>
          <w:tcPr>
            <w:tcW w:w="120" w:type="dxa"/>
            <w:vAlign w:val="bottom"/>
            <w:shd w:val="clear" w:color="auto" w:fill="EDEDEE"/>
          </w:tcPr>
          <w:p>
            <w:pPr>
              <w:spacing w:after="0"/>
              <w:rPr>
                <w:sz w:val="15"/>
                <w:szCs w:val="15"/>
                <w:color w:val="auto"/>
              </w:rPr>
            </w:pPr>
          </w:p>
        </w:tc>
        <w:tc>
          <w:tcPr>
            <w:tcW w:w="86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ind w:left="974" w:hanging="324"/>
        <w:spacing w:after="0" w:line="226" w:lineRule="auto"/>
        <w:tabs>
          <w:tab w:leader="none" w:pos="965"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Deferment includes customers who have returned to school or are engaged in other permitted educational activities and are not yet required to make payments on the loans (e.g., residency periods for medical students or a grace period for bar exam preparation).</w:t>
      </w:r>
    </w:p>
    <w:p>
      <w:pPr>
        <w:spacing w:after="0" w:line="144" w:lineRule="exact"/>
        <w:rPr>
          <w:rFonts w:ascii="Arial" w:cs="Arial" w:eastAsia="Arial" w:hAnsi="Arial"/>
          <w:sz w:val="16"/>
          <w:szCs w:val="16"/>
          <w:color w:val="auto"/>
          <w:vertAlign w:val="superscript"/>
        </w:rPr>
      </w:pPr>
    </w:p>
    <w:p>
      <w:pPr>
        <w:ind w:left="974" w:hanging="324"/>
        <w:spacing w:after="0" w:line="246" w:lineRule="auto"/>
        <w:tabs>
          <w:tab w:leader="none" w:pos="965" w:val="left"/>
        </w:tabs>
        <w:numPr>
          <w:ilvl w:val="0"/>
          <w:numId w:val="29"/>
        </w:numPr>
        <w:rPr>
          <w:rFonts w:ascii="Arial" w:cs="Arial" w:eastAsia="Arial" w:hAnsi="Arial"/>
          <w:sz w:val="15"/>
          <w:szCs w:val="15"/>
          <w:color w:val="auto"/>
          <w:vertAlign w:val="superscript"/>
        </w:rPr>
      </w:pPr>
      <w:r>
        <w:rPr>
          <w:rFonts w:ascii="Arial" w:cs="Arial" w:eastAsia="Arial" w:hAnsi="Arial"/>
          <w:sz w:val="12"/>
          <w:szCs w:val="12"/>
          <w:color w:val="auto"/>
        </w:rPr>
        <w:t>Loans for customers who have requested extension of grace period generally during employment transition or who have temporarily ceased making full payments due to hardship or other factors (other than delinquent loans in disaster forbearance), consistent with established loan program servicing policies and procedures.</w:t>
      </w:r>
    </w:p>
    <w:p>
      <w:pPr>
        <w:spacing w:after="0" w:line="122" w:lineRule="exact"/>
        <w:rPr>
          <w:rFonts w:ascii="Arial" w:cs="Arial" w:eastAsia="Arial" w:hAnsi="Arial"/>
          <w:sz w:val="15"/>
          <w:szCs w:val="15"/>
          <w:color w:val="auto"/>
          <w:vertAlign w:val="superscript"/>
        </w:rPr>
      </w:pPr>
    </w:p>
    <w:p>
      <w:pPr>
        <w:ind w:left="974" w:hanging="324"/>
        <w:spacing w:after="0"/>
        <w:tabs>
          <w:tab w:leader="none" w:pos="974"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The period of delinquency is based on the number of days scheduled payments are contractually past due.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74"/>
        <w:spacing w:after="0"/>
        <w:rPr>
          <w:sz w:val="20"/>
          <w:szCs w:val="20"/>
          <w:color w:val="auto"/>
        </w:rPr>
      </w:pPr>
      <w:r>
        <w:rPr>
          <w:rFonts w:ascii="Arial" w:cs="Arial" w:eastAsia="Arial" w:hAnsi="Arial"/>
          <w:sz w:val="20"/>
          <w:szCs w:val="20"/>
          <w:b w:val="1"/>
          <w:bCs w:val="1"/>
          <w:color w:val="134F82"/>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366" w:top="620" w:right="1319" w:bottom="1440" w:gutter="0" w:footer="0" w:header="0"/>
        </w:sectPr>
      </w:pPr>
    </w:p>
    <w:bookmarkStart w:id="28" w:name="page29"/>
    <w:bookmarkEnd w:id="28"/>
    <w:p>
      <w:pPr>
        <w:ind w:left="380" w:hanging="334"/>
        <w:spacing w:after="0"/>
        <w:tabs>
          <w:tab w:leader="none" w:pos="3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 and Unfunded Loan Commitments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Accrued Interest Receivable</w:t>
      </w:r>
    </w:p>
    <w:p>
      <w:pPr>
        <w:spacing w:after="0" w:line="11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following table provides information regarding accrued interest receivable on our Private Education Loans. The table also discloses the amount of accrued interest on loans 90 days or greater past due as compared to our allowance for uncollectible interest. The majority of the total accrued interest receivable represents accrued interest on deferred loans where no payments are due while the borrower is in school and fixed-pay loans where the borrower makes a $25 monthly payment that is smaller than the interest accruing on the loan in that month. The accrued interest on these loans will be capitalized to the balance of the loans when the borrower exits the grace period after separation from school. The allowance for credit losses considers the collectibility of both principal and accrued interest. The allowance for uncollectible interest estimates the additional uncollectible interest that is not captured in the allowance for credit losses.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14"/>
        </w:trPr>
        <w:tc>
          <w:tcPr>
            <w:tcW w:w="25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144F82"/>
              </w:rPr>
              <w:t>Private Education Loans</w:t>
            </w: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center"/>
              <w:ind w:left="984"/>
              <w:spacing w:after="0"/>
              <w:rPr>
                <w:sz w:val="20"/>
                <w:szCs w:val="20"/>
                <w:color w:val="auto"/>
              </w:rPr>
            </w:pPr>
            <w:r>
              <w:rPr>
                <w:rFonts w:ascii="Arial" w:cs="Arial" w:eastAsia="Arial" w:hAnsi="Arial"/>
                <w:sz w:val="14"/>
                <w:szCs w:val="14"/>
                <w:b w:val="1"/>
                <w:bCs w:val="1"/>
                <w:color w:val="144F82"/>
              </w:rPr>
              <w:t>Accrued Interest Receivable</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144F82"/>
              </w:rPr>
              <w:t>Total Interest</w:t>
            </w:r>
          </w:p>
        </w:tc>
        <w:tc>
          <w:tcPr>
            <w:tcW w:w="1600" w:type="dxa"/>
            <w:vAlign w:val="bottom"/>
            <w:gridSpan w:val="2"/>
            <w:vMerge w:val="restart"/>
          </w:tcPr>
          <w:p>
            <w:pPr>
              <w:jc w:val="center"/>
              <w:ind w:left="44"/>
              <w:spacing w:after="0"/>
              <w:rPr>
                <w:sz w:val="20"/>
                <w:szCs w:val="20"/>
                <w:color w:val="auto"/>
              </w:rPr>
            </w:pPr>
            <w:r>
              <w:rPr>
                <w:rFonts w:ascii="Arial" w:cs="Arial" w:eastAsia="Arial" w:hAnsi="Arial"/>
                <w:sz w:val="14"/>
                <w:szCs w:val="14"/>
                <w:b w:val="1"/>
                <w:bCs w:val="1"/>
                <w:color w:val="144F82"/>
              </w:rPr>
              <w:t>90 Days or Greater</w:t>
            </w:r>
          </w:p>
        </w:tc>
        <w:tc>
          <w:tcPr>
            <w:tcW w:w="280" w:type="dxa"/>
            <w:vAlign w:val="bottom"/>
          </w:tcPr>
          <w:p>
            <w:pPr>
              <w:spacing w:after="0"/>
              <w:rPr>
                <w:sz w:val="12"/>
                <w:szCs w:val="12"/>
                <w:color w:val="auto"/>
              </w:rPr>
            </w:pPr>
          </w:p>
        </w:tc>
        <w:tc>
          <w:tcPr>
            <w:tcW w:w="126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144F82"/>
              </w:rPr>
              <w:t>Allowance for</w:t>
            </w: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144"/>
              <w:spacing w:after="0" w:line="145" w:lineRule="exact"/>
              <w:rPr>
                <w:sz w:val="20"/>
                <w:szCs w:val="20"/>
                <w:color w:val="auto"/>
              </w:rPr>
            </w:pPr>
            <w:r>
              <w:rPr>
                <w:rFonts w:ascii="Arial" w:cs="Arial" w:eastAsia="Arial" w:hAnsi="Arial"/>
                <w:sz w:val="14"/>
                <w:szCs w:val="14"/>
                <w:b w:val="1"/>
                <w:bCs w:val="1"/>
                <w:color w:val="144F82"/>
              </w:rPr>
              <w:t>Uncollectible</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144F82"/>
              </w:rPr>
              <w:t>Receivable</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144F82"/>
              </w:rPr>
              <w:t>Past Due</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144F82"/>
              </w:rPr>
              <w:t>Interest</w:t>
            </w:r>
            <w:r>
              <w:rPr>
                <w:rFonts w:ascii="Arial" w:cs="Arial" w:eastAsia="Arial" w:hAnsi="Arial"/>
                <w:sz w:val="9"/>
                <w:szCs w:val="9"/>
                <w:b w:val="1"/>
                <w:bCs w:val="1"/>
                <w:color w:val="144F82"/>
              </w:rPr>
              <w:t>(1)</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EDEDEE"/>
          </w:tcPr>
          <w:p>
            <w:pPr>
              <w:ind w:left="20"/>
              <w:spacing w:after="0"/>
              <w:rPr>
                <w:sz w:val="20"/>
                <w:szCs w:val="20"/>
                <w:color w:val="auto"/>
              </w:rPr>
            </w:pPr>
            <w:r>
              <w:rPr>
                <w:rFonts w:ascii="Arial" w:cs="Arial" w:eastAsia="Arial" w:hAnsi="Arial"/>
                <w:sz w:val="16"/>
                <w:szCs w:val="16"/>
                <w:color w:val="auto"/>
              </w:rPr>
              <w:t>March 31, 2025</w:t>
            </w:r>
          </w:p>
        </w:tc>
        <w:tc>
          <w:tcPr>
            <w:tcW w:w="3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1,558,465</w:t>
            </w:r>
          </w:p>
        </w:tc>
        <w:tc>
          <w:tcPr>
            <w:tcW w:w="400" w:type="dxa"/>
            <w:vAlign w:val="bottom"/>
            <w:shd w:val="clear" w:color="auto" w:fill="EDEDEE"/>
          </w:tcPr>
          <w:p>
            <w:pPr>
              <w:jc w:val="right"/>
              <w:ind w:right="64"/>
              <w:spacing w:after="0"/>
              <w:rPr>
                <w:sz w:val="20"/>
                <w:szCs w:val="20"/>
                <w:color w:val="auto"/>
              </w:rPr>
            </w:pPr>
            <w:r>
              <w:rPr>
                <w:rFonts w:ascii="Arial" w:cs="Arial" w:eastAsia="Arial" w:hAnsi="Arial"/>
                <w:sz w:val="16"/>
                <w:szCs w:val="16"/>
                <w:color w:val="auto"/>
              </w:rPr>
              <w:t>$</w:t>
            </w:r>
          </w:p>
        </w:tc>
        <w:tc>
          <w:tcPr>
            <w:tcW w:w="1200" w:type="dxa"/>
            <w:vAlign w:val="bottom"/>
            <w:shd w:val="clear" w:color="auto" w:fill="EDEDEE"/>
          </w:tcPr>
          <w:p>
            <w:pPr>
              <w:jc w:val="right"/>
              <w:ind w:right="22"/>
              <w:spacing w:after="0"/>
              <w:rPr>
                <w:sz w:val="20"/>
                <w:szCs w:val="20"/>
                <w:color w:val="auto"/>
              </w:rPr>
            </w:pPr>
            <w:r>
              <w:rPr>
                <w:rFonts w:ascii="Arial" w:cs="Arial" w:eastAsia="Arial" w:hAnsi="Arial"/>
                <w:sz w:val="16"/>
                <w:szCs w:val="16"/>
                <w:color w:val="auto"/>
              </w:rPr>
              <w:t>6,539</w:t>
            </w:r>
          </w:p>
        </w:tc>
        <w:tc>
          <w:tcPr>
            <w:tcW w:w="28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DEE"/>
          </w:tcPr>
          <w:p>
            <w:pPr>
              <w:jc w:val="right"/>
              <w:ind w:right="4"/>
              <w:spacing w:after="0"/>
              <w:rPr>
                <w:sz w:val="20"/>
                <w:szCs w:val="20"/>
                <w:color w:val="auto"/>
              </w:rPr>
            </w:pPr>
            <w:r>
              <w:rPr>
                <w:rFonts w:ascii="Arial" w:cs="Arial" w:eastAsia="Arial" w:hAnsi="Arial"/>
                <w:sz w:val="16"/>
                <w:szCs w:val="16"/>
                <w:color w:val="auto"/>
              </w:rPr>
              <w:t>14,192</w:t>
            </w: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rPr>
                <w:sz w:val="20"/>
                <w:szCs w:val="20"/>
                <w:color w:val="auto"/>
              </w:rPr>
            </w:pPr>
            <w:r>
              <w:rPr>
                <w:rFonts w:ascii="Arial" w:cs="Arial" w:eastAsia="Arial" w:hAnsi="Arial"/>
                <w:sz w:val="16"/>
                <w:szCs w:val="16"/>
                <w:color w:val="auto"/>
              </w:rPr>
              <w:t>December 31, 2024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1,549,415</w:t>
            </w:r>
          </w:p>
        </w:tc>
        <w:tc>
          <w:tcPr>
            <w:tcW w:w="4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6,420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12,366</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2200" w:right="2020" w:hanging="329"/>
        <w:spacing w:after="0" w:line="246" w:lineRule="auto"/>
        <w:tabs>
          <w:tab w:leader="none" w:pos="2192" w:val="left"/>
        </w:tabs>
        <w:numPr>
          <w:ilvl w:val="0"/>
          <w:numId w:val="31"/>
        </w:numPr>
        <w:rPr>
          <w:rFonts w:ascii="Arial" w:cs="Arial" w:eastAsia="Arial" w:hAnsi="Arial"/>
          <w:sz w:val="15"/>
          <w:szCs w:val="15"/>
          <w:color w:val="auto"/>
          <w:vertAlign w:val="superscript"/>
        </w:rPr>
      </w:pPr>
      <w:r>
        <w:rPr>
          <w:rFonts w:ascii="Arial" w:cs="Arial" w:eastAsia="Arial" w:hAnsi="Arial"/>
          <w:sz w:val="12"/>
          <w:szCs w:val="12"/>
          <w:color w:val="auto"/>
        </w:rPr>
        <w:t>At March 31, 2025 and December 31, 2024, $156 million and $164 million, respectively, of accrued interest receivable was not expected to be capitalized and $1.4 billion and $1.4 billion of accrued interest receivable was expected to be capitalized.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Loan Commitments</w:t>
      </w:r>
    </w:p>
    <w:p>
      <w:pPr>
        <w:spacing w:after="0" w:line="11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When we approve a Private Education Loan at the beginning of an academic year, that approval may cover the borrowing for the entire academic year. As such, we do not always disburse the full amount of the loan at the time of such approval, but instead have a commitment to fund a portion of the loan at a later date (usually at the start of the second semester or subsequent trimesters). We estimate expected credit losses over the contractual period in which we are exposed to credit risk via a contractual obligation to extend credit, unless that obligation is unconditionally cancellable by us. See Note 2, “Significant Accounting Policies - Allowance for Credit Losses — Off-Balance Sheet Exposure for Contractual Loan Commitments” in our 2024 Form 10-K for additional information.</w:t>
      </w:r>
    </w:p>
    <w:p>
      <w:pPr>
        <w:spacing w:after="0" w:line="74"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At March 31, 2025, we had $584 million of outstanding contractual loan commitments that we expect to fund during the remainder of the 2024/2025 academic year. The table below summarizes the activity in the allowance recorded to cover lifetime expected credit losses on the unfunded commitments, which is recorded in “Other Liabilities” on the consolidated balance sheets, as well as the activity in the unfunded commitments balance.</w:t>
      </w:r>
    </w:p>
    <w:p>
      <w:pPr>
        <w:spacing w:after="0" w:line="148" w:lineRule="exact"/>
        <w:rPr>
          <w:sz w:val="20"/>
          <w:szCs w:val="20"/>
          <w:color w:val="auto"/>
        </w:rPr>
      </w:pPr>
    </w:p>
    <w:tbl>
      <w:tblPr>
        <w:tblLayout w:type="fixed"/>
        <w:tblInd w:w="960" w:type="dxa"/>
        <w:tblCellMar>
          <w:top w:w="0" w:type="dxa"/>
          <w:left w:w="0" w:type="dxa"/>
          <w:bottom w:w="0" w:type="dxa"/>
          <w:right w:w="0" w:type="dxa"/>
        </w:tblCellMar>
      </w:tblPr>
      <w:tr>
        <w:trPr>
          <w:trHeight w:val="214"/>
        </w:trPr>
        <w:tc>
          <w:tcPr>
            <w:tcW w:w="40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144F82"/>
              </w:rPr>
              <w:t>2025</w:t>
            </w:r>
          </w:p>
        </w:tc>
        <w:tc>
          <w:tcPr>
            <w:tcW w:w="1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144F82"/>
              </w:rPr>
              <w:t>2024</w:t>
            </w:r>
          </w:p>
        </w:tc>
        <w:tc>
          <w:tcPr>
            <w:tcW w:w="13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b w:val="1"/>
                <w:bCs w:val="1"/>
                <w:color w:val="144F82"/>
              </w:rPr>
              <w:t>Three Months Ended March 31,</w:t>
            </w:r>
          </w:p>
        </w:tc>
        <w:tc>
          <w:tcPr>
            <w:tcW w:w="160" w:type="dxa"/>
            <w:vAlign w:val="bottom"/>
          </w:tcPr>
          <w:p>
            <w:pPr>
              <w:spacing w:after="0"/>
              <w:rPr>
                <w:sz w:val="12"/>
                <w:szCs w:val="12"/>
                <w:color w:val="auto"/>
              </w:rPr>
            </w:pPr>
          </w:p>
        </w:tc>
        <w:tc>
          <w:tcPr>
            <w:tcW w:w="10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144F82"/>
              </w:rPr>
              <w:t>Allowance</w:t>
            </w:r>
          </w:p>
        </w:tc>
        <w:tc>
          <w:tcPr>
            <w:tcW w:w="3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144F82"/>
              </w:rPr>
              <w:t>Unfunded</w:t>
            </w:r>
          </w:p>
        </w:tc>
        <w:tc>
          <w:tcPr>
            <w:tcW w:w="160" w:type="dxa"/>
            <w:vAlign w:val="bottom"/>
          </w:tcPr>
          <w:p>
            <w:pPr>
              <w:spacing w:after="0"/>
              <w:rPr>
                <w:sz w:val="12"/>
                <w:szCs w:val="12"/>
                <w:color w:val="auto"/>
              </w:rPr>
            </w:pPr>
          </w:p>
        </w:tc>
        <w:tc>
          <w:tcPr>
            <w:tcW w:w="10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144F82"/>
              </w:rPr>
              <w:t>Allowance</w:t>
            </w:r>
          </w:p>
        </w:tc>
        <w:tc>
          <w:tcPr>
            <w:tcW w:w="380" w:type="dxa"/>
            <w:vAlign w:val="bottom"/>
          </w:tcPr>
          <w:p>
            <w:pPr>
              <w:spacing w:after="0"/>
              <w:rPr>
                <w:sz w:val="12"/>
                <w:szCs w:val="12"/>
                <w:color w:val="auto"/>
              </w:rPr>
            </w:pPr>
          </w:p>
        </w:tc>
        <w:tc>
          <w:tcPr>
            <w:tcW w:w="1300" w:type="dxa"/>
            <w:vAlign w:val="bottom"/>
          </w:tcPr>
          <w:p>
            <w:pPr>
              <w:jc w:val="right"/>
              <w:ind w:right="382"/>
              <w:spacing w:after="0" w:line="149" w:lineRule="exact"/>
              <w:rPr>
                <w:sz w:val="20"/>
                <w:szCs w:val="20"/>
                <w:color w:val="auto"/>
              </w:rPr>
            </w:pPr>
            <w:r>
              <w:rPr>
                <w:rFonts w:ascii="Arial" w:cs="Arial" w:eastAsia="Arial" w:hAnsi="Arial"/>
                <w:sz w:val="14"/>
                <w:szCs w:val="14"/>
                <w:b w:val="1"/>
                <w:bCs w:val="1"/>
                <w:color w:val="144F82"/>
              </w:rPr>
              <w:t>Unfunded</w:t>
            </w:r>
          </w:p>
        </w:tc>
        <w:tc>
          <w:tcPr>
            <w:tcW w:w="0" w:type="dxa"/>
            <w:vAlign w:val="bottom"/>
          </w:tcPr>
          <w:p>
            <w:pPr>
              <w:spacing w:after="0"/>
              <w:rPr>
                <w:sz w:val="1"/>
                <w:szCs w:val="1"/>
                <w:color w:val="auto"/>
              </w:rPr>
            </w:pPr>
          </w:p>
        </w:tc>
      </w:tr>
      <w:tr>
        <w:trPr>
          <w:trHeight w:val="185"/>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44F82"/>
              </w:rPr>
              <w:t>(dollars in thousands)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144F82"/>
              </w:rPr>
              <w:t>Commitments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144F82"/>
              </w:rPr>
              <w:t>Commitments</w:t>
            </w:r>
          </w:p>
        </w:tc>
        <w:tc>
          <w:tcPr>
            <w:tcW w:w="0" w:type="dxa"/>
            <w:vAlign w:val="bottom"/>
          </w:tcPr>
          <w:p>
            <w:pPr>
              <w:spacing w:after="0"/>
              <w:rPr>
                <w:sz w:val="1"/>
                <w:szCs w:val="1"/>
                <w:color w:val="auto"/>
              </w:rPr>
            </w:pPr>
          </w:p>
        </w:tc>
      </w:tr>
      <w:tr>
        <w:trPr>
          <w:trHeight w:val="210"/>
        </w:trPr>
        <w:tc>
          <w:tcPr>
            <w:tcW w:w="4000" w:type="dxa"/>
            <w:vAlign w:val="bottom"/>
            <w:shd w:val="clear" w:color="auto" w:fill="EDEDEE"/>
          </w:tcPr>
          <w:p>
            <w:pPr>
              <w:spacing w:after="0"/>
              <w:rPr>
                <w:sz w:val="20"/>
                <w:szCs w:val="20"/>
                <w:color w:val="auto"/>
              </w:rPr>
            </w:pPr>
            <w:r>
              <w:rPr>
                <w:rFonts w:ascii="Arial" w:cs="Arial" w:eastAsia="Arial" w:hAnsi="Arial"/>
                <w:sz w:val="16"/>
                <w:szCs w:val="16"/>
                <w:b w:val="1"/>
                <w:bCs w:val="1"/>
                <w:color w:val="144F82"/>
              </w:rPr>
              <w:t>Beginning Balance</w:t>
            </w:r>
          </w:p>
        </w:tc>
        <w:tc>
          <w:tcPr>
            <w:tcW w:w="16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84,568</w:t>
            </w:r>
          </w:p>
        </w:tc>
        <w:tc>
          <w:tcPr>
            <w:tcW w:w="36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2,311,660</w:t>
            </w:r>
          </w:p>
        </w:tc>
        <w:tc>
          <w:tcPr>
            <w:tcW w:w="180" w:type="dxa"/>
            <w:vAlign w:val="bottom"/>
            <w:shd w:val="clear" w:color="auto" w:fill="EDEDEE"/>
          </w:tcPr>
          <w:p>
            <w:pPr>
              <w:spacing w:after="0"/>
              <w:rPr>
                <w:sz w:val="18"/>
                <w:szCs w:val="18"/>
                <w:color w:val="auto"/>
              </w:rPr>
            </w:pPr>
          </w:p>
        </w:tc>
        <w:tc>
          <w:tcPr>
            <w:tcW w:w="16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DEDEE"/>
          </w:tcPr>
          <w:p>
            <w:pPr>
              <w:jc w:val="right"/>
              <w:ind w:right="41"/>
              <w:spacing w:after="0"/>
              <w:rPr>
                <w:sz w:val="20"/>
                <w:szCs w:val="20"/>
                <w:color w:val="auto"/>
              </w:rPr>
            </w:pPr>
            <w:r>
              <w:rPr>
                <w:rFonts w:ascii="Arial" w:cs="Arial" w:eastAsia="Arial" w:hAnsi="Arial"/>
                <w:sz w:val="16"/>
                <w:szCs w:val="16"/>
                <w:color w:val="auto"/>
              </w:rPr>
              <w:t>112,962</w:t>
            </w:r>
          </w:p>
        </w:tc>
        <w:tc>
          <w:tcPr>
            <w:tcW w:w="380" w:type="dxa"/>
            <w:vAlign w:val="bottom"/>
            <w:shd w:val="clear" w:color="auto" w:fill="EDEDEE"/>
          </w:tcPr>
          <w:p>
            <w:pPr>
              <w:jc w:val="right"/>
              <w:ind w:right="102"/>
              <w:spacing w:after="0"/>
              <w:rPr>
                <w:sz w:val="20"/>
                <w:szCs w:val="20"/>
                <w:color w:val="auto"/>
              </w:rPr>
            </w:pPr>
            <w:r>
              <w:rPr>
                <w:rFonts w:ascii="Arial" w:cs="Arial" w:eastAsia="Arial" w:hAnsi="Arial"/>
                <w:sz w:val="16"/>
                <w:szCs w:val="16"/>
                <w:color w:val="auto"/>
              </w:rPr>
              <w:t>$</w:t>
            </w:r>
          </w:p>
        </w:tc>
        <w:tc>
          <w:tcPr>
            <w:tcW w:w="130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2,221,077</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6"/>
                <w:szCs w:val="16"/>
                <w:color w:val="auto"/>
              </w:rPr>
              <w:t>Provision/New commitments - net</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44,456</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1,043,958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50,686</w:t>
            </w:r>
          </w:p>
        </w:tc>
        <w:tc>
          <w:tcPr>
            <w:tcW w:w="38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1,034,458</w:t>
            </w:r>
          </w:p>
        </w:tc>
        <w:tc>
          <w:tcPr>
            <w:tcW w:w="0" w:type="dxa"/>
            <w:vAlign w:val="bottom"/>
          </w:tcPr>
          <w:p>
            <w:pPr>
              <w:spacing w:after="0"/>
              <w:rPr>
                <w:sz w:val="1"/>
                <w:szCs w:val="1"/>
                <w:color w:val="auto"/>
              </w:rPr>
            </w:pPr>
          </w:p>
        </w:tc>
      </w:tr>
      <w:tr>
        <w:trPr>
          <w:trHeight w:val="216"/>
        </w:trPr>
        <w:tc>
          <w:tcPr>
            <w:tcW w:w="4000" w:type="dxa"/>
            <w:vAlign w:val="bottom"/>
            <w:shd w:val="clear" w:color="auto" w:fill="EDEDEE"/>
          </w:tcPr>
          <w:p>
            <w:pPr>
              <w:spacing w:after="0" w:line="216" w:lineRule="exact"/>
              <w:rPr>
                <w:sz w:val="20"/>
                <w:szCs w:val="20"/>
                <w:color w:val="auto"/>
              </w:rPr>
            </w:pPr>
            <w:r>
              <w:rPr>
                <w:rFonts w:ascii="Arial" w:cs="Arial" w:eastAsia="Arial" w:hAnsi="Arial"/>
                <w:sz w:val="16"/>
                <w:szCs w:val="16"/>
                <w:color w:val="auto"/>
              </w:rPr>
              <w:t>Transfer - funded loans</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EDEDEE"/>
          </w:tcPr>
          <w:p>
            <w:pPr>
              <w:spacing w:after="0"/>
              <w:rPr>
                <w:sz w:val="18"/>
                <w:szCs w:val="18"/>
                <w:color w:val="auto"/>
              </w:rPr>
            </w:pPr>
          </w:p>
        </w:tc>
        <w:tc>
          <w:tcPr>
            <w:tcW w:w="10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(105,134)</w:t>
            </w:r>
          </w:p>
        </w:tc>
        <w:tc>
          <w:tcPr>
            <w:tcW w:w="360" w:type="dxa"/>
            <w:vAlign w:val="bottom"/>
            <w:tcBorders>
              <w:bottom w:val="single" w:sz="8" w:color="auto"/>
            </w:tcBorders>
            <w:shd w:val="clear" w:color="auto" w:fill="EDEDEE"/>
          </w:tcPr>
          <w:p>
            <w:pPr>
              <w:spacing w:after="0"/>
              <w:rPr>
                <w:sz w:val="18"/>
                <w:szCs w:val="18"/>
                <w:color w:val="auto"/>
              </w:rPr>
            </w:pPr>
          </w:p>
        </w:tc>
        <w:tc>
          <w:tcPr>
            <w:tcW w:w="1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(2,771,478)</w:t>
            </w:r>
          </w:p>
        </w:tc>
        <w:tc>
          <w:tcPr>
            <w:tcW w:w="180" w:type="dxa"/>
            <w:vAlign w:val="bottom"/>
            <w:tcBorders>
              <w:bottom w:val="single" w:sz="8" w:color="auto"/>
            </w:tcBorders>
            <w:shd w:val="clear" w:color="auto" w:fill="EDEDEE"/>
          </w:tcPr>
          <w:p>
            <w:pPr>
              <w:spacing w:after="0"/>
              <w:rPr>
                <w:sz w:val="18"/>
                <w:szCs w:val="18"/>
                <w:color w:val="auto"/>
              </w:rPr>
            </w:pPr>
          </w:p>
        </w:tc>
        <w:tc>
          <w:tcPr>
            <w:tcW w:w="160" w:type="dxa"/>
            <w:vAlign w:val="bottom"/>
            <w:tcBorders>
              <w:bottom w:val="single" w:sz="8" w:color="auto"/>
            </w:tcBorders>
            <w:shd w:val="clear" w:color="auto" w:fill="EDEDEE"/>
          </w:tcPr>
          <w:p>
            <w:pPr>
              <w:spacing w:after="0"/>
              <w:rPr>
                <w:sz w:val="18"/>
                <w:szCs w:val="18"/>
                <w:color w:val="auto"/>
              </w:rPr>
            </w:pPr>
          </w:p>
        </w:tc>
        <w:tc>
          <w:tcPr>
            <w:tcW w:w="106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(131,614)</w:t>
            </w:r>
          </w:p>
        </w:tc>
        <w:tc>
          <w:tcPr>
            <w:tcW w:w="380" w:type="dxa"/>
            <w:vAlign w:val="bottom"/>
            <w:tcBorders>
              <w:bottom w:val="single" w:sz="8" w:color="auto"/>
            </w:tcBorders>
            <w:shd w:val="clear" w:color="auto" w:fill="EDEDEE"/>
          </w:tcPr>
          <w:p>
            <w:pPr>
              <w:spacing w:after="0"/>
              <w:rPr>
                <w:sz w:val="18"/>
                <w:szCs w:val="18"/>
                <w:color w:val="auto"/>
              </w:rPr>
            </w:pPr>
          </w:p>
        </w:tc>
        <w:tc>
          <w:tcPr>
            <w:tcW w:w="13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(2,582,043)</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6"/>
                <w:szCs w:val="16"/>
                <w:b w:val="1"/>
                <w:bCs w:val="1"/>
                <w:color w:val="144F82"/>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23,890</w:t>
            </w: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584,140</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32,034</w:t>
            </w:r>
          </w:p>
        </w:tc>
        <w:tc>
          <w:tcPr>
            <w:tcW w:w="3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673,492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820" w:right="1440" w:hanging="164"/>
        <w:spacing w:after="0" w:line="253" w:lineRule="auto"/>
        <w:tabs>
          <w:tab w:leader="none" w:pos="992" w:val="left"/>
        </w:tabs>
        <w:numPr>
          <w:ilvl w:val="0"/>
          <w:numId w:val="32"/>
        </w:numPr>
        <w:rPr>
          <w:rFonts w:ascii="Arial" w:cs="Arial" w:eastAsia="Arial" w:hAnsi="Arial"/>
          <w:sz w:val="16"/>
          <w:szCs w:val="16"/>
          <w:color w:val="auto"/>
          <w:vertAlign w:val="superscript"/>
        </w:rPr>
      </w:pPr>
      <w:r>
        <w:rPr>
          <w:rFonts w:ascii="Arial" w:cs="Arial" w:eastAsia="Arial" w:hAnsi="Arial"/>
          <w:sz w:val="14"/>
          <w:szCs w:val="14"/>
          <w:color w:val="auto"/>
        </w:rPr>
        <w:t>Net of expirations of commitments unused. Also includes incremental provision for new commitments and changes to provision for existing commitments.</w:t>
      </w:r>
    </w:p>
    <w:p>
      <w:pPr>
        <w:spacing w:after="0" w:line="1" w:lineRule="exact"/>
        <w:rPr>
          <w:rFonts w:ascii="Arial" w:cs="Arial" w:eastAsia="Arial" w:hAnsi="Arial"/>
          <w:sz w:val="16"/>
          <w:szCs w:val="16"/>
          <w:color w:val="auto"/>
          <w:vertAlign w:val="superscript"/>
        </w:rPr>
      </w:pPr>
    </w:p>
    <w:p>
      <w:pPr>
        <w:ind w:left="820" w:right="2040" w:hanging="164"/>
        <w:spacing w:after="0" w:line="284" w:lineRule="auto"/>
        <w:tabs>
          <w:tab w:leader="none" w:pos="972" w:val="left"/>
        </w:tabs>
        <w:numPr>
          <w:ilvl w:val="0"/>
          <w:numId w:val="32"/>
        </w:numPr>
        <w:rPr>
          <w:rFonts w:ascii="Arial" w:cs="Arial" w:eastAsia="Arial" w:hAnsi="Arial"/>
          <w:sz w:val="9"/>
          <w:szCs w:val="9"/>
          <w:color w:val="auto"/>
        </w:rPr>
      </w:pPr>
      <w:r>
        <w:rPr>
          <w:rFonts w:ascii="Arial" w:cs="Arial" w:eastAsia="Arial" w:hAnsi="Arial"/>
          <w:sz w:val="14"/>
          <w:szCs w:val="14"/>
          <w:color w:val="auto"/>
        </w:rPr>
        <w:t>When a loan commitment is funded, its related liability for credit losses (which originally was recorded as a provision for unfunded commitments) is transferred to the allowance for credit losses.</w:t>
      </w:r>
    </w:p>
    <w:p>
      <w:pPr>
        <w:spacing w:after="0" w:line="297" w:lineRule="exact"/>
        <w:rPr>
          <w:sz w:val="20"/>
          <w:szCs w:val="20"/>
          <w:color w:val="auto"/>
        </w:rPr>
      </w:pPr>
    </w:p>
    <w:p>
      <w:pPr>
        <w:ind w:right="360" w:firstLine="445"/>
        <w:spacing w:after="0" w:line="259" w:lineRule="auto"/>
        <w:rPr>
          <w:sz w:val="20"/>
          <w:szCs w:val="20"/>
          <w:color w:val="auto"/>
        </w:rPr>
      </w:pPr>
      <w:r>
        <w:rPr>
          <w:rFonts w:ascii="Arial" w:cs="Arial" w:eastAsia="Arial" w:hAnsi="Arial"/>
          <w:sz w:val="18"/>
          <w:szCs w:val="18"/>
          <w:color w:val="auto"/>
        </w:rPr>
        <w:t>The unfunded commitments disclosed above represent the total amount of outstanding unfunded commitments at each period end. However, historically not all of these commitments are funded prior to the expiration of the commitments. We estimate the amount of commitments expected to be funded in calculating the reserve for unfunded commitments. The amount we expect to fund and use in our calculation of the reserve for unfunded commitments will change period to period based upon the loan characteristics of the underlying commitments.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5. Goodwill and Acquired Intangible Assets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Goodwill</w:t>
      </w:r>
    </w:p>
    <w:p>
      <w:pPr>
        <w:spacing w:after="0" w:line="115"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We recorded as goodwill the excess of the purchase price over the estimated fair values of identifiable assets and liabilities acquired as part of the acquisition of the assets primarily used or held for use of Epic Research Education Services, LLC, which did business as Nitro College (“Nitro”), in the first quarter of 2022, and the acquisition of the key assets of Scholly Inc. (“Scholly”) in the third quarter of 2023. Goodwill is not amortized but is tested periodically for impairment. We test goodwill for impairment annually in the fourth quarter of the year, or more frequently if we believe that indicators of impairment exist. At both March 31, 2025 and December 31, 2024, we had $56 million in total goodwill. See Note 2, “Significant Accounting Policies — Business Combinations” in our 2024 Form 10-K for additional details on our acquisitions of Nitro and Scholly.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Acquired Intangible Assets</w:t>
      </w:r>
    </w:p>
    <w:p>
      <w:pPr>
        <w:spacing w:after="0" w:line="115" w:lineRule="exact"/>
        <w:rPr>
          <w:sz w:val="20"/>
          <w:szCs w:val="20"/>
          <w:color w:val="auto"/>
        </w:rPr>
      </w:pPr>
    </w:p>
    <w:p>
      <w:pPr>
        <w:jc w:val="both"/>
        <w:ind w:right="140" w:firstLine="445"/>
        <w:spacing w:after="0" w:line="268" w:lineRule="auto"/>
        <w:rPr>
          <w:sz w:val="20"/>
          <w:szCs w:val="20"/>
          <w:color w:val="auto"/>
        </w:rPr>
      </w:pPr>
      <w:r>
        <w:rPr>
          <w:rFonts w:ascii="Arial" w:cs="Arial" w:eastAsia="Arial" w:hAnsi="Arial"/>
          <w:sz w:val="18"/>
          <w:szCs w:val="18"/>
          <w:color w:val="auto"/>
        </w:rPr>
        <w:t>Our intangible assets include acquired trade name and trademarks, customer relationships, and developed technology. We review our long-lived assets for impairment whenever events or changes in circumstances indicate that the carrying amount of such assets may not be recoverable.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include the following:</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144F82"/>
              </w:rPr>
              <w:t>March 31, 2025</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144F82"/>
              </w:rPr>
              <w:t>December 31, 2024</w:t>
            </w: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280" w:type="dxa"/>
            <w:vAlign w:val="bottom"/>
          </w:tcPr>
          <w:p>
            <w:pPr>
              <w:jc w:val="center"/>
              <w:ind w:left="4"/>
              <w:spacing w:after="0" w:line="135" w:lineRule="exact"/>
              <w:rPr>
                <w:sz w:val="20"/>
                <w:szCs w:val="20"/>
                <w:color w:val="auto"/>
              </w:rPr>
            </w:pPr>
            <w:r>
              <w:rPr>
                <w:rFonts w:ascii="Arial" w:cs="Arial" w:eastAsia="Arial" w:hAnsi="Arial"/>
                <w:sz w:val="14"/>
                <w:szCs w:val="14"/>
                <w:b w:val="1"/>
                <w:bCs w:val="1"/>
                <w:color w:val="144F82"/>
              </w:rPr>
              <w:t>Weighted</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8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144F82"/>
              </w:rPr>
              <w:t>Average</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144F82"/>
              </w:rPr>
              <w:t>Accumulated</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144F82"/>
              </w:rPr>
              <w:t>Accumulated</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1280" w:type="dxa"/>
            <w:vAlign w:val="bottom"/>
          </w:tcPr>
          <w:p>
            <w:pPr>
              <w:jc w:val="center"/>
              <w:ind w:left="4"/>
              <w:spacing w:after="0" w:line="145" w:lineRule="exact"/>
              <w:rPr>
                <w:sz w:val="20"/>
                <w:szCs w:val="20"/>
                <w:color w:val="auto"/>
              </w:rPr>
            </w:pPr>
            <w:r>
              <w:rPr>
                <w:rFonts w:ascii="Arial" w:cs="Arial" w:eastAsia="Arial" w:hAnsi="Arial"/>
                <w:sz w:val="14"/>
                <w:szCs w:val="14"/>
                <w:b w:val="1"/>
                <w:bCs w:val="1"/>
                <w:color w:val="144F82"/>
              </w:rPr>
              <w:t>Useful Life</w:t>
            </w:r>
          </w:p>
        </w:tc>
        <w:tc>
          <w:tcPr>
            <w:tcW w:w="140" w:type="dxa"/>
            <w:vAlign w:val="bottom"/>
          </w:tcPr>
          <w:p>
            <w:pPr>
              <w:spacing w:after="0"/>
              <w:rPr>
                <w:sz w:val="12"/>
                <w:szCs w:val="12"/>
                <w:color w:val="auto"/>
              </w:rPr>
            </w:pPr>
          </w:p>
        </w:tc>
        <w:tc>
          <w:tcPr>
            <w:tcW w:w="94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144F82"/>
              </w:rPr>
              <w:t>Cost Basis</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144F82"/>
              </w:rPr>
              <w:t>Net</w:t>
            </w:r>
          </w:p>
        </w:tc>
        <w:tc>
          <w:tcPr>
            <w:tcW w:w="140" w:type="dxa"/>
            <w:vAlign w:val="bottom"/>
          </w:tcPr>
          <w:p>
            <w:pPr>
              <w:spacing w:after="0"/>
              <w:rPr>
                <w:sz w:val="12"/>
                <w:szCs w:val="12"/>
                <w:color w:val="auto"/>
              </w:rPr>
            </w:pPr>
          </w:p>
        </w:tc>
        <w:tc>
          <w:tcPr>
            <w:tcW w:w="9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144F82"/>
              </w:rPr>
              <w:t>Cost Basis</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144F82"/>
              </w:rPr>
              <w:t>Net</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144F82"/>
              </w:rPr>
              <w:t>(in years)</w:t>
            </w:r>
            <w:r>
              <w:rPr>
                <w:rFonts w:ascii="Arial" w:cs="Arial" w:eastAsia="Arial" w:hAnsi="Arial"/>
                <w:sz w:val="9"/>
                <w:szCs w:val="9"/>
                <w:b w:val="1"/>
                <w:bCs w:val="1"/>
                <w:color w:val="144F82"/>
              </w:rPr>
              <w:t>(1)</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144F82"/>
              </w:rPr>
              <w:t>Amortization</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144F82"/>
              </w:rPr>
              <w:t>Amortization</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EDEDEE"/>
          </w:tcPr>
          <w:p>
            <w:pPr>
              <w:ind w:left="40"/>
              <w:spacing w:after="0"/>
              <w:rPr>
                <w:sz w:val="20"/>
                <w:szCs w:val="20"/>
                <w:color w:val="auto"/>
              </w:rPr>
            </w:pPr>
            <w:r>
              <w:rPr>
                <w:rFonts w:ascii="Arial" w:cs="Arial" w:eastAsia="Arial" w:hAnsi="Arial"/>
                <w:sz w:val="16"/>
                <w:szCs w:val="16"/>
                <w:color w:val="auto"/>
              </w:rPr>
              <w:t>Trade name and trademarks</w:t>
            </w:r>
          </w:p>
        </w:tc>
        <w:tc>
          <w:tcPr>
            <w:tcW w:w="1280" w:type="dxa"/>
            <w:vAlign w:val="bottom"/>
            <w:shd w:val="clear" w:color="auto" w:fill="EDEDEE"/>
          </w:tcPr>
          <w:p>
            <w:pPr>
              <w:jc w:val="center"/>
              <w:ind w:left="4"/>
              <w:spacing w:after="0"/>
              <w:rPr>
                <w:sz w:val="20"/>
                <w:szCs w:val="20"/>
                <w:color w:val="auto"/>
              </w:rPr>
            </w:pPr>
            <w:r>
              <w:rPr>
                <w:rFonts w:ascii="Arial" w:cs="Arial" w:eastAsia="Arial" w:hAnsi="Arial"/>
                <w:sz w:val="16"/>
                <w:szCs w:val="16"/>
                <w:color w:val="auto"/>
              </w:rPr>
              <w:t>4.0</w:t>
            </w:r>
          </w:p>
        </w:tc>
        <w:tc>
          <w:tcPr>
            <w:tcW w:w="1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DEDEE"/>
          </w:tcPr>
          <w:p>
            <w:pPr>
              <w:jc w:val="right"/>
              <w:ind w:right="21"/>
              <w:spacing w:after="0"/>
              <w:rPr>
                <w:sz w:val="20"/>
                <w:szCs w:val="20"/>
                <w:color w:val="auto"/>
              </w:rPr>
            </w:pPr>
            <w:r>
              <w:rPr>
                <w:rFonts w:ascii="Arial" w:cs="Arial" w:eastAsia="Arial" w:hAnsi="Arial"/>
                <w:sz w:val="16"/>
                <w:szCs w:val="16"/>
                <w:color w:val="auto"/>
              </w:rPr>
              <w:t>6,040</w:t>
            </w:r>
          </w:p>
        </w:tc>
        <w:tc>
          <w:tcPr>
            <w:tcW w:w="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(2,517)</w:t>
            </w:r>
          </w:p>
        </w:tc>
        <w:tc>
          <w:tcPr>
            <w:tcW w:w="320" w:type="dxa"/>
            <w:vAlign w:val="bottom"/>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3,523</w:t>
            </w:r>
          </w:p>
        </w:tc>
        <w:tc>
          <w:tcPr>
            <w:tcW w:w="160" w:type="dxa"/>
            <w:vAlign w:val="bottom"/>
            <w:shd w:val="clear" w:color="auto" w:fill="EDEDEE"/>
          </w:tcPr>
          <w:p>
            <w:pPr>
              <w:spacing w:after="0"/>
              <w:rPr>
                <w:sz w:val="18"/>
                <w:szCs w:val="18"/>
                <w:color w:val="auto"/>
              </w:rPr>
            </w:pPr>
          </w:p>
        </w:tc>
        <w:tc>
          <w:tcPr>
            <w:tcW w:w="1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E"/>
          </w:tcPr>
          <w:p>
            <w:pPr>
              <w:jc w:val="right"/>
              <w:ind w:right="21"/>
              <w:spacing w:after="0"/>
              <w:rPr>
                <w:sz w:val="20"/>
                <w:szCs w:val="20"/>
                <w:color w:val="auto"/>
              </w:rPr>
            </w:pPr>
            <w:r>
              <w:rPr>
                <w:rFonts w:ascii="Arial" w:cs="Arial" w:eastAsia="Arial" w:hAnsi="Arial"/>
                <w:sz w:val="16"/>
                <w:szCs w:val="16"/>
                <w:color w:val="auto"/>
              </w:rPr>
              <w:t>6,040</w:t>
            </w:r>
          </w:p>
        </w:tc>
        <w:tc>
          <w:tcPr>
            <w:tcW w:w="26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(2,139)</w:t>
            </w:r>
          </w:p>
        </w:tc>
        <w:tc>
          <w:tcPr>
            <w:tcW w:w="340" w:type="dxa"/>
            <w:vAlign w:val="bottom"/>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3,901</w:t>
            </w:r>
          </w:p>
        </w:tc>
        <w:tc>
          <w:tcPr>
            <w:tcW w:w="0" w:type="dxa"/>
            <w:vAlign w:val="bottom"/>
          </w:tcPr>
          <w:p>
            <w:pPr>
              <w:spacing w:after="0"/>
              <w:rPr>
                <w:sz w:val="1"/>
                <w:szCs w:val="1"/>
                <w:color w:val="auto"/>
              </w:rPr>
            </w:pPr>
          </w:p>
        </w:tc>
      </w:tr>
      <w:tr>
        <w:trPr>
          <w:trHeight w:val="215"/>
        </w:trPr>
        <w:tc>
          <w:tcPr>
            <w:tcW w:w="238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280" w:type="dxa"/>
            <w:vAlign w:val="bottom"/>
          </w:tcPr>
          <w:p>
            <w:pPr>
              <w:jc w:val="center"/>
              <w:ind w:left="4"/>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8"/>
                <w:szCs w:val="18"/>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8,920</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(6,946)</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8,920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(6,465)</w:t>
            </w:r>
          </w:p>
        </w:tc>
        <w:tc>
          <w:tcPr>
            <w:tcW w:w="3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2,455</w:t>
            </w:r>
          </w:p>
        </w:tc>
        <w:tc>
          <w:tcPr>
            <w:tcW w:w="0" w:type="dxa"/>
            <w:vAlign w:val="bottom"/>
          </w:tcPr>
          <w:p>
            <w:pPr>
              <w:spacing w:after="0"/>
              <w:rPr>
                <w:sz w:val="1"/>
                <w:szCs w:val="1"/>
                <w:color w:val="auto"/>
              </w:rPr>
            </w:pPr>
          </w:p>
        </w:tc>
      </w:tr>
      <w:tr>
        <w:trPr>
          <w:trHeight w:val="217"/>
        </w:trPr>
        <w:tc>
          <w:tcPr>
            <w:tcW w:w="2380" w:type="dxa"/>
            <w:vAlign w:val="bottom"/>
            <w:shd w:val="clear" w:color="auto" w:fill="EDEDEE"/>
          </w:tcPr>
          <w:p>
            <w:pPr>
              <w:ind w:left="40"/>
              <w:spacing w:after="0"/>
              <w:rPr>
                <w:sz w:val="20"/>
                <w:szCs w:val="20"/>
                <w:color w:val="auto"/>
              </w:rPr>
            </w:pPr>
            <w:r>
              <w:rPr>
                <w:rFonts w:ascii="Arial" w:cs="Arial" w:eastAsia="Arial" w:hAnsi="Arial"/>
                <w:sz w:val="16"/>
                <w:szCs w:val="16"/>
                <w:color w:val="auto"/>
              </w:rPr>
              <w:t>Developed technology</w:t>
            </w:r>
          </w:p>
        </w:tc>
        <w:tc>
          <w:tcPr>
            <w:tcW w:w="1280" w:type="dxa"/>
            <w:vAlign w:val="bottom"/>
            <w:shd w:val="clear" w:color="auto" w:fill="EDEDEE"/>
          </w:tcPr>
          <w:p>
            <w:pPr>
              <w:jc w:val="center"/>
              <w:ind w:left="4"/>
              <w:spacing w:after="0"/>
              <w:rPr>
                <w:sz w:val="20"/>
                <w:szCs w:val="20"/>
                <w:color w:val="auto"/>
              </w:rPr>
            </w:pPr>
            <w:r>
              <w:rPr>
                <w:rFonts w:ascii="Arial" w:cs="Arial" w:eastAsia="Arial" w:hAnsi="Arial"/>
                <w:sz w:val="16"/>
                <w:szCs w:val="16"/>
                <w:color w:val="auto"/>
              </w:rPr>
              <w:t>3.5</w:t>
            </w:r>
          </w:p>
        </w:tc>
        <w:tc>
          <w:tcPr>
            <w:tcW w:w="140" w:type="dxa"/>
            <w:vAlign w:val="bottom"/>
            <w:shd w:val="clear" w:color="auto" w:fill="EDEDEE"/>
          </w:tcPr>
          <w:p>
            <w:pPr>
              <w:spacing w:after="0"/>
              <w:rPr>
                <w:sz w:val="18"/>
                <w:szCs w:val="18"/>
                <w:color w:val="auto"/>
              </w:rPr>
            </w:pPr>
          </w:p>
        </w:tc>
        <w:tc>
          <w:tcPr>
            <w:tcW w:w="940" w:type="dxa"/>
            <w:vAlign w:val="bottom"/>
            <w:shd w:val="clear" w:color="auto" w:fill="EDEDEE"/>
          </w:tcPr>
          <w:p>
            <w:pPr>
              <w:jc w:val="right"/>
              <w:ind w:right="21"/>
              <w:spacing w:after="0"/>
              <w:rPr>
                <w:sz w:val="20"/>
                <w:szCs w:val="20"/>
                <w:color w:val="auto"/>
              </w:rPr>
            </w:pPr>
            <w:r>
              <w:rPr>
                <w:rFonts w:ascii="Arial" w:cs="Arial" w:eastAsia="Arial" w:hAnsi="Arial"/>
                <w:sz w:val="16"/>
                <w:szCs w:val="16"/>
                <w:color w:val="auto"/>
              </w:rPr>
              <w:t>2,590</w:t>
            </w:r>
          </w:p>
        </w:tc>
        <w:tc>
          <w:tcPr>
            <w:tcW w:w="200" w:type="dxa"/>
            <w:vAlign w:val="bottom"/>
            <w:shd w:val="clear" w:color="auto" w:fill="EDEDEE"/>
          </w:tcPr>
          <w:p>
            <w:pPr>
              <w:spacing w:after="0"/>
              <w:rPr>
                <w:sz w:val="18"/>
                <w:szCs w:val="18"/>
                <w:color w:val="auto"/>
              </w:rPr>
            </w:pPr>
          </w:p>
        </w:tc>
        <w:tc>
          <w:tcPr>
            <w:tcW w:w="124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(1,814)</w:t>
            </w:r>
          </w:p>
        </w:tc>
        <w:tc>
          <w:tcPr>
            <w:tcW w:w="320" w:type="dxa"/>
            <w:vAlign w:val="bottom"/>
            <w:shd w:val="clear" w:color="auto" w:fill="EDEDEE"/>
          </w:tcPr>
          <w:p>
            <w:pPr>
              <w:spacing w:after="0"/>
              <w:rPr>
                <w:sz w:val="18"/>
                <w:szCs w:val="18"/>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776</w:t>
            </w:r>
          </w:p>
        </w:tc>
        <w:tc>
          <w:tcPr>
            <w:tcW w:w="160" w:type="dxa"/>
            <w:vAlign w:val="bottom"/>
            <w:shd w:val="clear" w:color="auto" w:fill="EDEDEE"/>
          </w:tcPr>
          <w:p>
            <w:pPr>
              <w:spacing w:after="0"/>
              <w:rPr>
                <w:sz w:val="18"/>
                <w:szCs w:val="18"/>
                <w:color w:val="auto"/>
              </w:rPr>
            </w:pPr>
          </w:p>
        </w:tc>
        <w:tc>
          <w:tcPr>
            <w:tcW w:w="140" w:type="dxa"/>
            <w:vAlign w:val="bottom"/>
            <w:shd w:val="clear" w:color="auto" w:fill="EDEDEE"/>
          </w:tcPr>
          <w:p>
            <w:pPr>
              <w:spacing w:after="0"/>
              <w:rPr>
                <w:sz w:val="18"/>
                <w:szCs w:val="18"/>
                <w:color w:val="auto"/>
              </w:rPr>
            </w:pPr>
          </w:p>
        </w:tc>
        <w:tc>
          <w:tcPr>
            <w:tcW w:w="980" w:type="dxa"/>
            <w:vAlign w:val="bottom"/>
            <w:shd w:val="clear" w:color="auto" w:fill="EDEDEE"/>
          </w:tcPr>
          <w:p>
            <w:pPr>
              <w:jc w:val="right"/>
              <w:ind w:right="21"/>
              <w:spacing w:after="0"/>
              <w:rPr>
                <w:sz w:val="20"/>
                <w:szCs w:val="20"/>
                <w:color w:val="auto"/>
              </w:rPr>
            </w:pPr>
            <w:r>
              <w:rPr>
                <w:rFonts w:ascii="Arial" w:cs="Arial" w:eastAsia="Arial" w:hAnsi="Arial"/>
                <w:sz w:val="16"/>
                <w:szCs w:val="16"/>
                <w:color w:val="auto"/>
              </w:rPr>
              <w:t>2,590</w:t>
            </w:r>
          </w:p>
        </w:tc>
        <w:tc>
          <w:tcPr>
            <w:tcW w:w="260" w:type="dxa"/>
            <w:vAlign w:val="bottom"/>
            <w:shd w:val="clear" w:color="auto" w:fill="EDEDEE"/>
          </w:tcPr>
          <w:p>
            <w:pPr>
              <w:spacing w:after="0"/>
              <w:rPr>
                <w:sz w:val="18"/>
                <w:szCs w:val="18"/>
                <w:color w:val="auto"/>
              </w:rPr>
            </w:pPr>
          </w:p>
        </w:tc>
        <w:tc>
          <w:tcPr>
            <w:tcW w:w="1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(1,661)</w:t>
            </w:r>
          </w:p>
        </w:tc>
        <w:tc>
          <w:tcPr>
            <w:tcW w:w="340" w:type="dxa"/>
            <w:vAlign w:val="bottom"/>
            <w:shd w:val="clear" w:color="auto" w:fill="EDEDEE"/>
          </w:tcPr>
          <w:p>
            <w:pPr>
              <w:spacing w:after="0"/>
              <w:rPr>
                <w:sz w:val="18"/>
                <w:szCs w:val="18"/>
                <w:color w:val="auto"/>
              </w:rPr>
            </w:pPr>
          </w:p>
        </w:tc>
        <w:tc>
          <w:tcPr>
            <w:tcW w:w="82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15"/>
        </w:trPr>
        <w:tc>
          <w:tcPr>
            <w:tcW w:w="2380" w:type="dxa"/>
            <w:vAlign w:val="bottom"/>
            <w:tcBorders>
              <w:bottom w:val="single" w:sz="8" w:color="EDEDEE"/>
            </w:tcBorders>
          </w:tcPr>
          <w:p>
            <w:pPr>
              <w:ind w:left="40"/>
              <w:spacing w:after="0"/>
              <w:rPr>
                <w:sz w:val="20"/>
                <w:szCs w:val="20"/>
                <w:color w:val="auto"/>
              </w:rPr>
            </w:pPr>
            <w:r>
              <w:rPr>
                <w:rFonts w:ascii="Arial" w:cs="Arial" w:eastAsia="Arial" w:hAnsi="Arial"/>
                <w:sz w:val="16"/>
                <w:szCs w:val="16"/>
                <w:color w:val="auto"/>
              </w:rPr>
              <w:t>Sallie.com domain</w:t>
            </w:r>
          </w:p>
        </w:tc>
        <w:tc>
          <w:tcPr>
            <w:tcW w:w="1280" w:type="dxa"/>
            <w:vAlign w:val="bottom"/>
            <w:tcBorders>
              <w:bottom w:val="single" w:sz="8" w:color="EDEDEE"/>
            </w:tcBorders>
          </w:tcPr>
          <w:p>
            <w:pPr>
              <w:jc w:val="center"/>
              <w:ind w:left="4"/>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150</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150</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43"/>
        </w:trPr>
        <w:tc>
          <w:tcPr>
            <w:tcW w:w="2380" w:type="dxa"/>
            <w:vAlign w:val="bottom"/>
            <w:shd w:val="clear" w:color="auto" w:fill="EDEDEE"/>
          </w:tcPr>
          <w:p>
            <w:pPr>
              <w:ind w:left="20"/>
              <w:spacing w:after="0" w:line="143" w:lineRule="exact"/>
              <w:rPr>
                <w:sz w:val="20"/>
                <w:szCs w:val="20"/>
                <w:color w:val="auto"/>
              </w:rPr>
            </w:pPr>
            <w:r>
              <w:rPr>
                <w:rFonts w:ascii="Arial" w:cs="Arial" w:eastAsia="Arial" w:hAnsi="Arial"/>
                <w:sz w:val="16"/>
                <w:szCs w:val="16"/>
                <w:b w:val="1"/>
                <w:bCs w:val="1"/>
                <w:color w:val="144F82"/>
              </w:rPr>
              <w:t>Total acquired intangible</w:t>
            </w:r>
          </w:p>
        </w:tc>
        <w:tc>
          <w:tcPr>
            <w:tcW w:w="1280" w:type="dxa"/>
            <w:vAlign w:val="bottom"/>
            <w:shd w:val="clear" w:color="auto" w:fill="EDEDEE"/>
          </w:tcPr>
          <w:p>
            <w:pPr>
              <w:spacing w:after="0"/>
              <w:rPr>
                <w:sz w:val="12"/>
                <w:szCs w:val="12"/>
                <w:color w:val="auto"/>
              </w:rPr>
            </w:pPr>
          </w:p>
        </w:tc>
        <w:tc>
          <w:tcPr>
            <w:tcW w:w="1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EDEDEE"/>
          </w:tcPr>
          <w:p>
            <w:pPr>
              <w:jc w:val="right"/>
              <w:ind w:right="21"/>
              <w:spacing w:after="0"/>
              <w:rPr>
                <w:sz w:val="20"/>
                <w:szCs w:val="20"/>
                <w:color w:val="auto"/>
              </w:rPr>
            </w:pPr>
            <w:r>
              <w:rPr>
                <w:rFonts w:ascii="Arial" w:cs="Arial" w:eastAsia="Arial" w:hAnsi="Arial"/>
                <w:sz w:val="16"/>
                <w:szCs w:val="16"/>
                <w:color w:val="auto"/>
              </w:rPr>
              <w:t>17,700</w:t>
            </w:r>
          </w:p>
        </w:tc>
        <w:tc>
          <w:tcPr>
            <w:tcW w:w="2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EDEDEE"/>
          </w:tcPr>
          <w:p>
            <w:pPr>
              <w:jc w:val="right"/>
              <w:ind w:right="2"/>
              <w:spacing w:after="0"/>
              <w:rPr>
                <w:sz w:val="20"/>
                <w:szCs w:val="20"/>
                <w:color w:val="auto"/>
              </w:rPr>
            </w:pPr>
            <w:r>
              <w:rPr>
                <w:rFonts w:ascii="Arial" w:cs="Arial" w:eastAsia="Arial" w:hAnsi="Arial"/>
                <w:sz w:val="16"/>
                <w:szCs w:val="16"/>
                <w:color w:val="auto"/>
              </w:rPr>
              <w:t>(11,292)</w:t>
            </w:r>
          </w:p>
        </w:tc>
        <w:tc>
          <w:tcPr>
            <w:tcW w:w="320" w:type="dxa"/>
            <w:vAlign w:val="bottom"/>
            <w:vMerge w:val="restart"/>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6,408</w:t>
            </w:r>
          </w:p>
        </w:tc>
        <w:tc>
          <w:tcPr>
            <w:tcW w:w="160" w:type="dxa"/>
            <w:vAlign w:val="bottom"/>
            <w:shd w:val="clear" w:color="auto" w:fill="EDEDEE"/>
          </w:tcPr>
          <w:p>
            <w:pPr>
              <w:spacing w:after="0"/>
              <w:rPr>
                <w:sz w:val="12"/>
                <w:szCs w:val="12"/>
                <w:color w:val="auto"/>
              </w:rPr>
            </w:pPr>
          </w:p>
        </w:tc>
        <w:tc>
          <w:tcPr>
            <w:tcW w:w="1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DEDEE"/>
          </w:tcPr>
          <w:p>
            <w:pPr>
              <w:jc w:val="right"/>
              <w:ind w:right="21"/>
              <w:spacing w:after="0"/>
              <w:rPr>
                <w:sz w:val="20"/>
                <w:szCs w:val="20"/>
                <w:color w:val="auto"/>
              </w:rPr>
            </w:pPr>
            <w:r>
              <w:rPr>
                <w:rFonts w:ascii="Arial" w:cs="Arial" w:eastAsia="Arial" w:hAnsi="Arial"/>
                <w:sz w:val="16"/>
                <w:szCs w:val="16"/>
                <w:color w:val="auto"/>
              </w:rPr>
              <w:t>17,700</w:t>
            </w:r>
          </w:p>
        </w:tc>
        <w:tc>
          <w:tcPr>
            <w:tcW w:w="260" w:type="dxa"/>
            <w:vAlign w:val="bottom"/>
            <w:vMerge w:val="restart"/>
            <w:shd w:val="clear" w:color="auto" w:fill="EDEDEE"/>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(10,271)</w:t>
            </w:r>
          </w:p>
        </w:tc>
        <w:tc>
          <w:tcPr>
            <w:tcW w:w="340" w:type="dxa"/>
            <w:vAlign w:val="bottom"/>
            <w:vMerge w:val="restart"/>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assets</w:t>
            </w:r>
          </w:p>
        </w:tc>
        <w:tc>
          <w:tcPr>
            <w:tcW w:w="1280" w:type="dxa"/>
            <w:vAlign w:val="bottom"/>
            <w:tcBorders>
              <w:bottom w:val="single" w:sz="8" w:color="EDEDEE"/>
            </w:tcBorders>
            <w:shd w:val="clear" w:color="auto" w:fill="EDEDEE"/>
          </w:tcPr>
          <w:p>
            <w:pPr>
              <w:spacing w:after="0"/>
              <w:rPr>
                <w:sz w:val="18"/>
                <w:szCs w:val="18"/>
                <w:color w:val="auto"/>
              </w:rPr>
            </w:pPr>
          </w:p>
        </w:tc>
        <w:tc>
          <w:tcPr>
            <w:tcW w:w="140" w:type="dxa"/>
            <w:vAlign w:val="bottom"/>
            <w:tcBorders>
              <w:bottom w:val="single" w:sz="8" w:color="auto"/>
            </w:tcBorders>
            <w:vMerge w:val="continue"/>
            <w:shd w:val="clear" w:color="auto" w:fill="EDEDEE"/>
          </w:tcPr>
          <w:p>
            <w:pPr>
              <w:spacing w:after="0"/>
              <w:rPr>
                <w:sz w:val="18"/>
                <w:szCs w:val="18"/>
                <w:color w:val="auto"/>
              </w:rPr>
            </w:pPr>
          </w:p>
        </w:tc>
        <w:tc>
          <w:tcPr>
            <w:tcW w:w="940" w:type="dxa"/>
            <w:vAlign w:val="bottom"/>
            <w:tcBorders>
              <w:bottom w:val="single" w:sz="8" w:color="auto"/>
            </w:tcBorders>
            <w:vMerge w:val="continue"/>
            <w:shd w:val="clear" w:color="auto" w:fill="EDEDEE"/>
          </w:tcPr>
          <w:p>
            <w:pPr>
              <w:spacing w:after="0"/>
              <w:rPr>
                <w:sz w:val="18"/>
                <w:szCs w:val="18"/>
                <w:color w:val="auto"/>
              </w:rPr>
            </w:pPr>
          </w:p>
        </w:tc>
        <w:tc>
          <w:tcPr>
            <w:tcW w:w="200" w:type="dxa"/>
            <w:vAlign w:val="bottom"/>
            <w:tcBorders>
              <w:bottom w:val="single" w:sz="8" w:color="auto"/>
            </w:tcBorders>
            <w:vMerge w:val="continue"/>
            <w:shd w:val="clear" w:color="auto" w:fill="EDEDEE"/>
          </w:tcPr>
          <w:p>
            <w:pPr>
              <w:spacing w:after="0"/>
              <w:rPr>
                <w:sz w:val="18"/>
                <w:szCs w:val="18"/>
                <w:color w:val="auto"/>
              </w:rPr>
            </w:pPr>
          </w:p>
        </w:tc>
        <w:tc>
          <w:tcPr>
            <w:tcW w:w="1240" w:type="dxa"/>
            <w:vAlign w:val="bottom"/>
            <w:tcBorders>
              <w:bottom w:val="single" w:sz="8" w:color="auto"/>
            </w:tcBorders>
            <w:vMerge w:val="continue"/>
            <w:shd w:val="clear" w:color="auto" w:fill="EDEDEE"/>
          </w:tcPr>
          <w:p>
            <w:pPr>
              <w:spacing w:after="0"/>
              <w:rPr>
                <w:sz w:val="18"/>
                <w:szCs w:val="18"/>
                <w:color w:val="auto"/>
              </w:rPr>
            </w:pPr>
          </w:p>
        </w:tc>
        <w:tc>
          <w:tcPr>
            <w:tcW w:w="320" w:type="dxa"/>
            <w:vAlign w:val="bottom"/>
            <w:tcBorders>
              <w:bottom w:val="single" w:sz="8" w:color="auto"/>
            </w:tcBorders>
            <w:vMerge w:val="continue"/>
            <w:shd w:val="clear" w:color="auto" w:fill="EDEDEE"/>
          </w:tcPr>
          <w:p>
            <w:pPr>
              <w:spacing w:after="0"/>
              <w:rPr>
                <w:sz w:val="18"/>
                <w:szCs w:val="18"/>
                <w:color w:val="auto"/>
              </w:rPr>
            </w:pPr>
          </w:p>
        </w:tc>
        <w:tc>
          <w:tcPr>
            <w:tcW w:w="780" w:type="dxa"/>
            <w:vAlign w:val="bottom"/>
            <w:tcBorders>
              <w:bottom w:val="single" w:sz="8" w:color="auto"/>
            </w:tcBorders>
            <w:vMerge w:val="continue"/>
            <w:shd w:val="clear" w:color="auto" w:fill="EDEDEE"/>
          </w:tcPr>
          <w:p>
            <w:pPr>
              <w:spacing w:after="0"/>
              <w:rPr>
                <w:sz w:val="18"/>
                <w:szCs w:val="18"/>
                <w:color w:val="auto"/>
              </w:rPr>
            </w:pPr>
          </w:p>
        </w:tc>
        <w:tc>
          <w:tcPr>
            <w:tcW w:w="160" w:type="dxa"/>
            <w:vAlign w:val="bottom"/>
            <w:tcBorders>
              <w:bottom w:val="single" w:sz="8" w:color="auto"/>
            </w:tcBorders>
            <w:shd w:val="clear" w:color="auto" w:fill="EDEDEE"/>
          </w:tcPr>
          <w:p>
            <w:pPr>
              <w:spacing w:after="0"/>
              <w:rPr>
                <w:sz w:val="18"/>
                <w:szCs w:val="18"/>
                <w:color w:val="auto"/>
              </w:rPr>
            </w:pPr>
          </w:p>
        </w:tc>
        <w:tc>
          <w:tcPr>
            <w:tcW w:w="140" w:type="dxa"/>
            <w:vAlign w:val="bottom"/>
            <w:tcBorders>
              <w:bottom w:val="single" w:sz="8" w:color="auto"/>
            </w:tcBorders>
            <w:vMerge w:val="continue"/>
            <w:shd w:val="clear" w:color="auto" w:fill="EDEDEE"/>
          </w:tcPr>
          <w:p>
            <w:pPr>
              <w:spacing w:after="0"/>
              <w:rPr>
                <w:sz w:val="18"/>
                <w:szCs w:val="18"/>
                <w:color w:val="auto"/>
              </w:rPr>
            </w:pPr>
          </w:p>
        </w:tc>
        <w:tc>
          <w:tcPr>
            <w:tcW w:w="980" w:type="dxa"/>
            <w:vAlign w:val="bottom"/>
            <w:tcBorders>
              <w:bottom w:val="single" w:sz="8" w:color="auto"/>
            </w:tcBorders>
            <w:vMerge w:val="continue"/>
            <w:shd w:val="clear" w:color="auto" w:fill="EDEDEE"/>
          </w:tcPr>
          <w:p>
            <w:pPr>
              <w:spacing w:after="0"/>
              <w:rPr>
                <w:sz w:val="18"/>
                <w:szCs w:val="18"/>
                <w:color w:val="auto"/>
              </w:rPr>
            </w:pPr>
          </w:p>
        </w:tc>
        <w:tc>
          <w:tcPr>
            <w:tcW w:w="260" w:type="dxa"/>
            <w:vAlign w:val="bottom"/>
            <w:tcBorders>
              <w:bottom w:val="single" w:sz="8" w:color="auto"/>
            </w:tcBorders>
            <w:vMerge w:val="continue"/>
            <w:shd w:val="clear" w:color="auto" w:fill="EDEDEE"/>
          </w:tcPr>
          <w:p>
            <w:pPr>
              <w:spacing w:after="0"/>
              <w:rPr>
                <w:sz w:val="18"/>
                <w:szCs w:val="18"/>
                <w:color w:val="auto"/>
              </w:rPr>
            </w:pPr>
          </w:p>
        </w:tc>
        <w:tc>
          <w:tcPr>
            <w:tcW w:w="1260" w:type="dxa"/>
            <w:vAlign w:val="bottom"/>
            <w:tcBorders>
              <w:bottom w:val="single" w:sz="8" w:color="auto"/>
            </w:tcBorders>
            <w:vMerge w:val="continue"/>
            <w:shd w:val="clear" w:color="auto" w:fill="EDEDEE"/>
          </w:tcPr>
          <w:p>
            <w:pPr>
              <w:spacing w:after="0"/>
              <w:rPr>
                <w:sz w:val="18"/>
                <w:szCs w:val="18"/>
                <w:color w:val="auto"/>
              </w:rPr>
            </w:pPr>
          </w:p>
        </w:tc>
        <w:tc>
          <w:tcPr>
            <w:tcW w:w="340" w:type="dxa"/>
            <w:vAlign w:val="bottom"/>
            <w:tcBorders>
              <w:bottom w:val="single" w:sz="8" w:color="auto"/>
            </w:tcBorders>
            <w:vMerge w:val="continue"/>
            <w:shd w:val="clear" w:color="auto" w:fill="EDEDEE"/>
          </w:tcPr>
          <w:p>
            <w:pPr>
              <w:spacing w:after="0"/>
              <w:rPr>
                <w:sz w:val="18"/>
                <w:szCs w:val="18"/>
                <w:color w:val="auto"/>
              </w:rPr>
            </w:pPr>
          </w:p>
        </w:tc>
        <w:tc>
          <w:tcPr>
            <w:tcW w:w="820" w:type="dxa"/>
            <w:vAlign w:val="bottom"/>
            <w:tcBorders>
              <w:bottom w:val="single" w:sz="8" w:color="auto"/>
            </w:tcBorders>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EDEDEE"/>
            </w:tcBorders>
          </w:tcPr>
          <w:p>
            <w:pPr>
              <w:spacing w:after="0" w:line="20" w:lineRule="exact"/>
              <w:rPr>
                <w:sz w:val="1"/>
                <w:szCs w:val="1"/>
                <w:color w:val="auto"/>
              </w:rPr>
            </w:pPr>
          </w:p>
        </w:tc>
        <w:tc>
          <w:tcPr>
            <w:tcW w:w="1280" w:type="dxa"/>
            <w:vAlign w:val="bottom"/>
            <w:tcBorders>
              <w:top w:val="single" w:sz="8" w:color="EDEDEE"/>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200" w:type="dxa"/>
            <w:vAlign w:val="bottom"/>
            <w:tcBorders>
              <w:top w:val="single" w:sz="8" w:color="EDEDEE"/>
              <w:bottom w:val="single" w:sz="8" w:color="auto"/>
            </w:tcBorders>
          </w:tcPr>
          <w:p>
            <w:pPr>
              <w:spacing w:after="0" w:line="20" w:lineRule="exact"/>
              <w:rPr>
                <w:sz w:val="1"/>
                <w:szCs w:val="1"/>
                <w:color w:val="auto"/>
              </w:rPr>
            </w:pPr>
          </w:p>
        </w:tc>
        <w:tc>
          <w:tcPr>
            <w:tcW w:w="1240" w:type="dxa"/>
            <w:vAlign w:val="bottom"/>
            <w:tcBorders>
              <w:top w:val="single" w:sz="8" w:color="EDEDEE"/>
              <w:bottom w:val="single" w:sz="8" w:color="auto"/>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160" w:type="dxa"/>
            <w:vAlign w:val="bottom"/>
            <w:tcBorders>
              <w:top w:val="single" w:sz="8" w:color="EDEDEE"/>
              <w:bottom w:val="single" w:sz="8" w:color="auto"/>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98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260" w:type="dxa"/>
            <w:vAlign w:val="bottom"/>
            <w:tcBorders>
              <w:top w:val="single" w:sz="8" w:color="EDEDEE"/>
              <w:bottom w:val="single" w:sz="8" w:color="auto"/>
            </w:tcBorders>
          </w:tcPr>
          <w:p>
            <w:pPr>
              <w:spacing w:after="0" w:line="20" w:lineRule="exact"/>
              <w:rPr>
                <w:sz w:val="1"/>
                <w:szCs w:val="1"/>
                <w:color w:val="auto"/>
              </w:rPr>
            </w:pPr>
          </w:p>
        </w:tc>
        <w:tc>
          <w:tcPr>
            <w:tcW w:w="340" w:type="dxa"/>
            <w:vAlign w:val="bottom"/>
            <w:tcBorders>
              <w:top w:val="single" w:sz="8" w:color="EDEDEE"/>
              <w:bottom w:val="single" w:sz="8" w:color="auto"/>
            </w:tcBorders>
          </w:tcPr>
          <w:p>
            <w:pPr>
              <w:spacing w:after="0" w:line="20" w:lineRule="exact"/>
              <w:rPr>
                <w:sz w:val="1"/>
                <w:szCs w:val="1"/>
                <w:color w:val="auto"/>
              </w:rPr>
            </w:pPr>
          </w:p>
        </w:tc>
        <w:tc>
          <w:tcPr>
            <w:tcW w:w="82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820" w:right="860" w:hanging="164"/>
        <w:spacing w:after="0" w:line="325" w:lineRule="auto"/>
        <w:tabs>
          <w:tab w:leader="none" w:pos="992" w:val="left"/>
        </w:tabs>
        <w:numPr>
          <w:ilvl w:val="0"/>
          <w:numId w:val="33"/>
        </w:numPr>
        <w:rPr>
          <w:rFonts w:ascii="Arial" w:cs="Arial" w:eastAsia="Arial" w:hAnsi="Arial"/>
          <w:sz w:val="8"/>
          <w:szCs w:val="8"/>
          <w:color w:val="auto"/>
        </w:rPr>
      </w:pPr>
      <w:r>
        <w:rPr>
          <w:rFonts w:ascii="Arial" w:cs="Arial" w:eastAsia="Arial" w:hAnsi="Arial"/>
          <w:sz w:val="14"/>
          <w:szCs w:val="14"/>
          <w:color w:val="auto"/>
        </w:rPr>
        <w:t>The weighted average useful life of acquired intangible assets related to the Nitro acquisition is 4.6 years and the weighted average useful life of the acquired intangible assets related to the Scholly acquisition is 4.0 years.</w:t>
      </w:r>
    </w:p>
    <w:p>
      <w:pPr>
        <w:spacing w:after="0" w:line="135"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We recorded amortization of acquired intangible assets totaling approximately $1 million in both the three months ended March 31, 2025 and March 31, 2024. We will continue to amortize our intangible assets with definite useful lives over their remaining estimated useful lives. We estimate amortization expense associated with these intangible assets will be approximately $4 million, $3 million, and $1 million in 2025, 2026, and 2027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34F82"/>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6. Deposits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total deposits at March 31, 2025 and December 31, 2024.</w:t>
      </w:r>
    </w:p>
    <w:p>
      <w:pPr>
        <w:spacing w:after="0" w:line="200" w:lineRule="exact"/>
        <w:rPr>
          <w:sz w:val="20"/>
          <w:szCs w:val="20"/>
          <w:color w:val="auto"/>
        </w:rPr>
      </w:pPr>
    </w:p>
    <w:p>
      <w:pPr>
        <w:spacing w:after="0" w:line="253" w:lineRule="exact"/>
        <w:rPr>
          <w:sz w:val="20"/>
          <w:szCs w:val="20"/>
          <w:color w:val="auto"/>
        </w:rPr>
      </w:pPr>
    </w:p>
    <w:tbl>
      <w:tblPr>
        <w:tblLayout w:type="fixed"/>
        <w:tblInd w:w="2400" w:type="dxa"/>
        <w:tblCellMar>
          <w:top w:w="0" w:type="dxa"/>
          <w:left w:w="0" w:type="dxa"/>
          <w:bottom w:w="0" w:type="dxa"/>
          <w:right w:w="0" w:type="dxa"/>
        </w:tblCellMar>
      </w:tblPr>
      <w:tr>
        <w:trPr>
          <w:trHeight w:val="214"/>
        </w:trPr>
        <w:tc>
          <w:tcPr>
            <w:tcW w:w="3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83"/>
              <w:spacing w:after="0"/>
              <w:rPr>
                <w:sz w:val="20"/>
                <w:szCs w:val="20"/>
                <w:color w:val="auto"/>
              </w:rPr>
            </w:pPr>
            <w:r>
              <w:rPr>
                <w:rFonts w:ascii="Arial" w:cs="Arial" w:eastAsia="Arial" w:hAnsi="Arial"/>
                <w:sz w:val="14"/>
                <w:szCs w:val="14"/>
                <w:b w:val="1"/>
                <w:bCs w:val="1"/>
                <w:color w:val="144F82"/>
              </w:rPr>
              <w:t>March 31,</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63"/>
              <w:spacing w:after="0"/>
              <w:rPr>
                <w:sz w:val="20"/>
                <w:szCs w:val="20"/>
                <w:color w:val="auto"/>
              </w:rPr>
            </w:pPr>
            <w:r>
              <w:rPr>
                <w:rFonts w:ascii="Arial" w:cs="Arial" w:eastAsia="Arial" w:hAnsi="Arial"/>
                <w:sz w:val="14"/>
                <w:szCs w:val="14"/>
                <w:b w:val="1"/>
                <w:bCs w:val="1"/>
                <w:color w:val="144F82"/>
              </w:rPr>
              <w:t>December 31,</w:t>
            </w:r>
          </w:p>
        </w:tc>
      </w:tr>
      <w:tr>
        <w:trPr>
          <w:trHeight w:val="20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144F82"/>
              </w:rPr>
              <w:t>2025</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144F82"/>
              </w:rPr>
              <w:t>2024</w:t>
            </w:r>
          </w:p>
        </w:tc>
      </w:tr>
      <w:tr>
        <w:trPr>
          <w:trHeight w:val="211"/>
        </w:trPr>
        <w:tc>
          <w:tcPr>
            <w:tcW w:w="3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Deposits - interest-bearing</w:t>
            </w:r>
          </w:p>
        </w:tc>
        <w:tc>
          <w:tcPr>
            <w:tcW w:w="260" w:type="dxa"/>
            <w:vAlign w:val="bottom"/>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DEDEE"/>
          </w:tcPr>
          <w:p>
            <w:pPr>
              <w:jc w:val="right"/>
              <w:ind w:right="23"/>
              <w:spacing w:after="0"/>
              <w:rPr>
                <w:sz w:val="20"/>
                <w:szCs w:val="20"/>
                <w:color w:val="auto"/>
              </w:rPr>
            </w:pPr>
            <w:r>
              <w:rPr>
                <w:rFonts w:ascii="Arial" w:cs="Arial" w:eastAsia="Arial" w:hAnsi="Arial"/>
                <w:sz w:val="16"/>
                <w:szCs w:val="16"/>
                <w:color w:val="auto"/>
              </w:rPr>
              <w:t>20,070,552</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DEDEE"/>
          </w:tcPr>
          <w:p>
            <w:pPr>
              <w:jc w:val="right"/>
              <w:ind w:right="3"/>
              <w:spacing w:after="0"/>
              <w:rPr>
                <w:sz w:val="20"/>
                <w:szCs w:val="20"/>
                <w:color w:val="auto"/>
              </w:rPr>
            </w:pPr>
            <w:r>
              <w:rPr>
                <w:rFonts w:ascii="Arial" w:cs="Arial" w:eastAsia="Arial" w:hAnsi="Arial"/>
                <w:sz w:val="16"/>
                <w:szCs w:val="16"/>
                <w:color w:val="auto"/>
              </w:rPr>
              <w:t>21,066,752</w:t>
            </w:r>
          </w:p>
        </w:tc>
      </w:tr>
      <w:tr>
        <w:trPr>
          <w:trHeight w:val="215"/>
        </w:trPr>
        <w:tc>
          <w:tcPr>
            <w:tcW w:w="388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Deposits - non-interest-bearing</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2,616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1,816</w:t>
            </w:r>
          </w:p>
        </w:tc>
      </w:tr>
      <w:tr>
        <w:trPr>
          <w:trHeight w:val="235"/>
        </w:trPr>
        <w:tc>
          <w:tcPr>
            <w:tcW w:w="38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 deposits</w:t>
            </w:r>
          </w:p>
        </w:tc>
        <w:tc>
          <w:tcPr>
            <w:tcW w:w="26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EDEDEE"/>
          </w:tcPr>
          <w:p>
            <w:pPr>
              <w:jc w:val="right"/>
              <w:ind w:right="23"/>
              <w:spacing w:after="0"/>
              <w:rPr>
                <w:sz w:val="20"/>
                <w:szCs w:val="20"/>
                <w:color w:val="auto"/>
              </w:rPr>
            </w:pPr>
            <w:r>
              <w:rPr>
                <w:rFonts w:ascii="Arial" w:cs="Arial" w:eastAsia="Arial" w:hAnsi="Arial"/>
                <w:sz w:val="16"/>
                <w:szCs w:val="16"/>
                <w:color w:val="auto"/>
              </w:rPr>
              <w:t>20,073,168</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DEDEE"/>
          </w:tcPr>
          <w:p>
            <w:pPr>
              <w:jc w:val="right"/>
              <w:ind w:right="3"/>
              <w:spacing w:after="0"/>
              <w:rPr>
                <w:sz w:val="20"/>
                <w:szCs w:val="20"/>
                <w:color w:val="auto"/>
              </w:rPr>
            </w:pPr>
            <w:r>
              <w:rPr>
                <w:rFonts w:ascii="Arial" w:cs="Arial" w:eastAsia="Arial" w:hAnsi="Arial"/>
                <w:sz w:val="16"/>
                <w:szCs w:val="16"/>
                <w:color w:val="auto"/>
              </w:rPr>
              <w:t>21,068,568</w:t>
            </w:r>
          </w:p>
        </w:tc>
      </w:tr>
      <w:tr>
        <w:trPr>
          <w:trHeight w:val="20"/>
        </w:trPr>
        <w:tc>
          <w:tcPr>
            <w:tcW w:w="3880" w:type="dxa"/>
            <w:vAlign w:val="bottom"/>
            <w:tcBorders>
              <w:top w:val="single" w:sz="8" w:color="EDEDEE"/>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28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1240" w:type="dxa"/>
            <w:vAlign w:val="bottom"/>
            <w:tcBorders>
              <w:top w:val="single" w:sz="8" w:color="EDEDEE"/>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right="320" w:firstLine="445"/>
        <w:spacing w:after="0" w:line="268" w:lineRule="auto"/>
        <w:rPr>
          <w:sz w:val="20"/>
          <w:szCs w:val="20"/>
          <w:color w:val="auto"/>
        </w:rPr>
      </w:pPr>
      <w:r>
        <w:rPr>
          <w:rFonts w:ascii="Arial" w:cs="Arial" w:eastAsia="Arial" w:hAnsi="Arial"/>
          <w:sz w:val="18"/>
          <w:szCs w:val="18"/>
          <w:color w:val="auto"/>
        </w:rPr>
        <w:t>Our total deposits of $20.1 billion were comprised of $ 8.7 billion in brokered deposits and $ 11.4 billion in retail and other deposits at March 31, 2025, compared to total deposits of $21.1 billion, which were comprised of $9.5 billion in brokered deposits and $11.6 billion in retail and other deposits, at December 31, 2024.</w:t>
      </w:r>
    </w:p>
    <w:p>
      <w:pPr>
        <w:spacing w:after="0" w:line="4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Interest-bearing deposits as of March 31, 2025 and December 31, 2024 consisted of retail and brokered non-maturity savings deposits, retail and brokered non-maturity money market deposits (“MMDAs”), and retail and brokered certificates of deposit (“CDs”). Interest-bearing deposits also include deposits from Educational 529 and Health Savings plans that diversify our funding sources and that we consider to be core. These and other large omnibus accounts, aggregating the deposits of many individual depositors, represented $6.8 billion and</w:t>
      </w:r>
    </w:p>
    <w:p>
      <w:pPr>
        <w:spacing w:after="0" w:line="2"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$7.0 billion of our deposit total as of March 31, 2025 and December 31, 2024, respectively. The omnibus accounts are structured in such a way that entitles the individual depositor pass-through deposit insurance (subject to Federal Deposit Insurance Corporation (“FDIC”) rules and limitations), and the majority of these deposits have contractual minimum balances and maturity terms.</w:t>
      </w:r>
    </w:p>
    <w:p>
      <w:pPr>
        <w:spacing w:after="0" w:line="43"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Some of our deposit products are serviced by third-party providers. Placement fees associated with the brokered CDs are amortized into interest expense using the effective interest rate method. We recognized placement fee expense of $2 million and $3 million in the three months ended March 31, 2025 and 2024, respectively. There were no fees paid to third-party brokers related to brokered CDs for either the three months ended March 31, 2025 or March 31, 2024.</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bearing deposits at March 31, 2025 and December 31, 2024 are summarized as follows:</w:t>
      </w:r>
    </w:p>
    <w:p>
      <w:pPr>
        <w:spacing w:after="0" w:line="197"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26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2"/>
          </w:tcPr>
          <w:p>
            <w:pPr>
              <w:jc w:val="right"/>
              <w:ind w:right="884"/>
              <w:spacing w:after="0"/>
              <w:rPr>
                <w:sz w:val="20"/>
                <w:szCs w:val="20"/>
                <w:color w:val="auto"/>
              </w:rPr>
            </w:pPr>
            <w:r>
              <w:rPr>
                <w:rFonts w:ascii="Arial" w:cs="Arial" w:eastAsia="Arial" w:hAnsi="Arial"/>
                <w:sz w:val="14"/>
                <w:szCs w:val="14"/>
                <w:b w:val="1"/>
                <w:bCs w:val="1"/>
                <w:color w:val="144F82"/>
              </w:rPr>
              <w:t>March 31, 2025</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144F82"/>
              </w:rPr>
              <w:t>December 31, 2024</w:t>
            </w:r>
          </w:p>
        </w:tc>
        <w:tc>
          <w:tcPr>
            <w:tcW w:w="0" w:type="dxa"/>
            <w:vAlign w:val="bottom"/>
          </w:tcPr>
          <w:p>
            <w:pPr>
              <w:spacing w:after="0"/>
              <w:rPr>
                <w:sz w:val="1"/>
                <w:szCs w:val="1"/>
                <w:color w:val="auto"/>
              </w:rPr>
            </w:pPr>
          </w:p>
        </w:tc>
      </w:tr>
      <w:tr>
        <w:trPr>
          <w:trHeight w:val="147"/>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144F82"/>
                <w:w w:val="99"/>
              </w:rPr>
              <w:t>Qtr.-End</w:t>
            </w: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tcPr>
          <w:p>
            <w:pPr>
              <w:jc w:val="center"/>
              <w:ind w:left="44"/>
              <w:spacing w:after="0" w:line="147" w:lineRule="exact"/>
              <w:rPr>
                <w:sz w:val="20"/>
                <w:szCs w:val="20"/>
                <w:color w:val="auto"/>
              </w:rPr>
            </w:pPr>
            <w:r>
              <w:rPr>
                <w:rFonts w:ascii="Arial" w:cs="Arial" w:eastAsia="Arial" w:hAnsi="Arial"/>
                <w:sz w:val="14"/>
                <w:szCs w:val="14"/>
                <w:b w:val="1"/>
                <w:bCs w:val="1"/>
                <w:color w:val="144F82"/>
              </w:rPr>
              <w:t>Year-End</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144F82"/>
              </w:rPr>
              <w:t>Weighted</w:t>
            </w: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tcPr>
          <w:p>
            <w:pPr>
              <w:jc w:val="center"/>
              <w:ind w:left="24"/>
              <w:spacing w:after="0" w:line="145" w:lineRule="exact"/>
              <w:rPr>
                <w:sz w:val="20"/>
                <w:szCs w:val="20"/>
                <w:color w:val="auto"/>
              </w:rPr>
            </w:pPr>
            <w:r>
              <w:rPr>
                <w:rFonts w:ascii="Arial" w:cs="Arial" w:eastAsia="Arial" w:hAnsi="Arial"/>
                <w:sz w:val="14"/>
                <w:szCs w:val="14"/>
                <w:b w:val="1"/>
                <w:bCs w:val="1"/>
                <w:color w:val="144F82"/>
              </w:rPr>
              <w:t>Weighted</w:t>
            </w:r>
          </w:p>
        </w:tc>
        <w:tc>
          <w:tcPr>
            <w:tcW w:w="0" w:type="dxa"/>
            <w:vAlign w:val="bottom"/>
          </w:tcPr>
          <w:p>
            <w:pPr>
              <w:spacing w:after="0"/>
              <w:rPr>
                <w:sz w:val="1"/>
                <w:szCs w:val="1"/>
                <w:color w:val="auto"/>
              </w:rPr>
            </w:pPr>
          </w:p>
        </w:tc>
      </w:tr>
      <w:tr>
        <w:trPr>
          <w:trHeight w:val="137"/>
        </w:trPr>
        <w:tc>
          <w:tcPr>
            <w:tcW w:w="2660" w:type="dxa"/>
            <w:vAlign w:val="bottom"/>
            <w:vMerge w:val="restart"/>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280" w:type="dxa"/>
            <w:vAlign w:val="bottom"/>
          </w:tcPr>
          <w:p>
            <w:pPr>
              <w:spacing w:after="0"/>
              <w:rPr>
                <w:sz w:val="11"/>
                <w:szCs w:val="11"/>
                <w:color w:val="auto"/>
              </w:rPr>
            </w:pPr>
          </w:p>
        </w:tc>
        <w:tc>
          <w:tcPr>
            <w:tcW w:w="116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144F82"/>
              </w:rPr>
              <w:t>Amount</w:t>
            </w:r>
          </w:p>
        </w:tc>
        <w:tc>
          <w:tcPr>
            <w:tcW w:w="162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144F82"/>
              </w:rPr>
              <w:t>Average</w:t>
            </w:r>
          </w:p>
        </w:tc>
        <w:tc>
          <w:tcPr>
            <w:tcW w:w="280" w:type="dxa"/>
            <w:vAlign w:val="bottom"/>
          </w:tcPr>
          <w:p>
            <w:pPr>
              <w:spacing w:after="0"/>
              <w:rPr>
                <w:sz w:val="11"/>
                <w:szCs w:val="11"/>
                <w:color w:val="auto"/>
              </w:rPr>
            </w:pPr>
          </w:p>
        </w:tc>
        <w:tc>
          <w:tcPr>
            <w:tcW w:w="118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144F82"/>
              </w:rPr>
              <w:t>Amount</w:t>
            </w:r>
          </w:p>
        </w:tc>
        <w:tc>
          <w:tcPr>
            <w:tcW w:w="1500" w:type="dxa"/>
            <w:vAlign w:val="bottom"/>
          </w:tcPr>
          <w:p>
            <w:pPr>
              <w:jc w:val="center"/>
              <w:ind w:left="24"/>
              <w:spacing w:after="0" w:line="137" w:lineRule="exact"/>
              <w:rPr>
                <w:sz w:val="20"/>
                <w:szCs w:val="20"/>
                <w:color w:val="auto"/>
              </w:rPr>
            </w:pPr>
            <w:r>
              <w:rPr>
                <w:rFonts w:ascii="Arial" w:cs="Arial" w:eastAsia="Arial" w:hAnsi="Arial"/>
                <w:sz w:val="14"/>
                <w:szCs w:val="14"/>
                <w:b w:val="1"/>
                <w:bCs w:val="1"/>
                <w:color w:val="144F82"/>
              </w:rPr>
              <w:t>Average</w:t>
            </w:r>
          </w:p>
        </w:tc>
        <w:tc>
          <w:tcPr>
            <w:tcW w:w="0" w:type="dxa"/>
            <w:vAlign w:val="bottom"/>
          </w:tcPr>
          <w:p>
            <w:pPr>
              <w:spacing w:after="0"/>
              <w:rPr>
                <w:sz w:val="1"/>
                <w:szCs w:val="1"/>
                <w:color w:val="auto"/>
              </w:rPr>
            </w:pPr>
          </w:p>
        </w:tc>
      </w:tr>
      <w:tr>
        <w:trPr>
          <w:trHeight w:val="201"/>
        </w:trPr>
        <w:tc>
          <w:tcPr>
            <w:tcW w:w="26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gridSpan w:val="2"/>
          </w:tcPr>
          <w:p>
            <w:pPr>
              <w:jc w:val="center"/>
              <w:spacing w:after="0" w:line="201" w:lineRule="exact"/>
              <w:rPr>
                <w:sz w:val="20"/>
                <w:szCs w:val="20"/>
                <w:color w:val="auto"/>
              </w:rPr>
            </w:pPr>
            <w:r>
              <w:rPr>
                <w:rFonts w:ascii="Arial" w:cs="Arial" w:eastAsia="Arial" w:hAnsi="Arial"/>
                <w:sz w:val="14"/>
                <w:szCs w:val="14"/>
                <w:b w:val="1"/>
                <w:bCs w:val="1"/>
                <w:color w:val="144F82"/>
              </w:rPr>
              <w:t>Stated Rate</w:t>
            </w:r>
            <w:r>
              <w:rPr>
                <w:rFonts w:ascii="Arial" w:cs="Arial" w:eastAsia="Arial" w:hAnsi="Arial"/>
                <w:sz w:val="18"/>
                <w:szCs w:val="18"/>
                <w:b w:val="1"/>
                <w:bCs w:val="1"/>
                <w:color w:val="144F82"/>
                <w:vertAlign w:val="superscript"/>
              </w:rPr>
              <w:t>(1)</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center"/>
              <w:ind w:left="44"/>
              <w:spacing w:after="0" w:line="201" w:lineRule="exact"/>
              <w:rPr>
                <w:sz w:val="20"/>
                <w:szCs w:val="20"/>
                <w:color w:val="auto"/>
              </w:rPr>
            </w:pPr>
            <w:r>
              <w:rPr>
                <w:rFonts w:ascii="Arial" w:cs="Arial" w:eastAsia="Arial" w:hAnsi="Arial"/>
                <w:sz w:val="14"/>
                <w:szCs w:val="14"/>
                <w:b w:val="1"/>
                <w:bCs w:val="1"/>
                <w:color w:val="144F82"/>
                <w:w w:val="98"/>
              </w:rPr>
              <w:t>Stated Rate</w:t>
            </w:r>
            <w:r>
              <w:rPr>
                <w:rFonts w:ascii="Arial" w:cs="Arial" w:eastAsia="Arial" w:hAnsi="Arial"/>
                <w:sz w:val="18"/>
                <w:szCs w:val="18"/>
                <w:b w:val="1"/>
                <w:bCs w:val="1"/>
                <w:color w:val="144F82"/>
                <w:w w:val="98"/>
                <w:vertAlign w:val="superscript"/>
              </w:rPr>
              <w:t>(1)</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EDEDEE"/>
          </w:tcPr>
          <w:p>
            <w:pPr>
              <w:ind w:left="20"/>
              <w:spacing w:after="0"/>
              <w:rPr>
                <w:sz w:val="20"/>
                <w:szCs w:val="20"/>
                <w:color w:val="auto"/>
              </w:rPr>
            </w:pPr>
            <w:r>
              <w:rPr>
                <w:rFonts w:ascii="Arial" w:cs="Arial" w:eastAsia="Arial" w:hAnsi="Arial"/>
                <w:sz w:val="16"/>
                <w:szCs w:val="16"/>
                <w:color w:val="auto"/>
              </w:rPr>
              <w:t>Money market</w:t>
            </w:r>
          </w:p>
        </w:tc>
        <w:tc>
          <w:tcPr>
            <w:tcW w:w="280" w:type="dxa"/>
            <w:vAlign w:val="bottom"/>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9,414,764</w:t>
            </w:r>
          </w:p>
        </w:tc>
        <w:tc>
          <w:tcPr>
            <w:tcW w:w="15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4.11 %</w:t>
            </w:r>
          </w:p>
        </w:tc>
        <w:tc>
          <w:tcPr>
            <w:tcW w:w="100" w:type="dxa"/>
            <w:vAlign w:val="bottom"/>
            <w:shd w:val="clear" w:color="auto" w:fill="EDEDEE"/>
          </w:tcPr>
          <w:p>
            <w:pPr>
              <w:spacing w:after="0"/>
              <w:rPr>
                <w:sz w:val="18"/>
                <w:szCs w:val="18"/>
                <w:color w:val="auto"/>
              </w:rPr>
            </w:pPr>
          </w:p>
        </w:tc>
        <w:tc>
          <w:tcPr>
            <w:tcW w:w="280" w:type="dxa"/>
            <w:vAlign w:val="bottom"/>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9,582,290</w:t>
            </w:r>
          </w:p>
        </w:tc>
        <w:tc>
          <w:tcPr>
            <w:tcW w:w="1500" w:type="dxa"/>
            <w:vAlign w:val="bottom"/>
            <w:shd w:val="clear" w:color="auto" w:fill="EDEDEE"/>
          </w:tcPr>
          <w:p>
            <w:pPr>
              <w:ind w:left="980"/>
              <w:spacing w:after="0"/>
              <w:rPr>
                <w:sz w:val="20"/>
                <w:szCs w:val="20"/>
                <w:color w:val="auto"/>
              </w:rPr>
            </w:pPr>
            <w:r>
              <w:rPr>
                <w:rFonts w:ascii="Arial" w:cs="Arial" w:eastAsia="Arial" w:hAnsi="Arial"/>
                <w:sz w:val="16"/>
                <w:szCs w:val="16"/>
                <w:color w:val="auto"/>
              </w:rPr>
              <w:t>4.27 %</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Savings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1,002,260</w:t>
            </w:r>
          </w:p>
        </w:tc>
        <w:tc>
          <w:tcPr>
            <w:tcW w:w="1520" w:type="dxa"/>
            <w:vAlign w:val="bottom"/>
          </w:tcPr>
          <w:p>
            <w:pPr>
              <w:jc w:val="right"/>
              <w:ind w:right="124"/>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944,034</w:t>
            </w:r>
          </w:p>
        </w:tc>
        <w:tc>
          <w:tcPr>
            <w:tcW w:w="1500" w:type="dxa"/>
            <w:vAlign w:val="bottom"/>
          </w:tcPr>
          <w:p>
            <w:pPr>
              <w:ind w:left="98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6"/>
        </w:trPr>
        <w:tc>
          <w:tcPr>
            <w:tcW w:w="2660" w:type="dxa"/>
            <w:vAlign w:val="bottom"/>
            <w:shd w:val="clear" w:color="auto" w:fill="EDEDEE"/>
          </w:tcPr>
          <w:p>
            <w:pPr>
              <w:ind w:left="2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shd w:val="clear" w:color="auto" w:fill="EDEDEE"/>
          </w:tcPr>
          <w:p>
            <w:pPr>
              <w:spacing w:after="0"/>
              <w:rPr>
                <w:sz w:val="18"/>
                <w:szCs w:val="18"/>
                <w:color w:val="auto"/>
              </w:rPr>
            </w:pPr>
          </w:p>
        </w:tc>
        <w:tc>
          <w:tcPr>
            <w:tcW w:w="11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9,653,528</w:t>
            </w:r>
          </w:p>
        </w:tc>
        <w:tc>
          <w:tcPr>
            <w:tcW w:w="1520" w:type="dxa"/>
            <w:vAlign w:val="bottom"/>
            <w:shd w:val="clear" w:color="auto" w:fill="EDEDEE"/>
          </w:tcPr>
          <w:p>
            <w:pPr>
              <w:jc w:val="right"/>
              <w:ind w:right="124"/>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EDEDEE"/>
          </w:tcPr>
          <w:p>
            <w:pPr>
              <w:spacing w:after="0"/>
              <w:rPr>
                <w:sz w:val="18"/>
                <w:szCs w:val="18"/>
                <w:color w:val="auto"/>
              </w:rPr>
            </w:pPr>
          </w:p>
        </w:tc>
        <w:tc>
          <w:tcPr>
            <w:tcW w:w="280" w:type="dxa"/>
            <w:vAlign w:val="bottom"/>
            <w:tcBorders>
              <w:bottom w:val="single" w:sz="8" w:color="auto"/>
            </w:tcBorders>
            <w:shd w:val="clear" w:color="auto" w:fill="EDEDEE"/>
          </w:tcPr>
          <w:p>
            <w:pPr>
              <w:spacing w:after="0"/>
              <w:rPr>
                <w:sz w:val="18"/>
                <w:szCs w:val="18"/>
                <w:color w:val="auto"/>
              </w:rPr>
            </w:pPr>
          </w:p>
        </w:tc>
        <w:tc>
          <w:tcPr>
            <w:tcW w:w="1180" w:type="dxa"/>
            <w:vAlign w:val="bottom"/>
            <w:tcBorders>
              <w:bottom w:val="single" w:sz="8" w:color="auto"/>
            </w:tcBorders>
            <w:shd w:val="clear" w:color="auto" w:fill="EDEDEE"/>
          </w:tcPr>
          <w:p>
            <w:pPr>
              <w:jc w:val="right"/>
              <w:ind w:right="2"/>
              <w:spacing w:after="0"/>
              <w:rPr>
                <w:sz w:val="20"/>
                <w:szCs w:val="20"/>
                <w:color w:val="auto"/>
              </w:rPr>
            </w:pPr>
            <w:r>
              <w:rPr>
                <w:rFonts w:ascii="Arial" w:cs="Arial" w:eastAsia="Arial" w:hAnsi="Arial"/>
                <w:sz w:val="16"/>
                <w:szCs w:val="16"/>
                <w:color w:val="auto"/>
              </w:rPr>
              <w:t>10,540,428</w:t>
            </w:r>
          </w:p>
        </w:tc>
        <w:tc>
          <w:tcPr>
            <w:tcW w:w="1500" w:type="dxa"/>
            <w:vAlign w:val="bottom"/>
            <w:shd w:val="clear" w:color="auto" w:fill="EDEDEE"/>
          </w:tcPr>
          <w:p>
            <w:pPr>
              <w:ind w:left="98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0"/>
        </w:trPr>
        <w:tc>
          <w:tcPr>
            <w:tcW w:w="2660" w:type="dxa"/>
            <w:vAlign w:val="bottom"/>
          </w:tcPr>
          <w:p>
            <w:pPr>
              <w:ind w:left="140"/>
              <w:spacing w:after="0"/>
              <w:rPr>
                <w:sz w:val="20"/>
                <w:szCs w:val="20"/>
                <w:color w:val="auto"/>
              </w:rPr>
            </w:pPr>
            <w:r>
              <w:rPr>
                <w:rFonts w:ascii="Arial" w:cs="Arial" w:eastAsia="Arial" w:hAnsi="Arial"/>
                <w:sz w:val="16"/>
                <w:szCs w:val="16"/>
                <w:b w:val="1"/>
                <w:bCs w:val="1"/>
                <w:color w:val="144F82"/>
              </w:rPr>
              <w:t>Deposits - interest bearing</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20,070,552</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21,066,752</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1480" w:hanging="153"/>
        <w:spacing w:after="0"/>
        <w:tabs>
          <w:tab w:leader="none" w:pos="148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Includes the effect of interest rate swaps in effective hedge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34F82"/>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1" w:name="page32"/>
    <w:bookmarkEnd w:id="31"/>
    <w:p>
      <w:pPr>
        <w:ind w:left="380" w:hanging="334"/>
        <w:spacing w:after="0"/>
        <w:tabs>
          <w:tab w:leader="none" w:pos="3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Deposits (Continued)</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Certificates of deposit remaining maturities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137795</wp:posOffset>
            </wp:positionV>
            <wp:extent cx="4723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350" w:lineRule="exact"/>
        <w:rPr>
          <w:sz w:val="20"/>
          <w:szCs w:val="20"/>
          <w:color w:val="auto"/>
        </w:rPr>
      </w:pPr>
    </w:p>
    <w:tbl>
      <w:tblPr>
        <w:tblLayout w:type="fixed"/>
        <w:tblInd w:w="2120" w:type="dxa"/>
        <w:tblCellMar>
          <w:top w:w="0" w:type="dxa"/>
          <w:left w:w="0" w:type="dxa"/>
          <w:bottom w:w="0" w:type="dxa"/>
          <w:right w:w="0" w:type="dxa"/>
        </w:tblCellMar>
      </w:tblPr>
      <w:tr>
        <w:trPr>
          <w:trHeight w:val="197"/>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34F82"/>
              </w:rPr>
              <w:t>(Dollars in thousands)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5078A1"/>
              </w:rPr>
              <w:t>March 31, 2025</w:t>
            </w: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5078A1"/>
              </w:rPr>
              <w:t>December 31, 2024</w:t>
            </w:r>
          </w:p>
        </w:tc>
      </w:tr>
      <w:tr>
        <w:trPr>
          <w:trHeight w:val="211"/>
        </w:trPr>
        <w:tc>
          <w:tcPr>
            <w:tcW w:w="3560" w:type="dxa"/>
            <w:vAlign w:val="bottom"/>
            <w:shd w:val="clear" w:color="auto" w:fill="EDEDEE"/>
          </w:tcPr>
          <w:p>
            <w:pPr>
              <w:spacing w:after="0"/>
              <w:rPr>
                <w:sz w:val="20"/>
                <w:szCs w:val="20"/>
                <w:color w:val="auto"/>
              </w:rPr>
            </w:pPr>
            <w:r>
              <w:rPr>
                <w:rFonts w:ascii="Arial" w:cs="Arial" w:eastAsia="Arial" w:hAnsi="Arial"/>
                <w:sz w:val="16"/>
                <w:szCs w:val="16"/>
                <w:color w:val="auto"/>
              </w:rPr>
              <w:t>One year or less</w:t>
            </w:r>
          </w:p>
        </w:tc>
        <w:tc>
          <w:tcPr>
            <w:tcW w:w="240" w:type="dxa"/>
            <w:vAlign w:val="bottom"/>
            <w:shd w:val="clear" w:color="auto" w:fill="EDEDEE"/>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5,663,300</w:t>
            </w:r>
          </w:p>
        </w:tc>
        <w:tc>
          <w:tcPr>
            <w:tcW w:w="30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6,569,872</w:t>
            </w:r>
          </w:p>
        </w:tc>
      </w:tr>
      <w:tr>
        <w:trPr>
          <w:trHeight w:val="215"/>
        </w:trPr>
        <w:tc>
          <w:tcPr>
            <w:tcW w:w="3560" w:type="dxa"/>
            <w:vAlign w:val="bottom"/>
          </w:tcPr>
          <w:p>
            <w:pPr>
              <w:spacing w:after="0"/>
              <w:rPr>
                <w:sz w:val="20"/>
                <w:szCs w:val="20"/>
                <w:color w:val="auto"/>
              </w:rPr>
            </w:pPr>
            <w:r>
              <w:rPr>
                <w:rFonts w:ascii="Arial" w:cs="Arial" w:eastAsia="Arial" w:hAnsi="Arial"/>
                <w:sz w:val="16"/>
                <w:szCs w:val="16"/>
                <w:color w:val="auto"/>
              </w:rPr>
              <w:t>After one year to two years</w:t>
            </w:r>
          </w:p>
        </w:tc>
        <w:tc>
          <w:tcPr>
            <w:tcW w:w="240" w:type="dxa"/>
            <w:vAlign w:val="bottom"/>
          </w:tcPr>
          <w:p>
            <w:pPr>
              <w:spacing w:after="0"/>
              <w:rPr>
                <w:sz w:val="18"/>
                <w:szCs w:val="18"/>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2,205,759</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2,074,849</w:t>
            </w:r>
          </w:p>
        </w:tc>
      </w:tr>
      <w:tr>
        <w:trPr>
          <w:trHeight w:val="217"/>
        </w:trPr>
        <w:tc>
          <w:tcPr>
            <w:tcW w:w="3560" w:type="dxa"/>
            <w:vAlign w:val="bottom"/>
            <w:shd w:val="clear" w:color="auto" w:fill="EDEDEE"/>
          </w:tcPr>
          <w:p>
            <w:pPr>
              <w:spacing w:after="0"/>
              <w:rPr>
                <w:sz w:val="20"/>
                <w:szCs w:val="20"/>
                <w:color w:val="auto"/>
              </w:rPr>
            </w:pPr>
            <w:r>
              <w:rPr>
                <w:rFonts w:ascii="Arial" w:cs="Arial" w:eastAsia="Arial" w:hAnsi="Arial"/>
                <w:sz w:val="16"/>
                <w:szCs w:val="16"/>
                <w:color w:val="auto"/>
              </w:rPr>
              <w:t>After two years to three years</w:t>
            </w:r>
          </w:p>
        </w:tc>
        <w:tc>
          <w:tcPr>
            <w:tcW w:w="240" w:type="dxa"/>
            <w:vAlign w:val="bottom"/>
            <w:shd w:val="clear" w:color="auto" w:fill="EDEDEE"/>
          </w:tcPr>
          <w:p>
            <w:pPr>
              <w:spacing w:after="0"/>
              <w:rPr>
                <w:sz w:val="18"/>
                <w:szCs w:val="18"/>
                <w:color w:val="auto"/>
              </w:rPr>
            </w:pPr>
          </w:p>
        </w:tc>
        <w:tc>
          <w:tcPr>
            <w:tcW w:w="15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903,006</w:t>
            </w:r>
          </w:p>
        </w:tc>
        <w:tc>
          <w:tcPr>
            <w:tcW w:w="300" w:type="dxa"/>
            <w:vAlign w:val="bottom"/>
            <w:shd w:val="clear" w:color="auto" w:fill="EDEDEE"/>
          </w:tcPr>
          <w:p>
            <w:pPr>
              <w:spacing w:after="0"/>
              <w:rPr>
                <w:sz w:val="18"/>
                <w:szCs w:val="18"/>
                <w:color w:val="auto"/>
              </w:rPr>
            </w:pPr>
          </w:p>
        </w:tc>
        <w:tc>
          <w:tcPr>
            <w:tcW w:w="17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986,262</w:t>
            </w:r>
          </w:p>
        </w:tc>
      </w:tr>
      <w:tr>
        <w:trPr>
          <w:trHeight w:val="215"/>
        </w:trPr>
        <w:tc>
          <w:tcPr>
            <w:tcW w:w="3560" w:type="dxa"/>
            <w:vAlign w:val="bottom"/>
          </w:tcPr>
          <w:p>
            <w:pPr>
              <w:spacing w:after="0"/>
              <w:rPr>
                <w:sz w:val="20"/>
                <w:szCs w:val="20"/>
                <w:color w:val="auto"/>
              </w:rPr>
            </w:pPr>
            <w:r>
              <w:rPr>
                <w:rFonts w:ascii="Arial" w:cs="Arial" w:eastAsia="Arial" w:hAnsi="Arial"/>
                <w:sz w:val="16"/>
                <w:szCs w:val="16"/>
                <w:color w:val="auto"/>
              </w:rPr>
              <w:t>After three years to four years</w:t>
            </w:r>
          </w:p>
        </w:tc>
        <w:tc>
          <w:tcPr>
            <w:tcW w:w="240" w:type="dxa"/>
            <w:vAlign w:val="bottom"/>
          </w:tcPr>
          <w:p>
            <w:pPr>
              <w:spacing w:after="0"/>
              <w:rPr>
                <w:sz w:val="18"/>
                <w:szCs w:val="18"/>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165,656</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189,421</w:t>
            </w:r>
          </w:p>
        </w:tc>
      </w:tr>
      <w:tr>
        <w:trPr>
          <w:trHeight w:val="217"/>
        </w:trPr>
        <w:tc>
          <w:tcPr>
            <w:tcW w:w="3560" w:type="dxa"/>
            <w:vAlign w:val="bottom"/>
            <w:shd w:val="clear" w:color="auto" w:fill="EDEDEE"/>
          </w:tcPr>
          <w:p>
            <w:pPr>
              <w:spacing w:after="0"/>
              <w:rPr>
                <w:sz w:val="20"/>
                <w:szCs w:val="20"/>
                <w:color w:val="auto"/>
              </w:rPr>
            </w:pPr>
            <w:r>
              <w:rPr>
                <w:rFonts w:ascii="Arial" w:cs="Arial" w:eastAsia="Arial" w:hAnsi="Arial"/>
                <w:sz w:val="16"/>
                <w:szCs w:val="16"/>
                <w:color w:val="auto"/>
              </w:rPr>
              <w:t>After four years to five years</w:t>
            </w:r>
          </w:p>
        </w:tc>
        <w:tc>
          <w:tcPr>
            <w:tcW w:w="240" w:type="dxa"/>
            <w:vAlign w:val="bottom"/>
            <w:shd w:val="clear" w:color="auto" w:fill="EDEDEE"/>
          </w:tcPr>
          <w:p>
            <w:pPr>
              <w:spacing w:after="0"/>
              <w:rPr>
                <w:sz w:val="18"/>
                <w:szCs w:val="18"/>
                <w:color w:val="auto"/>
              </w:rPr>
            </w:pPr>
          </w:p>
        </w:tc>
        <w:tc>
          <w:tcPr>
            <w:tcW w:w="15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715,777</w:t>
            </w:r>
          </w:p>
        </w:tc>
        <w:tc>
          <w:tcPr>
            <w:tcW w:w="300" w:type="dxa"/>
            <w:vAlign w:val="bottom"/>
            <w:shd w:val="clear" w:color="auto" w:fill="EDEDEE"/>
          </w:tcPr>
          <w:p>
            <w:pPr>
              <w:spacing w:after="0"/>
              <w:rPr>
                <w:sz w:val="18"/>
                <w:szCs w:val="18"/>
                <w:color w:val="auto"/>
              </w:rPr>
            </w:pPr>
          </w:p>
        </w:tc>
        <w:tc>
          <w:tcPr>
            <w:tcW w:w="17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720,005</w:t>
            </w:r>
          </w:p>
        </w:tc>
      </w:tr>
      <w:tr>
        <w:trPr>
          <w:trHeight w:val="215"/>
        </w:trPr>
        <w:tc>
          <w:tcPr>
            <w:tcW w:w="3560" w:type="dxa"/>
            <w:vAlign w:val="bottom"/>
            <w:tcBorders>
              <w:bottom w:val="single" w:sz="8" w:color="EDEDEE"/>
            </w:tcBorders>
          </w:tcPr>
          <w:p>
            <w:pPr>
              <w:spacing w:after="0"/>
              <w:rPr>
                <w:sz w:val="20"/>
                <w:szCs w:val="20"/>
                <w:color w:val="auto"/>
              </w:rPr>
            </w:pPr>
            <w:r>
              <w:rPr>
                <w:rFonts w:ascii="Arial" w:cs="Arial" w:eastAsia="Arial" w:hAnsi="Arial"/>
                <w:sz w:val="16"/>
                <w:szCs w:val="16"/>
                <w:color w:val="auto"/>
              </w:rPr>
              <w:t>After five years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356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b w:val="1"/>
                <w:bCs w:val="1"/>
                <w:color w:val="144F82"/>
              </w:rPr>
              <w:t>Total</w:t>
            </w:r>
          </w:p>
        </w:tc>
        <w:tc>
          <w:tcPr>
            <w:tcW w:w="24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DEDEE"/>
          </w:tcPr>
          <w:p>
            <w:pPr>
              <w:jc w:val="right"/>
              <w:ind w:right="20"/>
              <w:spacing w:after="0"/>
              <w:rPr>
                <w:sz w:val="20"/>
                <w:szCs w:val="20"/>
                <w:color w:val="auto"/>
              </w:rPr>
            </w:pPr>
            <w:r>
              <w:rPr>
                <w:rFonts w:ascii="Arial" w:cs="Arial" w:eastAsia="Arial" w:hAnsi="Arial"/>
                <w:sz w:val="16"/>
                <w:szCs w:val="16"/>
                <w:color w:val="auto"/>
              </w:rPr>
              <w:t>9,653,528</w:t>
            </w:r>
          </w:p>
        </w:tc>
        <w:tc>
          <w:tcPr>
            <w:tcW w:w="300" w:type="dxa"/>
            <w:vAlign w:val="bottom"/>
            <w:tcBorders>
              <w:bottom w:val="single" w:sz="8" w:color="auto"/>
            </w:tcBorders>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10,540,428</w:t>
            </w:r>
          </w:p>
        </w:tc>
      </w:tr>
      <w:tr>
        <w:trPr>
          <w:trHeight w:val="20"/>
        </w:trPr>
        <w:tc>
          <w:tcPr>
            <w:tcW w:w="3560" w:type="dxa"/>
            <w:vAlign w:val="bottom"/>
            <w:tcBorders>
              <w:top w:val="single" w:sz="8" w:color="EDEDEE"/>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1580" w:type="dxa"/>
            <w:vAlign w:val="bottom"/>
            <w:tcBorders>
              <w:top w:val="single" w:sz="8" w:color="EDEDEE"/>
              <w:bottom w:val="single" w:sz="8" w:color="auto"/>
            </w:tcBorders>
          </w:tcPr>
          <w:p>
            <w:pPr>
              <w:spacing w:after="0" w:line="20" w:lineRule="exact"/>
              <w:rPr>
                <w:sz w:val="1"/>
                <w:szCs w:val="1"/>
                <w:color w:val="auto"/>
              </w:rPr>
            </w:pPr>
          </w:p>
        </w:tc>
        <w:tc>
          <w:tcPr>
            <w:tcW w:w="300" w:type="dxa"/>
            <w:vAlign w:val="bottom"/>
            <w:tcBorders>
              <w:top w:val="single" w:sz="8" w:color="EDEDEE"/>
              <w:bottom w:val="single" w:sz="8" w:color="auto"/>
            </w:tcBorders>
          </w:tcPr>
          <w:p>
            <w:pPr>
              <w:spacing w:after="0" w:line="20" w:lineRule="exact"/>
              <w:rPr>
                <w:sz w:val="1"/>
                <w:szCs w:val="1"/>
                <w:color w:val="auto"/>
              </w:rPr>
            </w:pPr>
          </w:p>
        </w:tc>
        <w:tc>
          <w:tcPr>
            <w:tcW w:w="1760" w:type="dxa"/>
            <w:vAlign w:val="bottom"/>
            <w:tcBorders>
              <w:top w:val="single" w:sz="8" w:color="EDEDEE"/>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7"/>
          <w:szCs w:val="17"/>
          <w:color w:val="auto"/>
        </w:rPr>
        <w:t>As of March 31, 2025 and December 31, 2024, there were $551 million and $567 million, respectively, of deposits exceeding FDIC insurance limits. Accrued interest on deposits was $60 million and $92 million at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134F82"/>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404" w:right="7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7. Borrowings</w:t>
      </w:r>
    </w:p>
    <w:p>
      <w:pPr>
        <w:spacing w:after="0" w:line="171"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Outstanding borrowings consist of unsecured debt and secured borrowings issued through our term asset-backed securities (“ABS”) program and our Private Education Loan multi-lender secured borrowing facility (the “Secured Borrowing Facility”). For additional information regarding our borrowings, see Note 10, “Borrowings” in our 2024 Form 10-K. The following table summarizes our borrowings at March 31, 2025 and December 31, 2024.</w:t>
      </w:r>
    </w:p>
    <w:p>
      <w:pPr>
        <w:spacing w:after="0" w:line="324" w:lineRule="exact"/>
        <w:rPr>
          <w:sz w:val="20"/>
          <w:szCs w:val="20"/>
          <w:color w:val="auto"/>
        </w:rPr>
      </w:pPr>
    </w:p>
    <w:tbl>
      <w:tblPr>
        <w:tblLayout w:type="fixed"/>
        <w:tblInd w:w="620" w:type="dxa"/>
        <w:tblCellMar>
          <w:top w:w="0" w:type="dxa"/>
          <w:left w:w="0" w:type="dxa"/>
          <w:bottom w:w="0" w:type="dxa"/>
          <w:right w:w="0" w:type="dxa"/>
        </w:tblCellMar>
      </w:tblPr>
      <w:tr>
        <w:trPr>
          <w:trHeight w:val="214"/>
        </w:trPr>
        <w:tc>
          <w:tcPr>
            <w:tcW w:w="27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144F82"/>
              </w:rPr>
              <w:t>March 31, 2025</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44F82"/>
              </w:rPr>
              <w:t>December 31, 2024</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44F82"/>
              </w:rPr>
              <w:t>(Dollars in thousands)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Short-Term</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144F82"/>
              </w:rPr>
              <w:t>Long-Term</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144F82"/>
              </w:rPr>
              <w:t>Total</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Short-Term</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144F82"/>
              </w:rPr>
              <w:t>Long-Term</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144F82"/>
              </w:rPr>
              <w:t>Total</w:t>
            </w:r>
          </w:p>
        </w:tc>
        <w:tc>
          <w:tcPr>
            <w:tcW w:w="0" w:type="dxa"/>
            <w:vAlign w:val="bottom"/>
          </w:tcPr>
          <w:p>
            <w:pPr>
              <w:spacing w:after="0"/>
              <w:rPr>
                <w:sz w:val="1"/>
                <w:szCs w:val="1"/>
                <w:color w:val="auto"/>
              </w:rPr>
            </w:pPr>
          </w:p>
        </w:tc>
      </w:tr>
      <w:tr>
        <w:trPr>
          <w:trHeight w:val="211"/>
        </w:trPr>
        <w:tc>
          <w:tcPr>
            <w:tcW w:w="2760" w:type="dxa"/>
            <w:vAlign w:val="bottom"/>
            <w:shd w:val="clear" w:color="auto" w:fill="EDEDEE"/>
          </w:tcPr>
          <w:p>
            <w:pPr>
              <w:spacing w:after="0"/>
              <w:rPr>
                <w:sz w:val="20"/>
                <w:szCs w:val="20"/>
                <w:color w:val="auto"/>
              </w:rPr>
            </w:pPr>
            <w:r>
              <w:rPr>
                <w:rFonts w:ascii="Arial" w:cs="Arial" w:eastAsia="Arial" w:hAnsi="Arial"/>
                <w:sz w:val="16"/>
                <w:szCs w:val="16"/>
                <w:b w:val="1"/>
                <w:bCs w:val="1"/>
                <w:color w:val="144F82"/>
              </w:rPr>
              <w:t>Unsecured borrowings:</w:t>
            </w:r>
          </w:p>
        </w:tc>
        <w:tc>
          <w:tcPr>
            <w:tcW w:w="12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108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16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10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tcBorders>
              <w:bottom w:val="single" w:sz="8" w:color="EDEDEE"/>
            </w:tcBorders>
          </w:tcPr>
          <w:p>
            <w:pPr>
              <w:spacing w:after="0"/>
              <w:rPr>
                <w:sz w:val="20"/>
                <w:szCs w:val="20"/>
                <w:color w:val="auto"/>
              </w:rPr>
            </w:pPr>
            <w:r>
              <w:rPr>
                <w:rFonts w:ascii="Arial" w:cs="Arial" w:eastAsia="Arial" w:hAnsi="Arial"/>
                <w:sz w:val="16"/>
                <w:szCs w:val="16"/>
                <w:color w:val="auto"/>
              </w:rPr>
              <w:t>Unsecured debt (fixed-rate)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989,528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989,528</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995,420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995,420</w:t>
            </w:r>
          </w:p>
        </w:tc>
        <w:tc>
          <w:tcPr>
            <w:tcW w:w="0" w:type="dxa"/>
            <w:vAlign w:val="bottom"/>
          </w:tcPr>
          <w:p>
            <w:pPr>
              <w:spacing w:after="0"/>
              <w:rPr>
                <w:sz w:val="1"/>
                <w:szCs w:val="1"/>
                <w:color w:val="auto"/>
              </w:rPr>
            </w:pPr>
          </w:p>
        </w:tc>
      </w:tr>
      <w:tr>
        <w:trPr>
          <w:trHeight w:val="210"/>
        </w:trPr>
        <w:tc>
          <w:tcPr>
            <w:tcW w:w="2760" w:type="dxa"/>
            <w:vAlign w:val="bottom"/>
            <w:shd w:val="clear" w:color="auto" w:fill="EDEDEE"/>
          </w:tcPr>
          <w:p>
            <w:pPr>
              <w:spacing w:after="0"/>
              <w:rPr>
                <w:sz w:val="20"/>
                <w:szCs w:val="20"/>
                <w:color w:val="auto"/>
              </w:rPr>
            </w:pPr>
            <w:r>
              <w:rPr>
                <w:rFonts w:ascii="Arial" w:cs="Arial" w:eastAsia="Arial" w:hAnsi="Arial"/>
                <w:sz w:val="16"/>
                <w:szCs w:val="16"/>
                <w:b w:val="1"/>
                <w:bCs w:val="1"/>
                <w:color w:val="144F82"/>
              </w:rPr>
              <w:t>Total unsecured borrowings</w:t>
            </w:r>
          </w:p>
        </w:tc>
        <w:tc>
          <w:tcPr>
            <w:tcW w:w="120" w:type="dxa"/>
            <w:vAlign w:val="bottom"/>
            <w:tcBorders>
              <w:bottom w:val="single" w:sz="8" w:color="auto"/>
            </w:tcBorders>
            <w:shd w:val="clear" w:color="auto" w:fill="EDEDEE"/>
          </w:tcPr>
          <w:p>
            <w:pPr>
              <w:spacing w:after="0"/>
              <w:rPr>
                <w:sz w:val="18"/>
                <w:szCs w:val="18"/>
                <w:color w:val="auto"/>
              </w:rPr>
            </w:pPr>
          </w:p>
        </w:tc>
        <w:tc>
          <w:tcPr>
            <w:tcW w:w="94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DEDEE"/>
          </w:tcPr>
          <w:p>
            <w:pPr>
              <w:spacing w:after="0"/>
              <w:rPr>
                <w:sz w:val="18"/>
                <w:szCs w:val="18"/>
                <w:color w:val="auto"/>
              </w:rPr>
            </w:pPr>
          </w:p>
        </w:tc>
        <w:tc>
          <w:tcPr>
            <w:tcW w:w="1080" w:type="dxa"/>
            <w:vAlign w:val="bottom"/>
            <w:tcBorders>
              <w:bottom w:val="single" w:sz="8" w:color="auto"/>
            </w:tcBorders>
            <w:shd w:val="clear" w:color="auto" w:fill="EDEDEE"/>
          </w:tcPr>
          <w:p>
            <w:pPr>
              <w:jc w:val="right"/>
              <w:ind w:right="61"/>
              <w:spacing w:after="0"/>
              <w:rPr>
                <w:sz w:val="20"/>
                <w:szCs w:val="20"/>
                <w:color w:val="auto"/>
              </w:rPr>
            </w:pPr>
            <w:r>
              <w:rPr>
                <w:rFonts w:ascii="Arial" w:cs="Arial" w:eastAsia="Arial" w:hAnsi="Arial"/>
                <w:sz w:val="16"/>
                <w:szCs w:val="16"/>
                <w:color w:val="auto"/>
              </w:rPr>
              <w:t>989,528</w:t>
            </w:r>
          </w:p>
        </w:tc>
        <w:tc>
          <w:tcPr>
            <w:tcW w:w="28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989,528</w:t>
            </w:r>
          </w:p>
        </w:tc>
        <w:tc>
          <w:tcPr>
            <w:tcW w:w="160" w:type="dxa"/>
            <w:vAlign w:val="bottom"/>
            <w:tcBorders>
              <w:bottom w:val="single" w:sz="8" w:color="auto"/>
            </w:tcBorders>
            <w:shd w:val="clear" w:color="auto" w:fill="EDEDEE"/>
          </w:tcPr>
          <w:p>
            <w:pPr>
              <w:spacing w:after="0"/>
              <w:rPr>
                <w:sz w:val="18"/>
                <w:szCs w:val="18"/>
                <w:color w:val="auto"/>
              </w:rPr>
            </w:pPr>
          </w:p>
        </w:tc>
        <w:tc>
          <w:tcPr>
            <w:tcW w:w="120" w:type="dxa"/>
            <w:vAlign w:val="bottom"/>
            <w:tcBorders>
              <w:bottom w:val="single" w:sz="8" w:color="auto"/>
            </w:tcBorders>
            <w:shd w:val="clear" w:color="auto" w:fill="EDEDEE"/>
          </w:tcPr>
          <w:p>
            <w:pPr>
              <w:spacing w:after="0"/>
              <w:rPr>
                <w:sz w:val="18"/>
                <w:szCs w:val="18"/>
                <w:color w:val="auto"/>
              </w:rPr>
            </w:pPr>
          </w:p>
        </w:tc>
        <w:tc>
          <w:tcPr>
            <w:tcW w:w="940" w:type="dxa"/>
            <w:vAlign w:val="bottom"/>
            <w:tcBorders>
              <w:bottom w:val="single" w:sz="8" w:color="auto"/>
            </w:tcBorders>
            <w:shd w:val="clear" w:color="auto" w:fill="EDEDEE"/>
          </w:tcPr>
          <w:p>
            <w:pPr>
              <w:ind w:left="7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DEDEE"/>
          </w:tcPr>
          <w:p>
            <w:pPr>
              <w:spacing w:after="0"/>
              <w:rPr>
                <w:sz w:val="18"/>
                <w:szCs w:val="18"/>
                <w:color w:val="auto"/>
              </w:rPr>
            </w:pPr>
          </w:p>
        </w:tc>
        <w:tc>
          <w:tcPr>
            <w:tcW w:w="1100" w:type="dxa"/>
            <w:vAlign w:val="bottom"/>
            <w:tcBorders>
              <w:bottom w:val="single" w:sz="8" w:color="auto"/>
            </w:tcBorders>
            <w:shd w:val="clear" w:color="auto" w:fill="EDEDEE"/>
          </w:tcPr>
          <w:p>
            <w:pPr>
              <w:jc w:val="right"/>
              <w:ind w:right="100"/>
              <w:spacing w:after="0"/>
              <w:rPr>
                <w:sz w:val="20"/>
                <w:szCs w:val="20"/>
                <w:color w:val="auto"/>
              </w:rPr>
            </w:pPr>
            <w:r>
              <w:rPr>
                <w:rFonts w:ascii="Arial" w:cs="Arial" w:eastAsia="Arial" w:hAnsi="Arial"/>
                <w:sz w:val="16"/>
                <w:szCs w:val="16"/>
                <w:color w:val="auto"/>
              </w:rPr>
              <w:t>995,420</w:t>
            </w:r>
          </w:p>
        </w:tc>
        <w:tc>
          <w:tcPr>
            <w:tcW w:w="22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995,420</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20"/>
                <w:szCs w:val="20"/>
                <w:color w:val="auto"/>
              </w:rPr>
            </w:pPr>
            <w:r>
              <w:rPr>
                <w:rFonts w:ascii="Arial" w:cs="Arial" w:eastAsia="Arial" w:hAnsi="Arial"/>
                <w:sz w:val="16"/>
                <w:szCs w:val="16"/>
                <w:b w:val="1"/>
                <w:bCs w:val="1"/>
                <w:color w:val="144F82"/>
              </w:rPr>
              <w:t>Secured borrowings: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EDEDEE"/>
          </w:tcPr>
          <w:p>
            <w:pPr>
              <w:spacing w:after="0" w:line="162" w:lineRule="exact"/>
              <w:rPr>
                <w:sz w:val="20"/>
                <w:szCs w:val="20"/>
                <w:color w:val="auto"/>
              </w:rPr>
            </w:pPr>
            <w:r>
              <w:rPr>
                <w:rFonts w:ascii="Arial" w:cs="Arial" w:eastAsia="Arial" w:hAnsi="Arial"/>
                <w:sz w:val="16"/>
                <w:szCs w:val="16"/>
                <w:color w:val="auto"/>
              </w:rPr>
              <w:t>Private Education Loan term</w:t>
            </w:r>
          </w:p>
        </w:tc>
        <w:tc>
          <w:tcPr>
            <w:tcW w:w="120" w:type="dxa"/>
            <w:vAlign w:val="bottom"/>
            <w:shd w:val="clear" w:color="auto" w:fill="EDEDEE"/>
          </w:tcPr>
          <w:p>
            <w:pPr>
              <w:spacing w:after="0"/>
              <w:rPr>
                <w:sz w:val="14"/>
                <w:szCs w:val="14"/>
                <w:color w:val="auto"/>
              </w:rPr>
            </w:pPr>
          </w:p>
        </w:tc>
        <w:tc>
          <w:tcPr>
            <w:tcW w:w="940" w:type="dxa"/>
            <w:vAlign w:val="bottom"/>
            <w:shd w:val="clear" w:color="auto" w:fill="EDEDEE"/>
          </w:tcPr>
          <w:p>
            <w:pPr>
              <w:spacing w:after="0"/>
              <w:rPr>
                <w:sz w:val="14"/>
                <w:szCs w:val="14"/>
                <w:color w:val="auto"/>
              </w:rPr>
            </w:pPr>
          </w:p>
        </w:tc>
        <w:tc>
          <w:tcPr>
            <w:tcW w:w="200" w:type="dxa"/>
            <w:vAlign w:val="bottom"/>
            <w:shd w:val="clear" w:color="auto" w:fill="EDEDEE"/>
          </w:tcPr>
          <w:p>
            <w:pPr>
              <w:spacing w:after="0"/>
              <w:rPr>
                <w:sz w:val="14"/>
                <w:szCs w:val="14"/>
                <w:color w:val="auto"/>
              </w:rPr>
            </w:pPr>
          </w:p>
        </w:tc>
        <w:tc>
          <w:tcPr>
            <w:tcW w:w="1080" w:type="dxa"/>
            <w:vAlign w:val="bottom"/>
            <w:shd w:val="clear" w:color="auto" w:fill="EDEDEE"/>
          </w:tcPr>
          <w:p>
            <w:pPr>
              <w:spacing w:after="0"/>
              <w:rPr>
                <w:sz w:val="14"/>
                <w:szCs w:val="14"/>
                <w:color w:val="auto"/>
              </w:rPr>
            </w:pPr>
          </w:p>
        </w:tc>
        <w:tc>
          <w:tcPr>
            <w:tcW w:w="280" w:type="dxa"/>
            <w:vAlign w:val="bottom"/>
            <w:shd w:val="clear" w:color="auto" w:fill="EDEDEE"/>
          </w:tcPr>
          <w:p>
            <w:pPr>
              <w:spacing w:after="0"/>
              <w:rPr>
                <w:sz w:val="14"/>
                <w:szCs w:val="14"/>
                <w:color w:val="auto"/>
              </w:rPr>
            </w:pPr>
          </w:p>
        </w:tc>
        <w:tc>
          <w:tcPr>
            <w:tcW w:w="920" w:type="dxa"/>
            <w:vAlign w:val="bottom"/>
            <w:shd w:val="clear" w:color="auto" w:fill="EDEDEE"/>
          </w:tcPr>
          <w:p>
            <w:pPr>
              <w:spacing w:after="0"/>
              <w:rPr>
                <w:sz w:val="14"/>
                <w:szCs w:val="14"/>
                <w:color w:val="auto"/>
              </w:rPr>
            </w:pPr>
          </w:p>
        </w:tc>
        <w:tc>
          <w:tcPr>
            <w:tcW w:w="160" w:type="dxa"/>
            <w:vAlign w:val="bottom"/>
            <w:shd w:val="clear" w:color="auto" w:fill="EDEDEE"/>
          </w:tcPr>
          <w:p>
            <w:pPr>
              <w:spacing w:after="0"/>
              <w:rPr>
                <w:sz w:val="14"/>
                <w:szCs w:val="14"/>
                <w:color w:val="auto"/>
              </w:rPr>
            </w:pPr>
          </w:p>
        </w:tc>
        <w:tc>
          <w:tcPr>
            <w:tcW w:w="120" w:type="dxa"/>
            <w:vAlign w:val="bottom"/>
            <w:shd w:val="clear" w:color="auto" w:fill="EDEDEE"/>
          </w:tcPr>
          <w:p>
            <w:pPr>
              <w:spacing w:after="0"/>
              <w:rPr>
                <w:sz w:val="14"/>
                <w:szCs w:val="14"/>
                <w:color w:val="auto"/>
              </w:rPr>
            </w:pPr>
          </w:p>
        </w:tc>
        <w:tc>
          <w:tcPr>
            <w:tcW w:w="94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110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92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EDEDEE"/>
          </w:tcPr>
          <w:p>
            <w:pPr>
              <w:spacing w:after="0"/>
              <w:rPr>
                <w:sz w:val="20"/>
                <w:szCs w:val="20"/>
                <w:color w:val="auto"/>
              </w:rPr>
            </w:pPr>
            <w:r>
              <w:rPr>
                <w:rFonts w:ascii="Arial" w:cs="Arial" w:eastAsia="Arial" w:hAnsi="Arial"/>
                <w:sz w:val="16"/>
                <w:szCs w:val="16"/>
                <w:color w:val="auto"/>
              </w:rPr>
              <w:t>securitizations:</w:t>
            </w:r>
          </w:p>
        </w:tc>
        <w:tc>
          <w:tcPr>
            <w:tcW w:w="12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108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16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10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Fixed-rate</w:t>
            </w:r>
          </w:p>
        </w:tc>
        <w:tc>
          <w:tcPr>
            <w:tcW w:w="120" w:type="dxa"/>
            <w:vAlign w:val="bottom"/>
          </w:tcPr>
          <w:p>
            <w:pPr>
              <w:spacing w:after="0"/>
              <w:rPr>
                <w:sz w:val="18"/>
                <w:szCs w:val="18"/>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4,389,633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4,389,633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4,617,743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4,617,743</w:t>
            </w:r>
          </w:p>
        </w:tc>
        <w:tc>
          <w:tcPr>
            <w:tcW w:w="0" w:type="dxa"/>
            <w:vAlign w:val="bottom"/>
          </w:tcPr>
          <w:p>
            <w:pPr>
              <w:spacing w:after="0"/>
              <w:rPr>
                <w:sz w:val="1"/>
                <w:szCs w:val="1"/>
                <w:color w:val="auto"/>
              </w:rPr>
            </w:pPr>
          </w:p>
        </w:tc>
      </w:tr>
      <w:tr>
        <w:trPr>
          <w:trHeight w:val="217"/>
        </w:trPr>
        <w:tc>
          <w:tcPr>
            <w:tcW w:w="2760" w:type="dxa"/>
            <w:vAlign w:val="bottom"/>
            <w:shd w:val="clear" w:color="auto" w:fill="EDEDEE"/>
          </w:tcPr>
          <w:p>
            <w:pPr>
              <w:ind w:left="120"/>
              <w:spacing w:after="0"/>
              <w:rPr>
                <w:sz w:val="20"/>
                <w:szCs w:val="20"/>
                <w:color w:val="auto"/>
              </w:rPr>
            </w:pPr>
            <w:r>
              <w:rPr>
                <w:rFonts w:ascii="Arial" w:cs="Arial" w:eastAsia="Arial" w:hAnsi="Arial"/>
                <w:sz w:val="16"/>
                <w:szCs w:val="16"/>
                <w:color w:val="auto"/>
              </w:rPr>
              <w:t>Variable-rate</w:t>
            </w:r>
          </w:p>
        </w:tc>
        <w:tc>
          <w:tcPr>
            <w:tcW w:w="120" w:type="dxa"/>
            <w:vAlign w:val="bottom"/>
            <w:tcBorders>
              <w:bottom w:val="single" w:sz="8" w:color="auto"/>
            </w:tcBorders>
            <w:shd w:val="clear" w:color="auto" w:fill="EDEDEE"/>
          </w:tcPr>
          <w:p>
            <w:pPr>
              <w:spacing w:after="0"/>
              <w:rPr>
                <w:sz w:val="18"/>
                <w:szCs w:val="18"/>
                <w:color w:val="auto"/>
              </w:rPr>
            </w:pPr>
          </w:p>
        </w:tc>
        <w:tc>
          <w:tcPr>
            <w:tcW w:w="94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DEDEE"/>
          </w:tcPr>
          <w:p>
            <w:pPr>
              <w:spacing w:after="0"/>
              <w:rPr>
                <w:sz w:val="18"/>
                <w:szCs w:val="18"/>
                <w:color w:val="auto"/>
              </w:rPr>
            </w:pPr>
          </w:p>
        </w:tc>
        <w:tc>
          <w:tcPr>
            <w:tcW w:w="1080" w:type="dxa"/>
            <w:vAlign w:val="bottom"/>
            <w:tcBorders>
              <w:bottom w:val="single" w:sz="8" w:color="auto"/>
            </w:tcBorders>
            <w:shd w:val="clear" w:color="auto" w:fill="EDEDEE"/>
          </w:tcPr>
          <w:p>
            <w:pPr>
              <w:jc w:val="right"/>
              <w:ind w:right="61"/>
              <w:spacing w:after="0"/>
              <w:rPr>
                <w:sz w:val="20"/>
                <w:szCs w:val="20"/>
                <w:color w:val="auto"/>
              </w:rPr>
            </w:pPr>
            <w:r>
              <w:rPr>
                <w:rFonts w:ascii="Arial" w:cs="Arial" w:eastAsia="Arial" w:hAnsi="Arial"/>
                <w:sz w:val="16"/>
                <w:szCs w:val="16"/>
                <w:color w:val="auto"/>
              </w:rPr>
              <w:t>768,312</w:t>
            </w:r>
          </w:p>
        </w:tc>
        <w:tc>
          <w:tcPr>
            <w:tcW w:w="28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768,312</w:t>
            </w:r>
          </w:p>
        </w:tc>
        <w:tc>
          <w:tcPr>
            <w:tcW w:w="160" w:type="dxa"/>
            <w:vAlign w:val="bottom"/>
            <w:tcBorders>
              <w:bottom w:val="single" w:sz="8" w:color="auto"/>
            </w:tcBorders>
            <w:shd w:val="clear" w:color="auto" w:fill="EDEDEE"/>
          </w:tcPr>
          <w:p>
            <w:pPr>
              <w:spacing w:after="0"/>
              <w:rPr>
                <w:sz w:val="18"/>
                <w:szCs w:val="18"/>
                <w:color w:val="auto"/>
              </w:rPr>
            </w:pPr>
          </w:p>
        </w:tc>
        <w:tc>
          <w:tcPr>
            <w:tcW w:w="120" w:type="dxa"/>
            <w:vAlign w:val="bottom"/>
            <w:tcBorders>
              <w:bottom w:val="single" w:sz="8" w:color="auto"/>
            </w:tcBorders>
            <w:shd w:val="clear" w:color="auto" w:fill="EDEDEE"/>
          </w:tcPr>
          <w:p>
            <w:pPr>
              <w:spacing w:after="0"/>
              <w:rPr>
                <w:sz w:val="18"/>
                <w:szCs w:val="18"/>
                <w:color w:val="auto"/>
              </w:rPr>
            </w:pPr>
          </w:p>
        </w:tc>
        <w:tc>
          <w:tcPr>
            <w:tcW w:w="940" w:type="dxa"/>
            <w:vAlign w:val="bottom"/>
            <w:tcBorders>
              <w:bottom w:val="single" w:sz="8" w:color="auto"/>
            </w:tcBorders>
            <w:shd w:val="clear" w:color="auto" w:fill="EDEDEE"/>
          </w:tcPr>
          <w:p>
            <w:pPr>
              <w:ind w:left="7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DEDEE"/>
          </w:tcPr>
          <w:p>
            <w:pPr>
              <w:spacing w:after="0"/>
              <w:rPr>
                <w:sz w:val="18"/>
                <w:szCs w:val="18"/>
                <w:color w:val="auto"/>
              </w:rPr>
            </w:pPr>
          </w:p>
        </w:tc>
        <w:tc>
          <w:tcPr>
            <w:tcW w:w="1100" w:type="dxa"/>
            <w:vAlign w:val="bottom"/>
            <w:tcBorders>
              <w:bottom w:val="single" w:sz="8" w:color="auto"/>
            </w:tcBorders>
            <w:shd w:val="clear" w:color="auto" w:fill="EDEDEE"/>
          </w:tcPr>
          <w:p>
            <w:pPr>
              <w:jc w:val="right"/>
              <w:ind w:right="100"/>
              <w:spacing w:after="0"/>
              <w:rPr>
                <w:sz w:val="20"/>
                <w:szCs w:val="20"/>
                <w:color w:val="auto"/>
              </w:rPr>
            </w:pPr>
            <w:r>
              <w:rPr>
                <w:rFonts w:ascii="Arial" w:cs="Arial" w:eastAsia="Arial" w:hAnsi="Arial"/>
                <w:sz w:val="16"/>
                <w:szCs w:val="16"/>
                <w:color w:val="auto"/>
              </w:rPr>
              <w:t>827,182</w:t>
            </w:r>
          </w:p>
        </w:tc>
        <w:tc>
          <w:tcPr>
            <w:tcW w:w="22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827,182</w:t>
            </w:r>
          </w:p>
        </w:tc>
        <w:tc>
          <w:tcPr>
            <w:tcW w:w="0" w:type="dxa"/>
            <w:vAlign w:val="bottom"/>
          </w:tcPr>
          <w:p>
            <w:pPr>
              <w:spacing w:after="0"/>
              <w:rPr>
                <w:sz w:val="1"/>
                <w:szCs w:val="1"/>
                <w:color w:val="auto"/>
              </w:rPr>
            </w:pPr>
          </w:p>
        </w:tc>
      </w:tr>
      <w:tr>
        <w:trPr>
          <w:trHeight w:val="142"/>
        </w:trPr>
        <w:tc>
          <w:tcPr>
            <w:tcW w:w="2760" w:type="dxa"/>
            <w:vAlign w:val="bottom"/>
          </w:tcPr>
          <w:p>
            <w:pPr>
              <w:spacing w:after="0" w:line="142" w:lineRule="exact"/>
              <w:rPr>
                <w:sz w:val="20"/>
                <w:szCs w:val="20"/>
                <w:color w:val="auto"/>
              </w:rPr>
            </w:pPr>
            <w:r>
              <w:rPr>
                <w:rFonts w:ascii="Arial" w:cs="Arial" w:eastAsia="Arial" w:hAnsi="Arial"/>
                <w:sz w:val="16"/>
                <w:szCs w:val="16"/>
                <w:color w:val="auto"/>
              </w:rPr>
              <w:t>Total Private Education Loan term</w:t>
            </w:r>
          </w:p>
        </w:tc>
        <w:tc>
          <w:tcPr>
            <w:tcW w:w="120" w:type="dxa"/>
            <w:vAlign w:val="bottom"/>
          </w:tcPr>
          <w:p>
            <w:pPr>
              <w:spacing w:after="0"/>
              <w:rPr>
                <w:sz w:val="12"/>
                <w:szCs w:val="12"/>
                <w:color w:val="auto"/>
              </w:rPr>
            </w:pPr>
          </w:p>
        </w:tc>
        <w:tc>
          <w:tcPr>
            <w:tcW w:w="94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5,157,945</w:t>
            </w: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5,157,945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ind w:left="7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2"/>
                <w:szCs w:val="12"/>
                <w:color w:val="auto"/>
              </w:rPr>
            </w:pPr>
          </w:p>
        </w:tc>
        <w:tc>
          <w:tcPr>
            <w:tcW w:w="1100" w:type="dxa"/>
            <w:vAlign w:val="bottom"/>
            <w:vMerge w:val="restart"/>
          </w:tcPr>
          <w:p>
            <w:pPr>
              <w:jc w:val="right"/>
              <w:ind w:right="100"/>
              <w:spacing w:after="0"/>
              <w:rPr>
                <w:sz w:val="20"/>
                <w:szCs w:val="20"/>
                <w:color w:val="auto"/>
              </w:rPr>
            </w:pPr>
            <w:r>
              <w:rPr>
                <w:rFonts w:ascii="Arial" w:cs="Arial" w:eastAsia="Arial" w:hAnsi="Arial"/>
                <w:sz w:val="16"/>
                <w:szCs w:val="16"/>
                <w:color w:val="auto"/>
              </w:rPr>
              <w:t>5,444,925</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5,444,925</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6"/>
                <w:szCs w:val="16"/>
                <w:color w:val="auto"/>
              </w:rPr>
              <w:t>securitizations</w:t>
            </w: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EDEDEE"/>
          </w:tcPr>
          <w:p>
            <w:pPr>
              <w:spacing w:after="0"/>
              <w:rPr>
                <w:sz w:val="20"/>
                <w:szCs w:val="20"/>
                <w:color w:val="auto"/>
              </w:rPr>
            </w:pPr>
            <w:r>
              <w:rPr>
                <w:rFonts w:ascii="Arial" w:cs="Arial" w:eastAsia="Arial" w:hAnsi="Arial"/>
                <w:sz w:val="16"/>
                <w:szCs w:val="16"/>
                <w:color w:val="auto"/>
              </w:rPr>
              <w:t>Secured Borrowing Facility</w:t>
            </w:r>
          </w:p>
        </w:tc>
        <w:tc>
          <w:tcPr>
            <w:tcW w:w="120" w:type="dxa"/>
            <w:vAlign w:val="bottom"/>
            <w:tcBorders>
              <w:bottom w:val="single" w:sz="8" w:color="auto"/>
            </w:tcBorders>
            <w:shd w:val="clear" w:color="auto" w:fill="EDEDEE"/>
          </w:tcPr>
          <w:p>
            <w:pPr>
              <w:spacing w:after="0"/>
              <w:rPr>
                <w:sz w:val="18"/>
                <w:szCs w:val="18"/>
                <w:color w:val="auto"/>
              </w:rPr>
            </w:pPr>
          </w:p>
        </w:tc>
        <w:tc>
          <w:tcPr>
            <w:tcW w:w="94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DEDEE"/>
          </w:tcPr>
          <w:p>
            <w:pPr>
              <w:spacing w:after="0"/>
              <w:rPr>
                <w:sz w:val="18"/>
                <w:szCs w:val="18"/>
                <w:color w:val="auto"/>
              </w:rPr>
            </w:pPr>
          </w:p>
        </w:tc>
        <w:tc>
          <w:tcPr>
            <w:tcW w:w="1080" w:type="dxa"/>
            <w:vAlign w:val="bottom"/>
            <w:tcBorders>
              <w:bottom w:val="single" w:sz="8" w:color="auto"/>
            </w:tcBorders>
            <w:shd w:val="clear" w:color="auto" w:fill="EDEDEE"/>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DEDEE"/>
          </w:tcPr>
          <w:p>
            <w:pPr>
              <w:spacing w:after="0"/>
              <w:rPr>
                <w:sz w:val="18"/>
                <w:szCs w:val="18"/>
                <w:color w:val="auto"/>
              </w:rPr>
            </w:pPr>
          </w:p>
        </w:tc>
        <w:tc>
          <w:tcPr>
            <w:tcW w:w="1080" w:type="dxa"/>
            <w:vAlign w:val="bottom"/>
            <w:tcBorders>
              <w:bottom w:val="single" w:sz="8" w:color="auto"/>
            </w:tcBorders>
            <w:gridSpan w:val="2"/>
            <w:shd w:val="clear" w:color="auto" w:fill="EDEDEE"/>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EDEDEE"/>
          </w:tcPr>
          <w:p>
            <w:pPr>
              <w:spacing w:after="0"/>
              <w:rPr>
                <w:sz w:val="18"/>
                <w:szCs w:val="18"/>
                <w:color w:val="auto"/>
              </w:rPr>
            </w:pPr>
          </w:p>
        </w:tc>
        <w:tc>
          <w:tcPr>
            <w:tcW w:w="940" w:type="dxa"/>
            <w:vAlign w:val="bottom"/>
            <w:tcBorders>
              <w:bottom w:val="single" w:sz="8" w:color="auto"/>
            </w:tcBorders>
            <w:shd w:val="clear" w:color="auto" w:fill="EDEDEE"/>
          </w:tcPr>
          <w:p>
            <w:pPr>
              <w:ind w:left="7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DEDEE"/>
          </w:tcPr>
          <w:p>
            <w:pPr>
              <w:spacing w:after="0"/>
              <w:rPr>
                <w:sz w:val="18"/>
                <w:szCs w:val="18"/>
                <w:color w:val="auto"/>
              </w:rPr>
            </w:pPr>
          </w:p>
        </w:tc>
        <w:tc>
          <w:tcPr>
            <w:tcW w:w="1100" w:type="dxa"/>
            <w:vAlign w:val="bottom"/>
            <w:tcBorders>
              <w:bottom w:val="single" w:sz="8" w:color="auto"/>
            </w:tcBorders>
            <w:shd w:val="clear" w:color="auto" w:fill="EDEDEE"/>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EDEDEE"/>
            </w:tcBorders>
          </w:tcPr>
          <w:p>
            <w:pPr>
              <w:spacing w:after="0"/>
              <w:rPr>
                <w:sz w:val="20"/>
                <w:szCs w:val="20"/>
                <w:color w:val="auto"/>
              </w:rPr>
            </w:pPr>
            <w:r>
              <w:rPr>
                <w:rFonts w:ascii="Arial" w:cs="Arial" w:eastAsia="Arial" w:hAnsi="Arial"/>
                <w:sz w:val="16"/>
                <w:szCs w:val="16"/>
                <w:b w:val="1"/>
                <w:bCs w:val="1"/>
                <w:color w:val="144F82"/>
              </w:rPr>
              <w:t>Total secured borrowings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5,157,945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5,157,945</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5,444,925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5,444,925</w:t>
            </w:r>
          </w:p>
        </w:tc>
        <w:tc>
          <w:tcPr>
            <w:tcW w:w="0" w:type="dxa"/>
            <w:vAlign w:val="bottom"/>
          </w:tcPr>
          <w:p>
            <w:pPr>
              <w:spacing w:after="0"/>
              <w:rPr>
                <w:sz w:val="1"/>
                <w:szCs w:val="1"/>
                <w:color w:val="auto"/>
              </w:rPr>
            </w:pPr>
          </w:p>
        </w:tc>
      </w:tr>
      <w:tr>
        <w:trPr>
          <w:trHeight w:val="234"/>
        </w:trPr>
        <w:tc>
          <w:tcPr>
            <w:tcW w:w="276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b w:val="1"/>
                <w:bCs w:val="1"/>
                <w:color w:val="144F82"/>
              </w:rPr>
              <w:t>Total</w:t>
            </w: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DEDEE"/>
          </w:tcPr>
          <w:p>
            <w:pPr>
              <w:jc w:val="right"/>
              <w:ind w:right="61"/>
              <w:spacing w:after="0"/>
              <w:rPr>
                <w:sz w:val="20"/>
                <w:szCs w:val="20"/>
                <w:color w:val="auto"/>
              </w:rPr>
            </w:pPr>
            <w:r>
              <w:rPr>
                <w:rFonts w:ascii="Arial" w:cs="Arial" w:eastAsia="Arial" w:hAnsi="Arial"/>
                <w:sz w:val="16"/>
                <w:szCs w:val="16"/>
                <w:color w:val="auto"/>
              </w:rPr>
              <w:t>6,147,473</w:t>
            </w:r>
          </w:p>
        </w:tc>
        <w:tc>
          <w:tcPr>
            <w:tcW w:w="28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6,147,473</w:t>
            </w:r>
          </w:p>
        </w:tc>
        <w:tc>
          <w:tcPr>
            <w:tcW w:w="160" w:type="dxa"/>
            <w:vAlign w:val="bottom"/>
            <w:tcBorders>
              <w:bottom w:val="single" w:sz="8" w:color="auto"/>
            </w:tcBorders>
            <w:shd w:val="clear" w:color="auto" w:fill="EDEDEE"/>
          </w:tcPr>
          <w:p>
            <w:pPr>
              <w:spacing w:after="0"/>
              <w:rPr>
                <w:sz w:val="19"/>
                <w:szCs w:val="19"/>
                <w:color w:val="auto"/>
              </w:rPr>
            </w:pP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EDEDEE"/>
          </w:tcPr>
          <w:p>
            <w:pPr>
              <w:ind w:left="7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DEDEE"/>
          </w:tcPr>
          <w:p>
            <w:pPr>
              <w:jc w:val="right"/>
              <w:ind w:right="100"/>
              <w:spacing w:after="0"/>
              <w:rPr>
                <w:sz w:val="20"/>
                <w:szCs w:val="20"/>
                <w:color w:val="auto"/>
              </w:rPr>
            </w:pPr>
            <w:r>
              <w:rPr>
                <w:rFonts w:ascii="Arial" w:cs="Arial" w:eastAsia="Arial" w:hAnsi="Arial"/>
                <w:sz w:val="16"/>
                <w:szCs w:val="16"/>
                <w:color w:val="auto"/>
              </w:rPr>
              <w:t>6,440,345</w:t>
            </w:r>
          </w:p>
        </w:tc>
        <w:tc>
          <w:tcPr>
            <w:tcW w:w="22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6,440,345</w:t>
            </w:r>
          </w:p>
        </w:tc>
        <w:tc>
          <w:tcPr>
            <w:tcW w:w="0" w:type="dxa"/>
            <w:vAlign w:val="bottom"/>
          </w:tcPr>
          <w:p>
            <w:pPr>
              <w:spacing w:after="0"/>
              <w:rPr>
                <w:sz w:val="1"/>
                <w:szCs w:val="1"/>
                <w:color w:val="auto"/>
              </w:rPr>
            </w:pPr>
          </w:p>
        </w:tc>
      </w:tr>
      <w:tr>
        <w:trPr>
          <w:trHeight w:val="20"/>
        </w:trPr>
        <w:tc>
          <w:tcPr>
            <w:tcW w:w="276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200" w:type="dxa"/>
            <w:vAlign w:val="bottom"/>
            <w:tcBorders>
              <w:top w:val="single" w:sz="8" w:color="EDEDEE"/>
              <w:bottom w:val="single" w:sz="8" w:color="auto"/>
            </w:tcBorders>
          </w:tcPr>
          <w:p>
            <w:pPr>
              <w:spacing w:after="0" w:line="20" w:lineRule="exact"/>
              <w:rPr>
                <w:sz w:val="1"/>
                <w:szCs w:val="1"/>
                <w:color w:val="auto"/>
              </w:rPr>
            </w:pPr>
          </w:p>
        </w:tc>
        <w:tc>
          <w:tcPr>
            <w:tcW w:w="108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16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10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Financings</w:t>
      </w:r>
    </w:p>
    <w:p>
      <w:pPr>
        <w:spacing w:after="0" w:line="102"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On June 14, 2024, we amended our $2 billion maximum Secured Borrowing Facility to extend the maturity. We hold 100 percent of the residual interest in the Secured Borrowing Facility trust. The amendment extended the revolving period, during which we may borrow, repay, and reborrow funds, until June 13, 2025. The scheduled amortization period, during which amounts outstanding under the Secured Borrowing Facility must be repaid, ends on June 13, 2026 (or earlier, if certain material adverse events occur). The one-year revolving period plus the one-year amortization period results in a contractual maturity that is two years from the date of inception or renewal; however, we classify advances under our Secured Borrowing Facility as short-term borrowings because it is our intention to repay those advances within one year. At both March 31, 2025, and December 31, 2024, there were no outstanding short-term borrowings under the Secured Borrowing Facility.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Financing Transactions</w:t>
      </w:r>
    </w:p>
    <w:p>
      <w:pPr>
        <w:spacing w:after="0" w:line="102"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color w:val="auto"/>
        </w:rPr>
        <w:t>On January 31, 2025, we issued $500 million of 6.50 percent unsecured Senior Notes due January 31, 2030. At March 31, 2025, the outstanding balance was $493 million.</w:t>
      </w:r>
    </w:p>
    <w:p>
      <w:pPr>
        <w:spacing w:after="0" w:line="45"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On February 18, 2025, we redeemed $500 million of the 4.20 percent unsecured Senior Notes due October 29, 2025. The Senior Notes were redeemed at 100 percent of their principal amount, plus the accrued and unpaid interest thereon through the redemption date. As a result of the redemption, we recognized a $1 million loss on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420" w:hanging="333"/>
        <w:spacing w:after="0"/>
        <w:tabs>
          <w:tab w:leader="none" w:pos="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Financing Transactions</w:t>
      </w:r>
    </w:p>
    <w:p>
      <w:pPr>
        <w:spacing w:after="0" w:line="10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following table summarizes our term ABS fundings issued in the year ended December 31, 2024, in which we retained 100 percent of the residual class certificates and which are collateralized by pools of Private Education Loans. The transfer of these loans did not qualify for sale treatment and thus remain encumbered on our consolidated balance sheet. There were no secured financings issued in the three months ended March 31, 2025.</w:t>
      </w:r>
    </w:p>
    <w:p>
      <w:pPr>
        <w:spacing w:after="0" w:line="331"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21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center"/>
              <w:ind w:right="62"/>
              <w:spacing w:after="0"/>
              <w:rPr>
                <w:sz w:val="20"/>
                <w:szCs w:val="20"/>
                <w:color w:val="auto"/>
              </w:rPr>
            </w:pPr>
            <w:r>
              <w:rPr>
                <w:rFonts w:ascii="Arial" w:cs="Arial" w:eastAsia="Arial" w:hAnsi="Arial"/>
                <w:sz w:val="14"/>
                <w:szCs w:val="14"/>
                <w:b w:val="1"/>
                <w:bCs w:val="1"/>
                <w:color w:val="144F82"/>
              </w:rPr>
              <w:t>Loans</w:t>
            </w:r>
          </w:p>
        </w:tc>
        <w:tc>
          <w:tcPr>
            <w:tcW w:w="3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left="44"/>
              <w:spacing w:after="0"/>
              <w:rPr>
                <w:sz w:val="20"/>
                <w:szCs w:val="20"/>
                <w:color w:val="auto"/>
              </w:rPr>
            </w:pPr>
            <w:r>
              <w:rPr>
                <w:rFonts w:ascii="Arial" w:cs="Arial" w:eastAsia="Arial" w:hAnsi="Arial"/>
                <w:sz w:val="14"/>
                <w:szCs w:val="14"/>
                <w:b w:val="1"/>
                <w:bCs w:val="1"/>
                <w:color w:val="144F82"/>
              </w:rPr>
              <w:t>Weighted</w:t>
            </w:r>
          </w:p>
        </w:tc>
        <w:tc>
          <w:tcPr>
            <w:tcW w:w="0" w:type="dxa"/>
            <w:vAlign w:val="bottom"/>
          </w:tcPr>
          <w:p>
            <w:pPr>
              <w:spacing w:after="0"/>
              <w:rPr>
                <w:sz w:val="1"/>
                <w:szCs w:val="1"/>
                <w:color w:val="auto"/>
              </w:rPr>
            </w:pPr>
          </w:p>
        </w:tc>
      </w:tr>
      <w:tr>
        <w:trPr>
          <w:trHeight w:val="144"/>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144F82"/>
              </w:rPr>
              <w:t>SMB Private Education</w:t>
            </w: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144F82"/>
              </w:rPr>
              <w:t>Notes</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144F82"/>
              </w:rPr>
              <w:t>Weighted Average</w:t>
            </w:r>
          </w:p>
        </w:tc>
        <w:tc>
          <w:tcPr>
            <w:tcW w:w="1240" w:type="dxa"/>
            <w:vAlign w:val="bottom"/>
          </w:tcPr>
          <w:p>
            <w:pPr>
              <w:jc w:val="center"/>
              <w:ind w:left="44"/>
              <w:spacing w:after="0" w:line="145" w:lineRule="exact"/>
              <w:rPr>
                <w:sz w:val="20"/>
                <w:szCs w:val="20"/>
                <w:color w:val="auto"/>
              </w:rPr>
            </w:pPr>
            <w:r>
              <w:rPr>
                <w:rFonts w:ascii="Arial" w:cs="Arial" w:eastAsia="Arial" w:hAnsi="Arial"/>
                <w:sz w:val="14"/>
                <w:szCs w:val="14"/>
                <w:b w:val="1"/>
                <w:bCs w:val="1"/>
                <w:color w:val="144F82"/>
              </w:rPr>
              <w:t>Average Life of</w:t>
            </w: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144F82"/>
              </w:rPr>
              <w:t>Date Closed</w:t>
            </w:r>
          </w:p>
        </w:tc>
        <w:tc>
          <w:tcPr>
            <w:tcW w:w="140" w:type="dxa"/>
            <w:vAlign w:val="bottom"/>
          </w:tcPr>
          <w:p>
            <w:pPr>
              <w:spacing w:after="0"/>
              <w:rPr>
                <w:sz w:val="12"/>
                <w:szCs w:val="12"/>
                <w:color w:val="auto"/>
              </w:rPr>
            </w:pPr>
          </w:p>
        </w:tc>
        <w:tc>
          <w:tcPr>
            <w:tcW w:w="11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144F82"/>
              </w:rPr>
              <w:t>Transferred to</w:t>
            </w: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144F82"/>
              </w:rPr>
              <w:t>Gross Proceeds</w:t>
            </w:r>
          </w:p>
        </w:tc>
        <w:tc>
          <w:tcPr>
            <w:tcW w:w="1740" w:type="dxa"/>
            <w:vAlign w:val="bottom"/>
            <w:vMerge w:val="continue"/>
          </w:tcPr>
          <w:p>
            <w:pPr>
              <w:spacing w:after="0"/>
              <w:rPr>
                <w:sz w:val="12"/>
                <w:szCs w:val="12"/>
                <w:color w:val="auto"/>
              </w:rPr>
            </w:pPr>
          </w:p>
        </w:tc>
        <w:tc>
          <w:tcPr>
            <w:tcW w:w="1240" w:type="dxa"/>
            <w:vAlign w:val="bottom"/>
          </w:tcPr>
          <w:p>
            <w:pPr>
              <w:jc w:val="center"/>
              <w:ind w:left="44"/>
              <w:spacing w:after="0" w:line="149" w:lineRule="exact"/>
              <w:rPr>
                <w:sz w:val="20"/>
                <w:szCs w:val="20"/>
                <w:color w:val="auto"/>
              </w:rPr>
            </w:pPr>
            <w:r>
              <w:rPr>
                <w:rFonts w:ascii="Arial" w:cs="Arial" w:eastAsia="Arial" w:hAnsi="Arial"/>
                <w:sz w:val="14"/>
                <w:szCs w:val="14"/>
                <w:b w:val="1"/>
                <w:bCs w:val="1"/>
                <w:color w:val="144F82"/>
              </w:rPr>
              <w:t>Notes</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Loan Trust</w:t>
            </w:r>
          </w:p>
        </w:tc>
        <w:tc>
          <w:tcPr>
            <w:tcW w:w="2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144F82"/>
              </w:rPr>
              <w:t>the Trust</w:t>
            </w:r>
            <w:r>
              <w:rPr>
                <w:rFonts w:ascii="Arial" w:cs="Arial" w:eastAsia="Arial" w:hAnsi="Arial"/>
                <w:sz w:val="9"/>
                <w:szCs w:val="9"/>
                <w:b w:val="1"/>
                <w:bCs w:val="1"/>
                <w:color w:val="144F82"/>
              </w:rPr>
              <w:t>(1)</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144F82"/>
              </w:rPr>
              <w:t>Issued</w:t>
            </w:r>
          </w:p>
        </w:tc>
        <w:tc>
          <w:tcPr>
            <w:tcW w:w="1260" w:type="dxa"/>
            <w:vAlign w:val="bottom"/>
            <w:tcBorders>
              <w:bottom w:val="single" w:sz="8" w:color="auto"/>
            </w:tcBorders>
            <w:gridSpan w:val="2"/>
            <w:vMerge w:val="continue"/>
          </w:tcPr>
          <w:p>
            <w:pPr>
              <w:spacing w:after="0"/>
              <w:rPr>
                <w:sz w:val="16"/>
                <w:szCs w:val="16"/>
                <w:color w:val="auto"/>
              </w:rPr>
            </w:pPr>
          </w:p>
        </w:tc>
        <w:tc>
          <w:tcPr>
            <w:tcW w:w="1740" w:type="dxa"/>
            <w:vAlign w:val="bottom"/>
            <w:tcBorders>
              <w:bottom w:val="single" w:sz="8" w:color="auto"/>
            </w:tcBorders>
          </w:tcPr>
          <w:p>
            <w:pPr>
              <w:jc w:val="center"/>
              <w:ind w:left="23"/>
              <w:spacing w:after="0" w:line="189" w:lineRule="exact"/>
              <w:rPr>
                <w:sz w:val="20"/>
                <w:szCs w:val="20"/>
                <w:color w:val="auto"/>
              </w:rPr>
            </w:pPr>
            <w:r>
              <w:rPr>
                <w:rFonts w:ascii="Arial" w:cs="Arial" w:eastAsia="Arial" w:hAnsi="Arial"/>
                <w:sz w:val="14"/>
                <w:szCs w:val="14"/>
                <w:b w:val="1"/>
                <w:bCs w:val="1"/>
                <w:color w:val="144F82"/>
                <w:w w:val="99"/>
              </w:rPr>
              <w:t>Cost of Funds</w:t>
            </w:r>
            <w:r>
              <w:rPr>
                <w:rFonts w:ascii="Arial" w:cs="Arial" w:eastAsia="Arial" w:hAnsi="Arial"/>
                <w:sz w:val="18"/>
                <w:szCs w:val="18"/>
                <w:b w:val="1"/>
                <w:bCs w:val="1"/>
                <w:color w:val="144F82"/>
                <w:w w:val="99"/>
                <w:vertAlign w:val="superscript"/>
              </w:rPr>
              <w:t>(2)</w:t>
            </w:r>
          </w:p>
        </w:tc>
        <w:tc>
          <w:tcPr>
            <w:tcW w:w="124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b w:val="1"/>
                <w:bCs w:val="1"/>
                <w:color w:val="144F82"/>
              </w:rPr>
              <w:t>(in years)</w:t>
            </w:r>
          </w:p>
        </w:tc>
        <w:tc>
          <w:tcPr>
            <w:tcW w:w="0" w:type="dxa"/>
            <w:vAlign w:val="bottom"/>
          </w:tcPr>
          <w:p>
            <w:pPr>
              <w:spacing w:after="0"/>
              <w:rPr>
                <w:sz w:val="1"/>
                <w:szCs w:val="1"/>
                <w:color w:val="auto"/>
              </w:rPr>
            </w:pPr>
          </w:p>
        </w:tc>
      </w:tr>
      <w:tr>
        <w:trPr>
          <w:trHeight w:val="167"/>
        </w:trPr>
        <w:tc>
          <w:tcPr>
            <w:tcW w:w="2120" w:type="dxa"/>
            <w:vAlign w:val="bottom"/>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12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2024-C ABS Transaction</w:t>
            </w:r>
          </w:p>
        </w:tc>
        <w:tc>
          <w:tcPr>
            <w:tcW w:w="2000" w:type="dxa"/>
            <w:vAlign w:val="bottom"/>
            <w:shd w:val="clear" w:color="auto" w:fill="EDEDEE"/>
          </w:tcPr>
          <w:p>
            <w:pPr>
              <w:jc w:val="center"/>
              <w:spacing w:after="0"/>
              <w:rPr>
                <w:sz w:val="20"/>
                <w:szCs w:val="20"/>
                <w:color w:val="auto"/>
              </w:rPr>
            </w:pPr>
            <w:r>
              <w:rPr>
                <w:rFonts w:ascii="Arial" w:cs="Arial" w:eastAsia="Arial" w:hAnsi="Arial"/>
                <w:sz w:val="16"/>
                <w:szCs w:val="16"/>
                <w:color w:val="auto"/>
              </w:rPr>
              <w:t>May 15, 2024</w:t>
            </w:r>
          </w:p>
        </w:tc>
        <w:tc>
          <w:tcPr>
            <w:tcW w:w="14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733,644</w:t>
            </w:r>
          </w:p>
        </w:tc>
        <w:tc>
          <w:tcPr>
            <w:tcW w:w="34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EDEDEE"/>
          </w:tcPr>
          <w:p>
            <w:pPr>
              <w:jc w:val="right"/>
              <w:ind w:right="22"/>
              <w:spacing w:after="0"/>
              <w:rPr>
                <w:sz w:val="20"/>
                <w:szCs w:val="20"/>
                <w:color w:val="auto"/>
              </w:rPr>
            </w:pPr>
            <w:r>
              <w:rPr>
                <w:rFonts w:ascii="Arial" w:cs="Arial" w:eastAsia="Arial" w:hAnsi="Arial"/>
                <w:sz w:val="16"/>
                <w:szCs w:val="16"/>
                <w:color w:val="auto"/>
              </w:rPr>
              <w:t>668,000</w:t>
            </w:r>
          </w:p>
        </w:tc>
        <w:tc>
          <w:tcPr>
            <w:tcW w:w="340" w:type="dxa"/>
            <w:vAlign w:val="bottom"/>
            <w:shd w:val="clear" w:color="auto" w:fill="EDEDEE"/>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667,888</w:t>
            </w:r>
          </w:p>
        </w:tc>
        <w:tc>
          <w:tcPr>
            <w:tcW w:w="1740" w:type="dxa"/>
            <w:vAlign w:val="bottom"/>
            <w:shd w:val="clear" w:color="auto" w:fill="EDEDEE"/>
          </w:tcPr>
          <w:p>
            <w:pPr>
              <w:jc w:val="center"/>
              <w:ind w:left="43"/>
              <w:spacing w:after="0"/>
              <w:rPr>
                <w:sz w:val="20"/>
                <w:szCs w:val="20"/>
                <w:color w:val="auto"/>
              </w:rPr>
            </w:pPr>
            <w:r>
              <w:rPr>
                <w:rFonts w:ascii="Arial" w:cs="Arial" w:eastAsia="Arial" w:hAnsi="Arial"/>
                <w:sz w:val="16"/>
                <w:szCs w:val="16"/>
                <w:color w:val="auto"/>
              </w:rPr>
              <w:t>SOFR plus 1.19%</w:t>
            </w:r>
          </w:p>
        </w:tc>
        <w:tc>
          <w:tcPr>
            <w:tcW w:w="1240" w:type="dxa"/>
            <w:vAlign w:val="bottom"/>
            <w:shd w:val="clear" w:color="auto" w:fill="EDEDEE"/>
          </w:tcPr>
          <w:p>
            <w:pPr>
              <w:jc w:val="center"/>
              <w:ind w:left="44"/>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6"/>
                <w:szCs w:val="16"/>
                <w:color w:val="auto"/>
              </w:rPr>
              <w:t>2024-E ABS Transaction</w:t>
            </w:r>
          </w:p>
        </w:tc>
        <w:tc>
          <w:tcPr>
            <w:tcW w:w="2000" w:type="dxa"/>
            <w:vAlign w:val="bottom"/>
          </w:tcPr>
          <w:p>
            <w:pPr>
              <w:jc w:val="center"/>
              <w:spacing w:after="0"/>
              <w:rPr>
                <w:sz w:val="20"/>
                <w:szCs w:val="20"/>
                <w:color w:val="auto"/>
              </w:rPr>
            </w:pPr>
            <w:r>
              <w:rPr>
                <w:rFonts w:ascii="Arial" w:cs="Arial" w:eastAsia="Arial" w:hAnsi="Arial"/>
                <w:sz w:val="16"/>
                <w:szCs w:val="16"/>
                <w:color w:val="auto"/>
              </w:rPr>
              <w:t>August 14, 2024</w:t>
            </w:r>
          </w:p>
        </w:tc>
        <w:tc>
          <w:tcPr>
            <w:tcW w:w="14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944,645</w:t>
            </w:r>
          </w:p>
        </w:tc>
        <w:tc>
          <w:tcPr>
            <w:tcW w:w="34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868,000</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867,743</w:t>
            </w:r>
          </w:p>
        </w:tc>
        <w:tc>
          <w:tcPr>
            <w:tcW w:w="1740" w:type="dxa"/>
            <w:vAlign w:val="bottom"/>
          </w:tcPr>
          <w:p>
            <w:pPr>
              <w:jc w:val="center"/>
              <w:ind w:left="43"/>
              <w:spacing w:after="0"/>
              <w:rPr>
                <w:sz w:val="20"/>
                <w:szCs w:val="20"/>
                <w:color w:val="auto"/>
              </w:rPr>
            </w:pPr>
            <w:r>
              <w:rPr>
                <w:rFonts w:ascii="Arial" w:cs="Arial" w:eastAsia="Arial" w:hAnsi="Arial"/>
                <w:sz w:val="16"/>
                <w:szCs w:val="16"/>
                <w:color w:val="auto"/>
              </w:rPr>
              <w:t>SOFR plus 1.42%</w:t>
            </w:r>
          </w:p>
        </w:tc>
        <w:tc>
          <w:tcPr>
            <w:tcW w:w="1240" w:type="dxa"/>
            <w:vAlign w:val="bottom"/>
          </w:tcPr>
          <w:p>
            <w:pPr>
              <w:jc w:val="center"/>
              <w:ind w:left="44"/>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6"/>
        </w:trPr>
        <w:tc>
          <w:tcPr>
            <w:tcW w:w="2120" w:type="dxa"/>
            <w:vAlign w:val="bottom"/>
            <w:shd w:val="clear" w:color="auto" w:fill="EDEDEE"/>
          </w:tcPr>
          <w:p>
            <w:pPr>
              <w:ind w:left="20"/>
              <w:spacing w:after="0"/>
              <w:rPr>
                <w:sz w:val="20"/>
                <w:szCs w:val="20"/>
                <w:color w:val="auto"/>
              </w:rPr>
            </w:pPr>
            <w:r>
              <w:rPr>
                <w:rFonts w:ascii="Arial" w:cs="Arial" w:eastAsia="Arial" w:hAnsi="Arial"/>
                <w:sz w:val="16"/>
                <w:szCs w:val="16"/>
                <w:color w:val="auto"/>
              </w:rPr>
              <w:t>2024-F ABS Transaction</w:t>
            </w:r>
          </w:p>
        </w:tc>
        <w:tc>
          <w:tcPr>
            <w:tcW w:w="2000" w:type="dxa"/>
            <w:vAlign w:val="bottom"/>
            <w:shd w:val="clear" w:color="auto" w:fill="EDEDEE"/>
          </w:tcPr>
          <w:p>
            <w:pPr>
              <w:jc w:val="center"/>
              <w:spacing w:after="0"/>
              <w:rPr>
                <w:sz w:val="20"/>
                <w:szCs w:val="20"/>
                <w:color w:val="auto"/>
              </w:rPr>
            </w:pPr>
            <w:r>
              <w:rPr>
                <w:rFonts w:ascii="Arial" w:cs="Arial" w:eastAsia="Arial" w:hAnsi="Arial"/>
                <w:sz w:val="16"/>
                <w:szCs w:val="16"/>
                <w:color w:val="auto"/>
              </w:rPr>
              <w:t>November 6, 2024</w:t>
            </w:r>
          </w:p>
        </w:tc>
        <w:tc>
          <w:tcPr>
            <w:tcW w:w="140" w:type="dxa"/>
            <w:vAlign w:val="bottom"/>
            <w:tcBorders>
              <w:bottom w:val="single" w:sz="8" w:color="auto"/>
            </w:tcBorders>
            <w:shd w:val="clear" w:color="auto" w:fill="EDEDEE"/>
          </w:tcPr>
          <w:p>
            <w:pPr>
              <w:spacing w:after="0"/>
              <w:rPr>
                <w:sz w:val="18"/>
                <w:szCs w:val="18"/>
                <w:color w:val="auto"/>
              </w:rPr>
            </w:pPr>
          </w:p>
        </w:tc>
        <w:tc>
          <w:tcPr>
            <w:tcW w:w="1160" w:type="dxa"/>
            <w:vAlign w:val="bottom"/>
            <w:tcBorders>
              <w:bottom w:val="single" w:sz="8" w:color="auto"/>
            </w:tcBorders>
            <w:shd w:val="clear" w:color="auto" w:fill="EDEDEE"/>
          </w:tcPr>
          <w:p>
            <w:pPr>
              <w:jc w:val="right"/>
              <w:ind w:right="2"/>
              <w:spacing w:after="0"/>
              <w:rPr>
                <w:sz w:val="20"/>
                <w:szCs w:val="20"/>
                <w:color w:val="auto"/>
              </w:rPr>
            </w:pPr>
            <w:r>
              <w:rPr>
                <w:rFonts w:ascii="Arial" w:cs="Arial" w:eastAsia="Arial" w:hAnsi="Arial"/>
                <w:sz w:val="16"/>
                <w:szCs w:val="16"/>
                <w:color w:val="auto"/>
              </w:rPr>
              <w:t>732,445</w:t>
            </w:r>
          </w:p>
        </w:tc>
        <w:tc>
          <w:tcPr>
            <w:tcW w:w="340" w:type="dxa"/>
            <w:vAlign w:val="bottom"/>
            <w:tcBorders>
              <w:bottom w:val="single" w:sz="8" w:color="auto"/>
            </w:tcBorders>
            <w:shd w:val="clear" w:color="auto" w:fill="EDEDEE"/>
          </w:tcPr>
          <w:p>
            <w:pPr>
              <w:spacing w:after="0"/>
              <w:rPr>
                <w:sz w:val="18"/>
                <w:szCs w:val="18"/>
                <w:color w:val="auto"/>
              </w:rPr>
            </w:pPr>
          </w:p>
        </w:tc>
        <w:tc>
          <w:tcPr>
            <w:tcW w:w="960" w:type="dxa"/>
            <w:vAlign w:val="bottom"/>
            <w:tcBorders>
              <w:bottom w:val="single" w:sz="8" w:color="auto"/>
            </w:tcBorders>
            <w:shd w:val="clear" w:color="auto" w:fill="EDEDEE"/>
          </w:tcPr>
          <w:p>
            <w:pPr>
              <w:jc w:val="right"/>
              <w:ind w:right="22"/>
              <w:spacing w:after="0"/>
              <w:rPr>
                <w:sz w:val="20"/>
                <w:szCs w:val="20"/>
                <w:color w:val="auto"/>
              </w:rPr>
            </w:pPr>
            <w:r>
              <w:rPr>
                <w:rFonts w:ascii="Arial" w:cs="Arial" w:eastAsia="Arial" w:hAnsi="Arial"/>
                <w:sz w:val="16"/>
                <w:szCs w:val="16"/>
                <w:color w:val="auto"/>
              </w:rPr>
              <w:t>680,000</w:t>
            </w:r>
          </w:p>
        </w:tc>
        <w:tc>
          <w:tcPr>
            <w:tcW w:w="34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679,981</w:t>
            </w:r>
          </w:p>
        </w:tc>
        <w:tc>
          <w:tcPr>
            <w:tcW w:w="1740" w:type="dxa"/>
            <w:vAlign w:val="bottom"/>
            <w:shd w:val="clear" w:color="auto" w:fill="EDEDEE"/>
          </w:tcPr>
          <w:p>
            <w:pPr>
              <w:jc w:val="center"/>
              <w:ind w:left="43"/>
              <w:spacing w:after="0"/>
              <w:rPr>
                <w:sz w:val="20"/>
                <w:szCs w:val="20"/>
                <w:color w:val="auto"/>
              </w:rPr>
            </w:pPr>
            <w:r>
              <w:rPr>
                <w:rFonts w:ascii="Arial" w:cs="Arial" w:eastAsia="Arial" w:hAnsi="Arial"/>
                <w:sz w:val="16"/>
                <w:szCs w:val="16"/>
                <w:color w:val="auto"/>
              </w:rPr>
              <w:t>SOFR plus 1.08%</w:t>
            </w:r>
          </w:p>
        </w:tc>
        <w:tc>
          <w:tcPr>
            <w:tcW w:w="1240" w:type="dxa"/>
            <w:vAlign w:val="bottom"/>
            <w:shd w:val="clear" w:color="auto" w:fill="EDEDEE"/>
          </w:tcPr>
          <w:p>
            <w:pPr>
              <w:jc w:val="center"/>
              <w:ind w:left="44"/>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144F82"/>
              </w:rPr>
              <w:t>Total 2024</w:t>
            </w:r>
          </w:p>
        </w:tc>
        <w:tc>
          <w:tcPr>
            <w:tcW w:w="20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2,410,734</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2,216,000</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2,215,612</w:t>
            </w:r>
          </w:p>
        </w:tc>
        <w:tc>
          <w:tcPr>
            <w:tcW w:w="1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EDEDEE"/>
            </w:tcBorders>
          </w:tcPr>
          <w:p>
            <w:pPr>
              <w:spacing w:after="0" w:line="20" w:lineRule="exact"/>
              <w:rPr>
                <w:sz w:val="1"/>
                <w:szCs w:val="1"/>
                <w:color w:val="auto"/>
              </w:rPr>
            </w:pPr>
          </w:p>
        </w:tc>
        <w:tc>
          <w:tcPr>
            <w:tcW w:w="2000" w:type="dxa"/>
            <w:vAlign w:val="bottom"/>
            <w:tcBorders>
              <w:bottom w:val="single" w:sz="8" w:color="EDEDEE"/>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EDEDEE"/>
            </w:tcBorders>
          </w:tcPr>
          <w:p>
            <w:pPr>
              <w:spacing w:after="0" w:line="20" w:lineRule="exact"/>
              <w:rPr>
                <w:sz w:val="1"/>
                <w:szCs w:val="1"/>
                <w:color w:val="auto"/>
              </w:rPr>
            </w:pPr>
          </w:p>
        </w:tc>
        <w:tc>
          <w:tcPr>
            <w:tcW w:w="1240" w:type="dxa"/>
            <w:vAlign w:val="bottom"/>
            <w:tcBorders>
              <w:bottom w:val="single" w:sz="8" w:color="EDED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shd w:val="clear" w:color="auto" w:fill="EDEDEE"/>
          </w:tcPr>
          <w:p>
            <w:pPr>
              <w:spacing w:after="0"/>
              <w:rPr>
                <w:sz w:val="20"/>
                <w:szCs w:val="20"/>
                <w:color w:val="auto"/>
              </w:rPr>
            </w:pPr>
          </w:p>
        </w:tc>
        <w:tc>
          <w:tcPr>
            <w:tcW w:w="2000" w:type="dxa"/>
            <w:vAlign w:val="bottom"/>
            <w:shd w:val="clear" w:color="auto" w:fill="EDEDEE"/>
          </w:tcPr>
          <w:p>
            <w:pPr>
              <w:spacing w:after="0"/>
              <w:rPr>
                <w:sz w:val="20"/>
                <w:szCs w:val="20"/>
                <w:color w:val="auto"/>
              </w:rPr>
            </w:pPr>
          </w:p>
        </w:tc>
        <w:tc>
          <w:tcPr>
            <w:tcW w:w="140" w:type="dxa"/>
            <w:vAlign w:val="bottom"/>
            <w:tcBorders>
              <w:bottom w:val="single" w:sz="8" w:color="auto"/>
            </w:tcBorders>
            <w:shd w:val="clear" w:color="auto" w:fill="EDEDEE"/>
          </w:tcPr>
          <w:p>
            <w:pPr>
              <w:spacing w:after="0"/>
              <w:rPr>
                <w:sz w:val="20"/>
                <w:szCs w:val="20"/>
                <w:color w:val="auto"/>
              </w:rPr>
            </w:pPr>
          </w:p>
        </w:tc>
        <w:tc>
          <w:tcPr>
            <w:tcW w:w="1160" w:type="dxa"/>
            <w:vAlign w:val="bottom"/>
            <w:tcBorders>
              <w:bottom w:val="single" w:sz="8" w:color="auto"/>
            </w:tcBorders>
            <w:shd w:val="clear" w:color="auto" w:fill="EDEDEE"/>
          </w:tcPr>
          <w:p>
            <w:pPr>
              <w:spacing w:after="0"/>
              <w:rPr>
                <w:sz w:val="20"/>
                <w:szCs w:val="20"/>
                <w:color w:val="auto"/>
              </w:rPr>
            </w:pPr>
          </w:p>
        </w:tc>
        <w:tc>
          <w:tcPr>
            <w:tcW w:w="340" w:type="dxa"/>
            <w:vAlign w:val="bottom"/>
            <w:shd w:val="clear" w:color="auto" w:fill="EDEDEE"/>
          </w:tcPr>
          <w:p>
            <w:pPr>
              <w:spacing w:after="0"/>
              <w:rPr>
                <w:sz w:val="20"/>
                <w:szCs w:val="20"/>
                <w:color w:val="auto"/>
              </w:rPr>
            </w:pPr>
          </w:p>
        </w:tc>
        <w:tc>
          <w:tcPr>
            <w:tcW w:w="960" w:type="dxa"/>
            <w:vAlign w:val="bottom"/>
            <w:shd w:val="clear" w:color="auto" w:fill="EDEDEE"/>
          </w:tcPr>
          <w:p>
            <w:pPr>
              <w:spacing w:after="0"/>
              <w:rPr>
                <w:sz w:val="20"/>
                <w:szCs w:val="20"/>
                <w:color w:val="auto"/>
              </w:rPr>
            </w:pPr>
          </w:p>
        </w:tc>
        <w:tc>
          <w:tcPr>
            <w:tcW w:w="340" w:type="dxa"/>
            <w:vAlign w:val="bottom"/>
            <w:shd w:val="clear" w:color="auto" w:fill="EDEDEE"/>
          </w:tcPr>
          <w:p>
            <w:pPr>
              <w:spacing w:after="0"/>
              <w:rPr>
                <w:sz w:val="20"/>
                <w:szCs w:val="20"/>
                <w:color w:val="auto"/>
              </w:rPr>
            </w:pPr>
          </w:p>
        </w:tc>
        <w:tc>
          <w:tcPr>
            <w:tcW w:w="920" w:type="dxa"/>
            <w:vAlign w:val="bottom"/>
            <w:shd w:val="clear" w:color="auto" w:fill="EDEDEE"/>
          </w:tcPr>
          <w:p>
            <w:pPr>
              <w:spacing w:after="0"/>
              <w:rPr>
                <w:sz w:val="20"/>
                <w:szCs w:val="20"/>
                <w:color w:val="auto"/>
              </w:rPr>
            </w:pPr>
          </w:p>
        </w:tc>
        <w:tc>
          <w:tcPr>
            <w:tcW w:w="1740" w:type="dxa"/>
            <w:vAlign w:val="bottom"/>
            <w:shd w:val="clear" w:color="auto" w:fill="EDEDEE"/>
          </w:tcPr>
          <w:p>
            <w:pPr>
              <w:spacing w:after="0"/>
              <w:rPr>
                <w:sz w:val="20"/>
                <w:szCs w:val="20"/>
                <w:color w:val="auto"/>
              </w:rPr>
            </w:pPr>
          </w:p>
        </w:tc>
        <w:tc>
          <w:tcPr>
            <w:tcW w:w="1240" w:type="dxa"/>
            <w:vAlign w:val="bottom"/>
            <w:shd w:val="clear" w:color="auto" w:fill="EDEDEE"/>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1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144F82"/>
              </w:rPr>
              <w:t>Loans encumbered at March 31, 2025, related to</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ind w:right="2"/>
              <w:spacing w:after="0"/>
              <w:rPr>
                <w:sz w:val="20"/>
                <w:szCs w:val="20"/>
                <w:color w:val="auto"/>
              </w:rPr>
            </w:pPr>
            <w:r>
              <w:rPr>
                <w:rFonts w:ascii="Arial" w:cs="Arial" w:eastAsia="Arial" w:hAnsi="Arial"/>
                <w:sz w:val="16"/>
                <w:szCs w:val="16"/>
                <w:color w:val="auto"/>
              </w:rPr>
              <w:t>2,271,829</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20" w:type="dxa"/>
            <w:vAlign w:val="bottom"/>
          </w:tcPr>
          <w:p>
            <w:pPr>
              <w:ind w:left="20"/>
              <w:spacing w:after="0"/>
              <w:rPr>
                <w:sz w:val="20"/>
                <w:szCs w:val="20"/>
                <w:color w:val="auto"/>
              </w:rPr>
            </w:pPr>
            <w:r>
              <w:rPr>
                <w:rFonts w:ascii="Arial" w:cs="Arial" w:eastAsia="Arial" w:hAnsi="Arial"/>
                <w:sz w:val="16"/>
                <w:szCs w:val="16"/>
                <w:b w:val="1"/>
                <w:bCs w:val="1"/>
                <w:color w:val="144F82"/>
              </w:rPr>
              <w:t>2024 term ABS:</w:t>
            </w:r>
          </w:p>
        </w:tc>
        <w:tc>
          <w:tcPr>
            <w:tcW w:w="20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820" w:hanging="164"/>
        <w:spacing w:after="0"/>
        <w:tabs>
          <w:tab w:leader="none" w:pos="82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Represents principal and capitalized interest.</w:t>
      </w:r>
    </w:p>
    <w:p>
      <w:pPr>
        <w:spacing w:after="0" w:line="39" w:lineRule="exact"/>
        <w:rPr>
          <w:rFonts w:ascii="Arial" w:cs="Arial" w:eastAsia="Arial" w:hAnsi="Arial"/>
          <w:sz w:val="19"/>
          <w:szCs w:val="19"/>
          <w:color w:val="auto"/>
          <w:vertAlign w:val="superscript"/>
        </w:rPr>
      </w:pPr>
    </w:p>
    <w:p>
      <w:pPr>
        <w:ind w:left="820" w:hanging="164"/>
        <w:spacing w:after="0"/>
        <w:tabs>
          <w:tab w:leader="none" w:pos="820" w:val="left"/>
        </w:tabs>
        <w:numPr>
          <w:ilvl w:val="0"/>
          <w:numId w:val="37"/>
        </w:numPr>
        <w:rPr>
          <w:rFonts w:ascii="Arial" w:cs="Arial" w:eastAsia="Arial" w:hAnsi="Arial"/>
          <w:sz w:val="9"/>
          <w:szCs w:val="9"/>
          <w:color w:val="auto"/>
        </w:rPr>
      </w:pPr>
      <w:r>
        <w:rPr>
          <w:rFonts w:ascii="Arial" w:cs="Arial" w:eastAsia="Arial" w:hAnsi="Arial"/>
          <w:sz w:val="14"/>
          <w:szCs w:val="14"/>
          <w:color w:val="auto"/>
        </w:rPr>
        <w:t>Represents SOFR equivalent cost of funds for floating and fixed-rate bonds, excluding issuance costs.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Funding Vehicles</w:t>
      </w:r>
    </w:p>
    <w:p>
      <w:pPr>
        <w:spacing w:after="0" w:line="345" w:lineRule="exact"/>
        <w:rPr>
          <w:sz w:val="20"/>
          <w:szCs w:val="20"/>
          <w:color w:val="auto"/>
        </w:rPr>
      </w:pPr>
    </w:p>
    <w:p>
      <w:pPr>
        <w:ind w:right="80" w:firstLine="445"/>
        <w:spacing w:after="0" w:line="287" w:lineRule="auto"/>
        <w:rPr>
          <w:sz w:val="20"/>
          <w:szCs w:val="20"/>
          <w:color w:val="auto"/>
        </w:rPr>
      </w:pPr>
      <w:r>
        <w:rPr>
          <w:rFonts w:ascii="Arial" w:cs="Arial" w:eastAsia="Arial" w:hAnsi="Arial"/>
          <w:sz w:val="18"/>
          <w:szCs w:val="18"/>
          <w:color w:val="auto"/>
        </w:rPr>
        <w:t>We consolidate our financing entities that are VIEs as a result of our being the entities’ primary beneficiary. As a result, these financing VIEs are accounted for as secured borrowings.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144F82"/>
              </w:rPr>
              <w:t>Debt Outstanding</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720" w:type="dxa"/>
            <w:vAlign w:val="bottom"/>
            <w:tcBorders>
              <w:top w:val="single" w:sz="8" w:color="auto"/>
              <w:bottom w:val="single" w:sz="8" w:color="auto"/>
            </w:tcBorders>
            <w:gridSpan w:val="7"/>
          </w:tcPr>
          <w:p>
            <w:pPr>
              <w:jc w:val="right"/>
              <w:ind w:right="381"/>
              <w:spacing w:after="0"/>
              <w:rPr>
                <w:sz w:val="20"/>
                <w:szCs w:val="20"/>
                <w:color w:val="auto"/>
              </w:rPr>
            </w:pPr>
            <w:r>
              <w:rPr>
                <w:rFonts w:ascii="Arial" w:cs="Arial" w:eastAsia="Arial" w:hAnsi="Arial"/>
                <w:sz w:val="14"/>
                <w:szCs w:val="14"/>
                <w:b w:val="1"/>
                <w:bCs w:val="1"/>
                <w:color w:val="144F82"/>
              </w:rPr>
              <w:t>Carrying Amount of Net Assets Securing Debt Outstanding</w:t>
            </w:r>
          </w:p>
        </w:tc>
        <w:tc>
          <w:tcPr>
            <w:tcW w:w="0" w:type="dxa"/>
            <w:vAlign w:val="bottom"/>
          </w:tcPr>
          <w:p>
            <w:pPr>
              <w:spacing w:after="0"/>
              <w:rPr>
                <w:sz w:val="1"/>
                <w:szCs w:val="1"/>
                <w:color w:val="auto"/>
              </w:rPr>
            </w:pPr>
          </w:p>
        </w:tc>
      </w:tr>
      <w:tr>
        <w:trPr>
          <w:trHeight w:val="170"/>
        </w:trPr>
        <w:tc>
          <w:tcPr>
            <w:tcW w:w="2040" w:type="dxa"/>
            <w:vAlign w:val="bottom"/>
          </w:tcPr>
          <w:p>
            <w:pPr>
              <w:ind w:left="20"/>
              <w:spacing w:after="0"/>
              <w:rPr>
                <w:sz w:val="20"/>
                <w:szCs w:val="20"/>
                <w:color w:val="auto"/>
              </w:rPr>
            </w:pPr>
            <w:r>
              <w:rPr>
                <w:rFonts w:ascii="Arial" w:cs="Arial" w:eastAsia="Arial" w:hAnsi="Arial"/>
                <w:sz w:val="14"/>
                <w:szCs w:val="14"/>
                <w:b w:val="1"/>
                <w:bCs w:val="1"/>
                <w:color w:val="144F82"/>
              </w:rPr>
              <w:t>As of March 31, 2025</w:t>
            </w:r>
          </w:p>
        </w:tc>
        <w:tc>
          <w:tcPr>
            <w:tcW w:w="140" w:type="dxa"/>
            <w:vAlign w:val="bottom"/>
          </w:tcPr>
          <w:p>
            <w:pPr>
              <w:spacing w:after="0"/>
              <w:rPr>
                <w:sz w:val="14"/>
                <w:szCs w:val="14"/>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144F82"/>
              </w:rPr>
              <w:t>Short-Term</w:t>
            </w:r>
          </w:p>
        </w:tc>
        <w:tc>
          <w:tcPr>
            <w:tcW w:w="240" w:type="dxa"/>
            <w:vAlign w:val="bottom"/>
          </w:tcPr>
          <w:p>
            <w:pPr>
              <w:spacing w:after="0"/>
              <w:rPr>
                <w:sz w:val="14"/>
                <w:szCs w:val="14"/>
                <w:color w:val="auto"/>
              </w:rPr>
            </w:pPr>
          </w:p>
        </w:tc>
        <w:tc>
          <w:tcPr>
            <w:tcW w:w="108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144F82"/>
              </w:rPr>
              <w:t>Long-Term</w:t>
            </w:r>
          </w:p>
        </w:tc>
        <w:tc>
          <w:tcPr>
            <w:tcW w:w="24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144F82"/>
              </w:rPr>
              <w:t>Total</w:t>
            </w:r>
          </w:p>
        </w:tc>
        <w:tc>
          <w:tcPr>
            <w:tcW w:w="240" w:type="dxa"/>
            <w:vAlign w:val="bottom"/>
          </w:tcPr>
          <w:p>
            <w:pPr>
              <w:spacing w:after="0"/>
              <w:rPr>
                <w:sz w:val="14"/>
                <w:szCs w:val="14"/>
                <w:color w:val="auto"/>
              </w:rPr>
            </w:pPr>
          </w:p>
        </w:tc>
        <w:tc>
          <w:tcPr>
            <w:tcW w:w="940" w:type="dxa"/>
            <w:vAlign w:val="bottom"/>
            <w:vMerge w:val="restart"/>
          </w:tcPr>
          <w:p>
            <w:pPr>
              <w:jc w:val="right"/>
              <w:ind w:right="323"/>
              <w:spacing w:after="0"/>
              <w:rPr>
                <w:sz w:val="20"/>
                <w:szCs w:val="20"/>
                <w:color w:val="auto"/>
              </w:rPr>
            </w:pPr>
            <w:r>
              <w:rPr>
                <w:rFonts w:ascii="Arial" w:cs="Arial" w:eastAsia="Arial" w:hAnsi="Arial"/>
                <w:sz w:val="14"/>
                <w:szCs w:val="14"/>
                <w:b w:val="1"/>
                <w:bCs w:val="1"/>
                <w:color w:val="144F82"/>
              </w:rPr>
              <w:t>Loans</w:t>
            </w:r>
          </w:p>
        </w:tc>
        <w:tc>
          <w:tcPr>
            <w:tcW w:w="240" w:type="dxa"/>
            <w:vAlign w:val="bottom"/>
          </w:tcPr>
          <w:p>
            <w:pPr>
              <w:spacing w:after="0"/>
              <w:rPr>
                <w:sz w:val="14"/>
                <w:szCs w:val="14"/>
                <w:color w:val="auto"/>
              </w:rPr>
            </w:pPr>
          </w:p>
        </w:tc>
        <w:tc>
          <w:tcPr>
            <w:tcW w:w="980" w:type="dxa"/>
            <w:vAlign w:val="bottom"/>
          </w:tcPr>
          <w:p>
            <w:pPr>
              <w:jc w:val="center"/>
              <w:ind w:right="123"/>
              <w:spacing w:after="0"/>
              <w:rPr>
                <w:sz w:val="20"/>
                <w:szCs w:val="20"/>
                <w:color w:val="auto"/>
              </w:rPr>
            </w:pPr>
            <w:r>
              <w:rPr>
                <w:rFonts w:ascii="Arial" w:cs="Arial" w:eastAsia="Arial" w:hAnsi="Arial"/>
                <w:sz w:val="14"/>
                <w:szCs w:val="14"/>
                <w:b w:val="1"/>
                <w:bCs w:val="1"/>
                <w:color w:val="144F82"/>
              </w:rPr>
              <w:t>Restricted</w:t>
            </w:r>
          </w:p>
        </w:tc>
        <w:tc>
          <w:tcPr>
            <w:tcW w:w="200" w:type="dxa"/>
            <w:vAlign w:val="bottom"/>
          </w:tcPr>
          <w:p>
            <w:pPr>
              <w:spacing w:after="0"/>
              <w:rPr>
                <w:sz w:val="14"/>
                <w:szCs w:val="14"/>
                <w:color w:val="auto"/>
              </w:rPr>
            </w:pPr>
          </w:p>
        </w:tc>
        <w:tc>
          <w:tcPr>
            <w:tcW w:w="1140" w:type="dxa"/>
            <w:vAlign w:val="bottom"/>
          </w:tcPr>
          <w:p>
            <w:pPr>
              <w:jc w:val="center"/>
              <w:ind w:right="83"/>
              <w:spacing w:after="0"/>
              <w:rPr>
                <w:sz w:val="20"/>
                <w:szCs w:val="20"/>
                <w:color w:val="auto"/>
              </w:rPr>
            </w:pPr>
            <w:r>
              <w:rPr>
                <w:rFonts w:ascii="Arial" w:cs="Arial" w:eastAsia="Arial" w:hAnsi="Arial"/>
                <w:sz w:val="14"/>
                <w:szCs w:val="14"/>
                <w:b w:val="1"/>
                <w:bCs w:val="1"/>
                <w:color w:val="144F82"/>
              </w:rPr>
              <w:t>Other Assets,</w:t>
            </w:r>
          </w:p>
        </w:tc>
        <w:tc>
          <w:tcPr>
            <w:tcW w:w="300" w:type="dxa"/>
            <w:vAlign w:val="bottom"/>
          </w:tcPr>
          <w:p>
            <w:pPr>
              <w:spacing w:after="0"/>
              <w:rPr>
                <w:sz w:val="14"/>
                <w:szCs w:val="14"/>
                <w:color w:val="auto"/>
              </w:rPr>
            </w:pPr>
          </w:p>
        </w:tc>
        <w:tc>
          <w:tcPr>
            <w:tcW w:w="92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144F82"/>
              </w:rPr>
              <w:t>Total</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144F82"/>
              </w:rPr>
              <w:t>Cash</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3"/>
              <w:spacing w:after="0" w:line="189" w:lineRule="exact"/>
              <w:rPr>
                <w:sz w:val="20"/>
                <w:szCs w:val="20"/>
                <w:color w:val="auto"/>
              </w:rPr>
            </w:pPr>
            <w:r>
              <w:rPr>
                <w:rFonts w:ascii="Arial" w:cs="Arial" w:eastAsia="Arial" w:hAnsi="Arial"/>
                <w:sz w:val="14"/>
                <w:szCs w:val="14"/>
                <w:b w:val="1"/>
                <w:bCs w:val="1"/>
                <w:color w:val="144F82"/>
                <w:w w:val="91"/>
              </w:rPr>
              <w:t>Net</w:t>
            </w:r>
            <w:r>
              <w:rPr>
                <w:rFonts w:ascii="Arial" w:cs="Arial" w:eastAsia="Arial" w:hAnsi="Arial"/>
                <w:sz w:val="18"/>
                <w:szCs w:val="18"/>
                <w:b w:val="1"/>
                <w:bCs w:val="1"/>
                <w:color w:val="144F82"/>
                <w:w w:val="91"/>
                <w:vertAlign w:val="superscript"/>
              </w:rPr>
              <w:t>(1)</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rPr>
                <w:sz w:val="20"/>
                <w:szCs w:val="20"/>
                <w:color w:val="auto"/>
              </w:rPr>
            </w:pPr>
            <w:r>
              <w:rPr>
                <w:rFonts w:ascii="Arial" w:cs="Arial" w:eastAsia="Arial" w:hAnsi="Arial"/>
                <w:sz w:val="16"/>
                <w:szCs w:val="16"/>
                <w:color w:val="auto"/>
              </w:rPr>
              <w:t>Secured borrowings: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4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Private Education Loan</w:t>
            </w:r>
          </w:p>
        </w:tc>
        <w:tc>
          <w:tcPr>
            <w:tcW w:w="1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DEDEE"/>
          </w:tcPr>
          <w:p>
            <w:pPr>
              <w:ind w:left="72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EDEDEE"/>
          </w:tcPr>
          <w:p>
            <w:pPr>
              <w:jc w:val="right"/>
              <w:ind w:right="101"/>
              <w:spacing w:after="0"/>
              <w:rPr>
                <w:sz w:val="20"/>
                <w:szCs w:val="20"/>
                <w:color w:val="auto"/>
              </w:rPr>
            </w:pPr>
            <w:r>
              <w:rPr>
                <w:rFonts w:ascii="Arial" w:cs="Arial" w:eastAsia="Arial" w:hAnsi="Arial"/>
                <w:sz w:val="16"/>
                <w:szCs w:val="16"/>
                <w:color w:val="auto"/>
              </w:rPr>
              <w:t>5,157,945</w:t>
            </w:r>
          </w:p>
        </w:tc>
        <w:tc>
          <w:tcPr>
            <w:tcW w:w="240" w:type="dxa"/>
            <w:vAlign w:val="bottom"/>
            <w:vMerge w:val="restart"/>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5,157,945</w:t>
            </w:r>
          </w:p>
        </w:tc>
        <w:tc>
          <w:tcPr>
            <w:tcW w:w="140" w:type="dxa"/>
            <w:vAlign w:val="bottom"/>
            <w:shd w:val="clear" w:color="auto" w:fill="EDEDEE"/>
          </w:tcPr>
          <w:p>
            <w:pPr>
              <w:spacing w:after="0"/>
              <w:rPr>
                <w:sz w:val="14"/>
                <w:szCs w:val="14"/>
                <w:color w:val="auto"/>
              </w:rPr>
            </w:pPr>
          </w:p>
        </w:tc>
        <w:tc>
          <w:tcPr>
            <w:tcW w:w="240" w:type="dxa"/>
            <w:vAlign w:val="bottom"/>
            <w:vMerge w:val="restart"/>
            <w:shd w:val="clear" w:color="auto" w:fill="EDEDEE"/>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EDEDEE"/>
          </w:tcPr>
          <w:p>
            <w:pPr>
              <w:jc w:val="right"/>
              <w:ind w:right="23"/>
              <w:spacing w:after="0"/>
              <w:rPr>
                <w:sz w:val="20"/>
                <w:szCs w:val="20"/>
                <w:color w:val="auto"/>
              </w:rPr>
            </w:pPr>
            <w:r>
              <w:rPr>
                <w:rFonts w:ascii="Arial" w:cs="Arial" w:eastAsia="Arial" w:hAnsi="Arial"/>
                <w:sz w:val="16"/>
                <w:szCs w:val="16"/>
                <w:color w:val="auto"/>
              </w:rPr>
              <w:t>6,492,587</w:t>
            </w:r>
          </w:p>
        </w:tc>
        <w:tc>
          <w:tcPr>
            <w:tcW w:w="2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DEDEE"/>
          </w:tcPr>
          <w:p>
            <w:pPr>
              <w:jc w:val="right"/>
              <w:ind w:right="23"/>
              <w:spacing w:after="0"/>
              <w:rPr>
                <w:sz w:val="20"/>
                <w:szCs w:val="20"/>
                <w:color w:val="auto"/>
              </w:rPr>
            </w:pPr>
            <w:r>
              <w:rPr>
                <w:rFonts w:ascii="Arial" w:cs="Arial" w:eastAsia="Arial" w:hAnsi="Arial"/>
                <w:sz w:val="16"/>
                <w:szCs w:val="16"/>
                <w:color w:val="auto"/>
              </w:rPr>
              <w:t>173,483</w:t>
            </w:r>
          </w:p>
        </w:tc>
        <w:tc>
          <w:tcPr>
            <w:tcW w:w="2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EDEDEE"/>
          </w:tcPr>
          <w:p>
            <w:pPr>
              <w:jc w:val="right"/>
              <w:ind w:right="43"/>
              <w:spacing w:after="0"/>
              <w:rPr>
                <w:sz w:val="20"/>
                <w:szCs w:val="20"/>
                <w:color w:val="auto"/>
              </w:rPr>
            </w:pPr>
            <w:r>
              <w:rPr>
                <w:rFonts w:ascii="Arial" w:cs="Arial" w:eastAsia="Arial" w:hAnsi="Arial"/>
                <w:sz w:val="16"/>
                <w:szCs w:val="16"/>
                <w:color w:val="auto"/>
              </w:rPr>
              <w:t>413,202</w:t>
            </w:r>
          </w:p>
        </w:tc>
        <w:tc>
          <w:tcPr>
            <w:tcW w:w="300" w:type="dxa"/>
            <w:vAlign w:val="bottom"/>
            <w:vMerge w:val="restart"/>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7,079,272</w:t>
            </w:r>
          </w:p>
        </w:tc>
        <w:tc>
          <w:tcPr>
            <w:tcW w:w="0" w:type="dxa"/>
            <w:vAlign w:val="bottom"/>
          </w:tcPr>
          <w:p>
            <w:pPr>
              <w:spacing w:after="0"/>
              <w:rPr>
                <w:sz w:val="1"/>
                <w:szCs w:val="1"/>
                <w:color w:val="auto"/>
              </w:rPr>
            </w:pPr>
          </w:p>
        </w:tc>
      </w:tr>
      <w:tr>
        <w:trPr>
          <w:trHeight w:val="216"/>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term securitizations</w:t>
            </w:r>
          </w:p>
        </w:tc>
        <w:tc>
          <w:tcPr>
            <w:tcW w:w="140" w:type="dxa"/>
            <w:vAlign w:val="bottom"/>
            <w:vMerge w:val="continue"/>
            <w:shd w:val="clear" w:color="auto" w:fill="EDEDEE"/>
          </w:tcPr>
          <w:p>
            <w:pPr>
              <w:spacing w:after="0"/>
              <w:rPr>
                <w:sz w:val="18"/>
                <w:szCs w:val="18"/>
                <w:color w:val="auto"/>
              </w:rPr>
            </w:pPr>
          </w:p>
        </w:tc>
        <w:tc>
          <w:tcPr>
            <w:tcW w:w="980" w:type="dxa"/>
            <w:vAlign w:val="bottom"/>
            <w:vMerge w:val="continue"/>
            <w:shd w:val="clear" w:color="auto" w:fill="EDEDEE"/>
          </w:tcPr>
          <w:p>
            <w:pPr>
              <w:spacing w:after="0"/>
              <w:rPr>
                <w:sz w:val="18"/>
                <w:szCs w:val="18"/>
                <w:color w:val="auto"/>
              </w:rPr>
            </w:pPr>
          </w:p>
        </w:tc>
        <w:tc>
          <w:tcPr>
            <w:tcW w:w="240" w:type="dxa"/>
            <w:vAlign w:val="bottom"/>
            <w:vMerge w:val="continue"/>
            <w:shd w:val="clear" w:color="auto" w:fill="EDEDEE"/>
          </w:tcPr>
          <w:p>
            <w:pPr>
              <w:spacing w:after="0"/>
              <w:rPr>
                <w:sz w:val="18"/>
                <w:szCs w:val="18"/>
                <w:color w:val="auto"/>
              </w:rPr>
            </w:pPr>
          </w:p>
        </w:tc>
        <w:tc>
          <w:tcPr>
            <w:tcW w:w="1080" w:type="dxa"/>
            <w:vAlign w:val="bottom"/>
            <w:vMerge w:val="continue"/>
            <w:shd w:val="clear" w:color="auto" w:fill="EDEDEE"/>
          </w:tcPr>
          <w:p>
            <w:pPr>
              <w:spacing w:after="0"/>
              <w:rPr>
                <w:sz w:val="18"/>
                <w:szCs w:val="18"/>
                <w:color w:val="auto"/>
              </w:rPr>
            </w:pPr>
          </w:p>
        </w:tc>
        <w:tc>
          <w:tcPr>
            <w:tcW w:w="240" w:type="dxa"/>
            <w:vAlign w:val="bottom"/>
            <w:vMerge w:val="continue"/>
            <w:shd w:val="clear" w:color="auto" w:fill="EDEDEE"/>
          </w:tcPr>
          <w:p>
            <w:pPr>
              <w:spacing w:after="0"/>
              <w:rPr>
                <w:sz w:val="18"/>
                <w:szCs w:val="18"/>
                <w:color w:val="auto"/>
              </w:rPr>
            </w:pPr>
          </w:p>
        </w:tc>
        <w:tc>
          <w:tcPr>
            <w:tcW w:w="900" w:type="dxa"/>
            <w:vAlign w:val="bottom"/>
            <w:vMerge w:val="continue"/>
            <w:shd w:val="clear" w:color="auto" w:fill="EDEDEE"/>
          </w:tcPr>
          <w:p>
            <w:pPr>
              <w:spacing w:after="0"/>
              <w:rPr>
                <w:sz w:val="18"/>
                <w:szCs w:val="18"/>
                <w:color w:val="auto"/>
              </w:rPr>
            </w:pPr>
          </w:p>
        </w:tc>
        <w:tc>
          <w:tcPr>
            <w:tcW w:w="140" w:type="dxa"/>
            <w:vAlign w:val="bottom"/>
            <w:shd w:val="clear" w:color="auto" w:fill="EDEDEE"/>
          </w:tcPr>
          <w:p>
            <w:pPr>
              <w:spacing w:after="0"/>
              <w:rPr>
                <w:sz w:val="18"/>
                <w:szCs w:val="18"/>
                <w:color w:val="auto"/>
              </w:rPr>
            </w:pPr>
          </w:p>
        </w:tc>
        <w:tc>
          <w:tcPr>
            <w:tcW w:w="240" w:type="dxa"/>
            <w:vAlign w:val="bottom"/>
            <w:vMerge w:val="continue"/>
            <w:shd w:val="clear" w:color="auto" w:fill="EDEDEE"/>
          </w:tcPr>
          <w:p>
            <w:pPr>
              <w:spacing w:after="0"/>
              <w:rPr>
                <w:sz w:val="18"/>
                <w:szCs w:val="18"/>
                <w:color w:val="auto"/>
              </w:rPr>
            </w:pPr>
          </w:p>
        </w:tc>
        <w:tc>
          <w:tcPr>
            <w:tcW w:w="940" w:type="dxa"/>
            <w:vAlign w:val="bottom"/>
            <w:vMerge w:val="continue"/>
            <w:shd w:val="clear" w:color="auto" w:fill="EDEDEE"/>
          </w:tcPr>
          <w:p>
            <w:pPr>
              <w:spacing w:after="0"/>
              <w:rPr>
                <w:sz w:val="18"/>
                <w:szCs w:val="18"/>
                <w:color w:val="auto"/>
              </w:rPr>
            </w:pPr>
          </w:p>
        </w:tc>
        <w:tc>
          <w:tcPr>
            <w:tcW w:w="240" w:type="dxa"/>
            <w:vAlign w:val="bottom"/>
            <w:vMerge w:val="continue"/>
            <w:shd w:val="clear" w:color="auto" w:fill="EDEDEE"/>
          </w:tcPr>
          <w:p>
            <w:pPr>
              <w:spacing w:after="0"/>
              <w:rPr>
                <w:sz w:val="18"/>
                <w:szCs w:val="18"/>
                <w:color w:val="auto"/>
              </w:rPr>
            </w:pPr>
          </w:p>
        </w:tc>
        <w:tc>
          <w:tcPr>
            <w:tcW w:w="980" w:type="dxa"/>
            <w:vAlign w:val="bottom"/>
            <w:vMerge w:val="continue"/>
            <w:shd w:val="clear" w:color="auto" w:fill="EDEDEE"/>
          </w:tcPr>
          <w:p>
            <w:pPr>
              <w:spacing w:after="0"/>
              <w:rPr>
                <w:sz w:val="18"/>
                <w:szCs w:val="18"/>
                <w:color w:val="auto"/>
              </w:rPr>
            </w:pPr>
          </w:p>
        </w:tc>
        <w:tc>
          <w:tcPr>
            <w:tcW w:w="200" w:type="dxa"/>
            <w:vAlign w:val="bottom"/>
            <w:vMerge w:val="continue"/>
            <w:shd w:val="clear" w:color="auto" w:fill="EDEDEE"/>
          </w:tcPr>
          <w:p>
            <w:pPr>
              <w:spacing w:after="0"/>
              <w:rPr>
                <w:sz w:val="18"/>
                <w:szCs w:val="18"/>
                <w:color w:val="auto"/>
              </w:rPr>
            </w:pPr>
          </w:p>
        </w:tc>
        <w:tc>
          <w:tcPr>
            <w:tcW w:w="1140" w:type="dxa"/>
            <w:vAlign w:val="bottom"/>
            <w:vMerge w:val="continue"/>
            <w:shd w:val="clear" w:color="auto" w:fill="EDEDEE"/>
          </w:tcPr>
          <w:p>
            <w:pPr>
              <w:spacing w:after="0"/>
              <w:rPr>
                <w:sz w:val="18"/>
                <w:szCs w:val="18"/>
                <w:color w:val="auto"/>
              </w:rPr>
            </w:pPr>
          </w:p>
        </w:tc>
        <w:tc>
          <w:tcPr>
            <w:tcW w:w="300" w:type="dxa"/>
            <w:vAlign w:val="bottom"/>
            <w:vMerge w:val="continue"/>
            <w:shd w:val="clear" w:color="auto" w:fill="EDEDEE"/>
          </w:tcPr>
          <w:p>
            <w:pPr>
              <w:spacing w:after="0"/>
              <w:rPr>
                <w:sz w:val="18"/>
                <w:szCs w:val="18"/>
                <w:color w:val="auto"/>
              </w:rPr>
            </w:pPr>
          </w:p>
        </w:tc>
        <w:tc>
          <w:tcPr>
            <w:tcW w:w="92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Secured Borrowing</w:t>
            </w:r>
          </w:p>
        </w:tc>
        <w:tc>
          <w:tcPr>
            <w:tcW w:w="140" w:type="dxa"/>
            <w:vAlign w:val="bottom"/>
          </w:tcPr>
          <w:p>
            <w:pPr>
              <w:spacing w:after="0"/>
              <w:rPr>
                <w:sz w:val="14"/>
                <w:szCs w:val="14"/>
                <w:color w:val="auto"/>
              </w:rPr>
            </w:pPr>
          </w:p>
        </w:tc>
        <w:tc>
          <w:tcPr>
            <w:tcW w:w="98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8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(486)</w:t>
            </w: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5"/>
        </w:trPr>
        <w:tc>
          <w:tcPr>
            <w:tcW w:w="204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Facility</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4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w:t>
            </w:r>
          </w:p>
        </w:tc>
        <w:tc>
          <w:tcPr>
            <w:tcW w:w="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DEDEE"/>
          </w:tcPr>
          <w:p>
            <w:pPr>
              <w:ind w:left="7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DEDEE"/>
          </w:tcPr>
          <w:p>
            <w:pPr>
              <w:jc w:val="right"/>
              <w:ind w:right="101"/>
              <w:spacing w:after="0"/>
              <w:rPr>
                <w:sz w:val="20"/>
                <w:szCs w:val="20"/>
                <w:color w:val="auto"/>
              </w:rPr>
            </w:pPr>
            <w:r>
              <w:rPr>
                <w:rFonts w:ascii="Arial" w:cs="Arial" w:eastAsia="Arial" w:hAnsi="Arial"/>
                <w:sz w:val="16"/>
                <w:szCs w:val="16"/>
                <w:color w:val="auto"/>
              </w:rPr>
              <w:t>5,157,945</w:t>
            </w:r>
          </w:p>
        </w:tc>
        <w:tc>
          <w:tcPr>
            <w:tcW w:w="24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5,157,945</w:t>
            </w:r>
          </w:p>
        </w:tc>
        <w:tc>
          <w:tcPr>
            <w:tcW w:w="140" w:type="dxa"/>
            <w:vAlign w:val="bottom"/>
            <w:tcBorders>
              <w:bottom w:val="single" w:sz="8" w:color="auto"/>
            </w:tcBorders>
            <w:shd w:val="clear" w:color="auto" w:fill="EDEDEE"/>
          </w:tcPr>
          <w:p>
            <w:pPr>
              <w:spacing w:after="0"/>
              <w:rPr>
                <w:sz w:val="20"/>
                <w:szCs w:val="20"/>
                <w:color w:val="auto"/>
              </w:rPr>
            </w:pPr>
          </w:p>
        </w:tc>
        <w:tc>
          <w:tcPr>
            <w:tcW w:w="24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EDEDEE"/>
          </w:tcPr>
          <w:p>
            <w:pPr>
              <w:jc w:val="right"/>
              <w:ind w:right="23"/>
              <w:spacing w:after="0"/>
              <w:rPr>
                <w:sz w:val="20"/>
                <w:szCs w:val="20"/>
                <w:color w:val="auto"/>
              </w:rPr>
            </w:pPr>
            <w:r>
              <w:rPr>
                <w:rFonts w:ascii="Arial" w:cs="Arial" w:eastAsia="Arial" w:hAnsi="Arial"/>
                <w:sz w:val="16"/>
                <w:szCs w:val="16"/>
                <w:color w:val="auto"/>
              </w:rPr>
              <w:t>6,492,587</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DEDEE"/>
          </w:tcPr>
          <w:p>
            <w:pPr>
              <w:jc w:val="right"/>
              <w:ind w:right="23"/>
              <w:spacing w:after="0"/>
              <w:rPr>
                <w:sz w:val="20"/>
                <w:szCs w:val="20"/>
                <w:color w:val="auto"/>
              </w:rPr>
            </w:pPr>
            <w:r>
              <w:rPr>
                <w:rFonts w:ascii="Arial" w:cs="Arial" w:eastAsia="Arial" w:hAnsi="Arial"/>
                <w:sz w:val="16"/>
                <w:szCs w:val="16"/>
                <w:color w:val="auto"/>
              </w:rPr>
              <w:t>173,483</w:t>
            </w:r>
          </w:p>
        </w:tc>
        <w:tc>
          <w:tcPr>
            <w:tcW w:w="2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DEDEE"/>
          </w:tcPr>
          <w:p>
            <w:pPr>
              <w:jc w:val="right"/>
              <w:ind w:right="43"/>
              <w:spacing w:after="0"/>
              <w:rPr>
                <w:sz w:val="20"/>
                <w:szCs w:val="20"/>
                <w:color w:val="auto"/>
              </w:rPr>
            </w:pPr>
            <w:r>
              <w:rPr>
                <w:rFonts w:ascii="Arial" w:cs="Arial" w:eastAsia="Arial" w:hAnsi="Arial"/>
                <w:sz w:val="16"/>
                <w:szCs w:val="16"/>
                <w:color w:val="auto"/>
              </w:rPr>
              <w:t>412,716</w:t>
            </w:r>
          </w:p>
        </w:tc>
        <w:tc>
          <w:tcPr>
            <w:tcW w:w="3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7,078,786</w:t>
            </w:r>
          </w:p>
        </w:tc>
        <w:tc>
          <w:tcPr>
            <w:tcW w:w="0" w:type="dxa"/>
            <w:vAlign w:val="bottom"/>
          </w:tcPr>
          <w:p>
            <w:pPr>
              <w:spacing w:after="0"/>
              <w:rPr>
                <w:sz w:val="1"/>
                <w:szCs w:val="1"/>
                <w:color w:val="auto"/>
              </w:rPr>
            </w:pPr>
          </w:p>
        </w:tc>
      </w:tr>
      <w:tr>
        <w:trPr>
          <w:trHeight w:val="20"/>
        </w:trPr>
        <w:tc>
          <w:tcPr>
            <w:tcW w:w="2040" w:type="dxa"/>
            <w:vAlign w:val="bottom"/>
            <w:tcBorders>
              <w:top w:val="single" w:sz="8" w:color="EDEDEE"/>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980" w:type="dxa"/>
            <w:vAlign w:val="bottom"/>
            <w:tcBorders>
              <w:top w:val="single" w:sz="8" w:color="EDEDEE"/>
              <w:bottom w:val="single" w:sz="8" w:color="auto"/>
            </w:tcBorders>
          </w:tcPr>
          <w:p>
            <w:pPr>
              <w:spacing w:after="0" w:line="20" w:lineRule="exact"/>
              <w:rPr>
                <w:sz w:val="1"/>
                <w:szCs w:val="1"/>
                <w:color w:val="auto"/>
              </w:rPr>
            </w:pPr>
          </w:p>
        </w:tc>
        <w:tc>
          <w:tcPr>
            <w:tcW w:w="1320" w:type="dxa"/>
            <w:vAlign w:val="bottom"/>
            <w:tcBorders>
              <w:top w:val="single" w:sz="8" w:color="EDEDEE"/>
              <w:bottom w:val="single" w:sz="8" w:color="auto"/>
            </w:tcBorders>
            <w:gridSpan w:val="2"/>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4720" w:type="dxa"/>
            <w:vAlign w:val="bottom"/>
            <w:tcBorders>
              <w:top w:val="single" w:sz="8" w:color="EDEDEE"/>
              <w:bottom w:val="single" w:sz="8" w:color="auto"/>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7"/>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144F82"/>
              </w:rPr>
              <w:t>Debt Outstanding</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7"/>
          </w:tcPr>
          <w:p>
            <w:pPr>
              <w:jc w:val="right"/>
              <w:ind w:right="381"/>
              <w:spacing w:after="0"/>
              <w:rPr>
                <w:sz w:val="20"/>
                <w:szCs w:val="20"/>
                <w:color w:val="auto"/>
              </w:rPr>
            </w:pPr>
            <w:r>
              <w:rPr>
                <w:rFonts w:ascii="Arial" w:cs="Arial" w:eastAsia="Arial" w:hAnsi="Arial"/>
                <w:sz w:val="14"/>
                <w:szCs w:val="14"/>
                <w:b w:val="1"/>
                <w:bCs w:val="1"/>
                <w:color w:val="144F82"/>
              </w:rPr>
              <w:t>Carrying Amount of Net Assets Securing Debt Outstanding</w:t>
            </w:r>
          </w:p>
        </w:tc>
        <w:tc>
          <w:tcPr>
            <w:tcW w:w="0" w:type="dxa"/>
            <w:vAlign w:val="bottom"/>
          </w:tcPr>
          <w:p>
            <w:pPr>
              <w:spacing w:after="0"/>
              <w:rPr>
                <w:sz w:val="1"/>
                <w:szCs w:val="1"/>
                <w:color w:val="auto"/>
              </w:rPr>
            </w:pPr>
          </w:p>
        </w:tc>
      </w:tr>
      <w:tr>
        <w:trPr>
          <w:trHeight w:val="157"/>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144F82"/>
              </w:rPr>
              <w:t>As of December 31, 2024</w:t>
            </w:r>
          </w:p>
        </w:tc>
        <w:tc>
          <w:tcPr>
            <w:tcW w:w="14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144F82"/>
              </w:rPr>
              <w:t>Short-Term</w:t>
            </w:r>
          </w:p>
        </w:tc>
        <w:tc>
          <w:tcPr>
            <w:tcW w:w="240" w:type="dxa"/>
            <w:vAlign w:val="bottom"/>
          </w:tcPr>
          <w:p>
            <w:pPr>
              <w:spacing w:after="0"/>
              <w:rPr>
                <w:sz w:val="13"/>
                <w:szCs w:val="13"/>
                <w:color w:val="auto"/>
              </w:rPr>
            </w:pPr>
          </w:p>
        </w:tc>
        <w:tc>
          <w:tcPr>
            <w:tcW w:w="108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144F82"/>
              </w:rPr>
              <w:t>Long-Term</w:t>
            </w:r>
          </w:p>
        </w:tc>
        <w:tc>
          <w:tcPr>
            <w:tcW w:w="240" w:type="dxa"/>
            <w:vAlign w:val="bottom"/>
          </w:tcPr>
          <w:p>
            <w:pPr>
              <w:spacing w:after="0"/>
              <w:rPr>
                <w:sz w:val="13"/>
                <w:szCs w:val="13"/>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144F82"/>
              </w:rPr>
              <w:t>Total</w:t>
            </w:r>
          </w:p>
        </w:tc>
        <w:tc>
          <w:tcPr>
            <w:tcW w:w="240" w:type="dxa"/>
            <w:vAlign w:val="bottom"/>
          </w:tcPr>
          <w:p>
            <w:pPr>
              <w:spacing w:after="0"/>
              <w:rPr>
                <w:sz w:val="13"/>
                <w:szCs w:val="13"/>
                <w:color w:val="auto"/>
              </w:rPr>
            </w:pPr>
          </w:p>
        </w:tc>
        <w:tc>
          <w:tcPr>
            <w:tcW w:w="940" w:type="dxa"/>
            <w:vAlign w:val="bottom"/>
            <w:vMerge w:val="restart"/>
          </w:tcPr>
          <w:p>
            <w:pPr>
              <w:jc w:val="right"/>
              <w:ind w:right="323"/>
              <w:spacing w:after="0"/>
              <w:rPr>
                <w:sz w:val="20"/>
                <w:szCs w:val="20"/>
                <w:color w:val="auto"/>
              </w:rPr>
            </w:pPr>
            <w:r>
              <w:rPr>
                <w:rFonts w:ascii="Arial" w:cs="Arial" w:eastAsia="Arial" w:hAnsi="Arial"/>
                <w:sz w:val="14"/>
                <w:szCs w:val="14"/>
                <w:b w:val="1"/>
                <w:bCs w:val="1"/>
                <w:color w:val="144F82"/>
              </w:rPr>
              <w:t>Loans</w:t>
            </w:r>
          </w:p>
        </w:tc>
        <w:tc>
          <w:tcPr>
            <w:tcW w:w="240" w:type="dxa"/>
            <w:vAlign w:val="bottom"/>
          </w:tcPr>
          <w:p>
            <w:pPr>
              <w:spacing w:after="0"/>
              <w:rPr>
                <w:sz w:val="13"/>
                <w:szCs w:val="13"/>
                <w:color w:val="auto"/>
              </w:rPr>
            </w:pPr>
          </w:p>
        </w:tc>
        <w:tc>
          <w:tcPr>
            <w:tcW w:w="980" w:type="dxa"/>
            <w:vAlign w:val="bottom"/>
          </w:tcPr>
          <w:p>
            <w:pPr>
              <w:jc w:val="center"/>
              <w:ind w:right="123"/>
              <w:spacing w:after="0" w:line="157" w:lineRule="exact"/>
              <w:rPr>
                <w:sz w:val="20"/>
                <w:szCs w:val="20"/>
                <w:color w:val="auto"/>
              </w:rPr>
            </w:pPr>
            <w:r>
              <w:rPr>
                <w:rFonts w:ascii="Arial" w:cs="Arial" w:eastAsia="Arial" w:hAnsi="Arial"/>
                <w:sz w:val="14"/>
                <w:szCs w:val="14"/>
                <w:b w:val="1"/>
                <w:bCs w:val="1"/>
                <w:color w:val="144F82"/>
              </w:rPr>
              <w:t>Restricted</w:t>
            </w:r>
          </w:p>
        </w:tc>
        <w:tc>
          <w:tcPr>
            <w:tcW w:w="200" w:type="dxa"/>
            <w:vAlign w:val="bottom"/>
          </w:tcPr>
          <w:p>
            <w:pPr>
              <w:spacing w:after="0"/>
              <w:rPr>
                <w:sz w:val="13"/>
                <w:szCs w:val="13"/>
                <w:color w:val="auto"/>
              </w:rPr>
            </w:pPr>
          </w:p>
        </w:tc>
        <w:tc>
          <w:tcPr>
            <w:tcW w:w="1140" w:type="dxa"/>
            <w:vAlign w:val="bottom"/>
          </w:tcPr>
          <w:p>
            <w:pPr>
              <w:jc w:val="center"/>
              <w:ind w:right="83"/>
              <w:spacing w:after="0" w:line="157" w:lineRule="exact"/>
              <w:rPr>
                <w:sz w:val="20"/>
                <w:szCs w:val="20"/>
                <w:color w:val="auto"/>
              </w:rPr>
            </w:pPr>
            <w:r>
              <w:rPr>
                <w:rFonts w:ascii="Arial" w:cs="Arial" w:eastAsia="Arial" w:hAnsi="Arial"/>
                <w:sz w:val="14"/>
                <w:szCs w:val="14"/>
                <w:b w:val="1"/>
                <w:bCs w:val="1"/>
                <w:color w:val="144F82"/>
              </w:rPr>
              <w:t>Other Assets,</w:t>
            </w:r>
          </w:p>
        </w:tc>
        <w:tc>
          <w:tcPr>
            <w:tcW w:w="300" w:type="dxa"/>
            <w:vAlign w:val="bottom"/>
          </w:tcPr>
          <w:p>
            <w:pPr>
              <w:spacing w:after="0"/>
              <w:rPr>
                <w:sz w:val="13"/>
                <w:szCs w:val="13"/>
                <w:color w:val="auto"/>
              </w:rPr>
            </w:pPr>
          </w:p>
        </w:tc>
        <w:tc>
          <w:tcPr>
            <w:tcW w:w="92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144F82"/>
              </w:rPr>
              <w:t>Total</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144F82"/>
              </w:rPr>
              <w:t>Cash</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3"/>
              <w:spacing w:after="0" w:line="189" w:lineRule="exact"/>
              <w:rPr>
                <w:sz w:val="20"/>
                <w:szCs w:val="20"/>
                <w:color w:val="auto"/>
              </w:rPr>
            </w:pPr>
            <w:r>
              <w:rPr>
                <w:rFonts w:ascii="Arial" w:cs="Arial" w:eastAsia="Arial" w:hAnsi="Arial"/>
                <w:sz w:val="14"/>
                <w:szCs w:val="14"/>
                <w:b w:val="1"/>
                <w:bCs w:val="1"/>
                <w:color w:val="144F82"/>
                <w:w w:val="91"/>
              </w:rPr>
              <w:t>Net</w:t>
            </w:r>
            <w:r>
              <w:rPr>
                <w:rFonts w:ascii="Arial" w:cs="Arial" w:eastAsia="Arial" w:hAnsi="Arial"/>
                <w:sz w:val="18"/>
                <w:szCs w:val="18"/>
                <w:b w:val="1"/>
                <w:bCs w:val="1"/>
                <w:color w:val="144F82"/>
                <w:w w:val="91"/>
                <w:vertAlign w:val="superscript"/>
              </w:rPr>
              <w:t>(1)</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rPr>
                <w:sz w:val="20"/>
                <w:szCs w:val="20"/>
                <w:color w:val="auto"/>
              </w:rPr>
            </w:pPr>
            <w:r>
              <w:rPr>
                <w:rFonts w:ascii="Arial" w:cs="Arial" w:eastAsia="Arial" w:hAnsi="Arial"/>
                <w:sz w:val="16"/>
                <w:szCs w:val="16"/>
                <w:color w:val="auto"/>
              </w:rPr>
              <w:t>Secured borrowings: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4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Private Education Loan</w:t>
            </w:r>
          </w:p>
        </w:tc>
        <w:tc>
          <w:tcPr>
            <w:tcW w:w="1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DEDEE"/>
          </w:tcPr>
          <w:p>
            <w:pPr>
              <w:ind w:left="72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EDEDEE"/>
          </w:tcPr>
          <w:p>
            <w:pPr>
              <w:jc w:val="right"/>
              <w:ind w:right="101"/>
              <w:spacing w:after="0"/>
              <w:rPr>
                <w:sz w:val="20"/>
                <w:szCs w:val="20"/>
                <w:color w:val="auto"/>
              </w:rPr>
            </w:pPr>
            <w:r>
              <w:rPr>
                <w:rFonts w:ascii="Arial" w:cs="Arial" w:eastAsia="Arial" w:hAnsi="Arial"/>
                <w:sz w:val="16"/>
                <w:szCs w:val="16"/>
                <w:color w:val="auto"/>
              </w:rPr>
              <w:t>5,444,925</w:t>
            </w:r>
          </w:p>
        </w:tc>
        <w:tc>
          <w:tcPr>
            <w:tcW w:w="240" w:type="dxa"/>
            <w:vAlign w:val="bottom"/>
            <w:vMerge w:val="restart"/>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5,444,925</w:t>
            </w:r>
          </w:p>
        </w:tc>
        <w:tc>
          <w:tcPr>
            <w:tcW w:w="140" w:type="dxa"/>
            <w:vAlign w:val="bottom"/>
            <w:shd w:val="clear" w:color="auto" w:fill="EDEDEE"/>
          </w:tcPr>
          <w:p>
            <w:pPr>
              <w:spacing w:after="0"/>
              <w:rPr>
                <w:sz w:val="14"/>
                <w:szCs w:val="14"/>
                <w:color w:val="auto"/>
              </w:rPr>
            </w:pPr>
          </w:p>
        </w:tc>
        <w:tc>
          <w:tcPr>
            <w:tcW w:w="240" w:type="dxa"/>
            <w:vAlign w:val="bottom"/>
            <w:vMerge w:val="restart"/>
            <w:shd w:val="clear" w:color="auto" w:fill="EDEDEE"/>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EDEDEE"/>
          </w:tcPr>
          <w:p>
            <w:pPr>
              <w:jc w:val="right"/>
              <w:ind w:right="23"/>
              <w:spacing w:after="0"/>
              <w:rPr>
                <w:sz w:val="20"/>
                <w:szCs w:val="20"/>
                <w:color w:val="auto"/>
              </w:rPr>
            </w:pPr>
            <w:r>
              <w:rPr>
                <w:rFonts w:ascii="Arial" w:cs="Arial" w:eastAsia="Arial" w:hAnsi="Arial"/>
                <w:sz w:val="16"/>
                <w:szCs w:val="16"/>
                <w:color w:val="auto"/>
              </w:rPr>
              <w:t>6,786,390</w:t>
            </w:r>
          </w:p>
        </w:tc>
        <w:tc>
          <w:tcPr>
            <w:tcW w:w="2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DEDEE"/>
          </w:tcPr>
          <w:p>
            <w:pPr>
              <w:jc w:val="right"/>
              <w:ind w:right="23"/>
              <w:spacing w:after="0"/>
              <w:rPr>
                <w:sz w:val="20"/>
                <w:szCs w:val="20"/>
                <w:color w:val="auto"/>
              </w:rPr>
            </w:pPr>
            <w:r>
              <w:rPr>
                <w:rFonts w:ascii="Arial" w:cs="Arial" w:eastAsia="Arial" w:hAnsi="Arial"/>
                <w:sz w:val="16"/>
                <w:szCs w:val="16"/>
                <w:color w:val="auto"/>
              </w:rPr>
              <w:t>173,892</w:t>
            </w:r>
          </w:p>
        </w:tc>
        <w:tc>
          <w:tcPr>
            <w:tcW w:w="2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EDEDEE"/>
          </w:tcPr>
          <w:p>
            <w:pPr>
              <w:jc w:val="right"/>
              <w:ind w:right="43"/>
              <w:spacing w:after="0"/>
              <w:rPr>
                <w:sz w:val="20"/>
                <w:szCs w:val="20"/>
                <w:color w:val="auto"/>
              </w:rPr>
            </w:pPr>
            <w:r>
              <w:rPr>
                <w:rFonts w:ascii="Arial" w:cs="Arial" w:eastAsia="Arial" w:hAnsi="Arial"/>
                <w:sz w:val="16"/>
                <w:szCs w:val="16"/>
                <w:color w:val="auto"/>
              </w:rPr>
              <w:t>418,705</w:t>
            </w:r>
          </w:p>
        </w:tc>
        <w:tc>
          <w:tcPr>
            <w:tcW w:w="300" w:type="dxa"/>
            <w:vAlign w:val="bottom"/>
            <w:vMerge w:val="restart"/>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7,378,987</w:t>
            </w:r>
          </w:p>
        </w:tc>
        <w:tc>
          <w:tcPr>
            <w:tcW w:w="0" w:type="dxa"/>
            <w:vAlign w:val="bottom"/>
          </w:tcPr>
          <w:p>
            <w:pPr>
              <w:spacing w:after="0"/>
              <w:rPr>
                <w:sz w:val="1"/>
                <w:szCs w:val="1"/>
                <w:color w:val="auto"/>
              </w:rPr>
            </w:pPr>
          </w:p>
        </w:tc>
      </w:tr>
      <w:tr>
        <w:trPr>
          <w:trHeight w:val="216"/>
        </w:trPr>
        <w:tc>
          <w:tcPr>
            <w:tcW w:w="2040" w:type="dxa"/>
            <w:vAlign w:val="bottom"/>
            <w:shd w:val="clear" w:color="auto" w:fill="EDEDEE"/>
          </w:tcPr>
          <w:p>
            <w:pPr>
              <w:ind w:left="20"/>
              <w:spacing w:after="0"/>
              <w:rPr>
                <w:sz w:val="20"/>
                <w:szCs w:val="20"/>
                <w:color w:val="auto"/>
              </w:rPr>
            </w:pPr>
            <w:r>
              <w:rPr>
                <w:rFonts w:ascii="Arial" w:cs="Arial" w:eastAsia="Arial" w:hAnsi="Arial"/>
                <w:sz w:val="16"/>
                <w:szCs w:val="16"/>
                <w:color w:val="auto"/>
              </w:rPr>
              <w:t>term securitizations</w:t>
            </w:r>
          </w:p>
        </w:tc>
        <w:tc>
          <w:tcPr>
            <w:tcW w:w="140" w:type="dxa"/>
            <w:vAlign w:val="bottom"/>
            <w:vMerge w:val="continue"/>
            <w:shd w:val="clear" w:color="auto" w:fill="EDEDEE"/>
          </w:tcPr>
          <w:p>
            <w:pPr>
              <w:spacing w:after="0"/>
              <w:rPr>
                <w:sz w:val="18"/>
                <w:szCs w:val="18"/>
                <w:color w:val="auto"/>
              </w:rPr>
            </w:pPr>
          </w:p>
        </w:tc>
        <w:tc>
          <w:tcPr>
            <w:tcW w:w="980" w:type="dxa"/>
            <w:vAlign w:val="bottom"/>
            <w:vMerge w:val="continue"/>
            <w:shd w:val="clear" w:color="auto" w:fill="EDEDEE"/>
          </w:tcPr>
          <w:p>
            <w:pPr>
              <w:spacing w:after="0"/>
              <w:rPr>
                <w:sz w:val="18"/>
                <w:szCs w:val="18"/>
                <w:color w:val="auto"/>
              </w:rPr>
            </w:pPr>
          </w:p>
        </w:tc>
        <w:tc>
          <w:tcPr>
            <w:tcW w:w="240" w:type="dxa"/>
            <w:vAlign w:val="bottom"/>
            <w:vMerge w:val="continue"/>
            <w:shd w:val="clear" w:color="auto" w:fill="EDEDEE"/>
          </w:tcPr>
          <w:p>
            <w:pPr>
              <w:spacing w:after="0"/>
              <w:rPr>
                <w:sz w:val="18"/>
                <w:szCs w:val="18"/>
                <w:color w:val="auto"/>
              </w:rPr>
            </w:pPr>
          </w:p>
        </w:tc>
        <w:tc>
          <w:tcPr>
            <w:tcW w:w="1080" w:type="dxa"/>
            <w:vAlign w:val="bottom"/>
            <w:vMerge w:val="continue"/>
            <w:shd w:val="clear" w:color="auto" w:fill="EDEDEE"/>
          </w:tcPr>
          <w:p>
            <w:pPr>
              <w:spacing w:after="0"/>
              <w:rPr>
                <w:sz w:val="18"/>
                <w:szCs w:val="18"/>
                <w:color w:val="auto"/>
              </w:rPr>
            </w:pPr>
          </w:p>
        </w:tc>
        <w:tc>
          <w:tcPr>
            <w:tcW w:w="240" w:type="dxa"/>
            <w:vAlign w:val="bottom"/>
            <w:vMerge w:val="continue"/>
            <w:shd w:val="clear" w:color="auto" w:fill="EDEDEE"/>
          </w:tcPr>
          <w:p>
            <w:pPr>
              <w:spacing w:after="0"/>
              <w:rPr>
                <w:sz w:val="18"/>
                <w:szCs w:val="18"/>
                <w:color w:val="auto"/>
              </w:rPr>
            </w:pPr>
          </w:p>
        </w:tc>
        <w:tc>
          <w:tcPr>
            <w:tcW w:w="900" w:type="dxa"/>
            <w:vAlign w:val="bottom"/>
            <w:vMerge w:val="continue"/>
            <w:shd w:val="clear" w:color="auto" w:fill="EDEDEE"/>
          </w:tcPr>
          <w:p>
            <w:pPr>
              <w:spacing w:after="0"/>
              <w:rPr>
                <w:sz w:val="18"/>
                <w:szCs w:val="18"/>
                <w:color w:val="auto"/>
              </w:rPr>
            </w:pPr>
          </w:p>
        </w:tc>
        <w:tc>
          <w:tcPr>
            <w:tcW w:w="140" w:type="dxa"/>
            <w:vAlign w:val="bottom"/>
            <w:shd w:val="clear" w:color="auto" w:fill="EDEDEE"/>
          </w:tcPr>
          <w:p>
            <w:pPr>
              <w:spacing w:after="0"/>
              <w:rPr>
                <w:sz w:val="18"/>
                <w:szCs w:val="18"/>
                <w:color w:val="auto"/>
              </w:rPr>
            </w:pPr>
          </w:p>
        </w:tc>
        <w:tc>
          <w:tcPr>
            <w:tcW w:w="240" w:type="dxa"/>
            <w:vAlign w:val="bottom"/>
            <w:vMerge w:val="continue"/>
            <w:shd w:val="clear" w:color="auto" w:fill="EDEDEE"/>
          </w:tcPr>
          <w:p>
            <w:pPr>
              <w:spacing w:after="0"/>
              <w:rPr>
                <w:sz w:val="18"/>
                <w:szCs w:val="18"/>
                <w:color w:val="auto"/>
              </w:rPr>
            </w:pPr>
          </w:p>
        </w:tc>
        <w:tc>
          <w:tcPr>
            <w:tcW w:w="940" w:type="dxa"/>
            <w:vAlign w:val="bottom"/>
            <w:vMerge w:val="continue"/>
            <w:shd w:val="clear" w:color="auto" w:fill="EDEDEE"/>
          </w:tcPr>
          <w:p>
            <w:pPr>
              <w:spacing w:after="0"/>
              <w:rPr>
                <w:sz w:val="18"/>
                <w:szCs w:val="18"/>
                <w:color w:val="auto"/>
              </w:rPr>
            </w:pPr>
          </w:p>
        </w:tc>
        <w:tc>
          <w:tcPr>
            <w:tcW w:w="240" w:type="dxa"/>
            <w:vAlign w:val="bottom"/>
            <w:vMerge w:val="continue"/>
            <w:shd w:val="clear" w:color="auto" w:fill="EDEDEE"/>
          </w:tcPr>
          <w:p>
            <w:pPr>
              <w:spacing w:after="0"/>
              <w:rPr>
                <w:sz w:val="18"/>
                <w:szCs w:val="18"/>
                <w:color w:val="auto"/>
              </w:rPr>
            </w:pPr>
          </w:p>
        </w:tc>
        <w:tc>
          <w:tcPr>
            <w:tcW w:w="980" w:type="dxa"/>
            <w:vAlign w:val="bottom"/>
            <w:vMerge w:val="continue"/>
            <w:shd w:val="clear" w:color="auto" w:fill="EDEDEE"/>
          </w:tcPr>
          <w:p>
            <w:pPr>
              <w:spacing w:after="0"/>
              <w:rPr>
                <w:sz w:val="18"/>
                <w:szCs w:val="18"/>
                <w:color w:val="auto"/>
              </w:rPr>
            </w:pPr>
          </w:p>
        </w:tc>
        <w:tc>
          <w:tcPr>
            <w:tcW w:w="200" w:type="dxa"/>
            <w:vAlign w:val="bottom"/>
            <w:vMerge w:val="continue"/>
            <w:shd w:val="clear" w:color="auto" w:fill="EDEDEE"/>
          </w:tcPr>
          <w:p>
            <w:pPr>
              <w:spacing w:after="0"/>
              <w:rPr>
                <w:sz w:val="18"/>
                <w:szCs w:val="18"/>
                <w:color w:val="auto"/>
              </w:rPr>
            </w:pPr>
          </w:p>
        </w:tc>
        <w:tc>
          <w:tcPr>
            <w:tcW w:w="1140" w:type="dxa"/>
            <w:vAlign w:val="bottom"/>
            <w:vMerge w:val="continue"/>
            <w:shd w:val="clear" w:color="auto" w:fill="EDEDEE"/>
          </w:tcPr>
          <w:p>
            <w:pPr>
              <w:spacing w:after="0"/>
              <w:rPr>
                <w:sz w:val="18"/>
                <w:szCs w:val="18"/>
                <w:color w:val="auto"/>
              </w:rPr>
            </w:pPr>
          </w:p>
        </w:tc>
        <w:tc>
          <w:tcPr>
            <w:tcW w:w="300" w:type="dxa"/>
            <w:vAlign w:val="bottom"/>
            <w:vMerge w:val="continue"/>
            <w:shd w:val="clear" w:color="auto" w:fill="EDEDEE"/>
          </w:tcPr>
          <w:p>
            <w:pPr>
              <w:spacing w:after="0"/>
              <w:rPr>
                <w:sz w:val="18"/>
                <w:szCs w:val="18"/>
                <w:color w:val="auto"/>
              </w:rPr>
            </w:pPr>
          </w:p>
        </w:tc>
        <w:tc>
          <w:tcPr>
            <w:tcW w:w="92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color w:val="auto"/>
              </w:rPr>
              <w:t>Secured Borrowing</w:t>
            </w:r>
          </w:p>
        </w:tc>
        <w:tc>
          <w:tcPr>
            <w:tcW w:w="140" w:type="dxa"/>
            <w:vAlign w:val="bottom"/>
          </w:tcPr>
          <w:p>
            <w:pPr>
              <w:spacing w:after="0"/>
              <w:rPr>
                <w:sz w:val="14"/>
                <w:szCs w:val="14"/>
                <w:color w:val="auto"/>
              </w:rPr>
            </w:pPr>
          </w:p>
        </w:tc>
        <w:tc>
          <w:tcPr>
            <w:tcW w:w="98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8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6"/>
                <w:szCs w:val="16"/>
                <w:color w:val="auto"/>
              </w:rPr>
              <w:t>98</w:t>
            </w:r>
          </w:p>
        </w:tc>
        <w:tc>
          <w:tcPr>
            <w:tcW w:w="30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204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Facility</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4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w:t>
            </w:r>
          </w:p>
        </w:tc>
        <w:tc>
          <w:tcPr>
            <w:tcW w:w="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DEDEE"/>
          </w:tcPr>
          <w:p>
            <w:pPr>
              <w:ind w:left="7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DEDEE"/>
          </w:tcPr>
          <w:p>
            <w:pPr>
              <w:jc w:val="right"/>
              <w:ind w:right="101"/>
              <w:spacing w:after="0"/>
              <w:rPr>
                <w:sz w:val="20"/>
                <w:szCs w:val="20"/>
                <w:color w:val="auto"/>
              </w:rPr>
            </w:pPr>
            <w:r>
              <w:rPr>
                <w:rFonts w:ascii="Arial" w:cs="Arial" w:eastAsia="Arial" w:hAnsi="Arial"/>
                <w:sz w:val="16"/>
                <w:szCs w:val="16"/>
                <w:color w:val="auto"/>
              </w:rPr>
              <w:t>5,444,925</w:t>
            </w:r>
          </w:p>
        </w:tc>
        <w:tc>
          <w:tcPr>
            <w:tcW w:w="24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5,444,925</w:t>
            </w:r>
          </w:p>
        </w:tc>
        <w:tc>
          <w:tcPr>
            <w:tcW w:w="140" w:type="dxa"/>
            <w:vAlign w:val="bottom"/>
            <w:tcBorders>
              <w:bottom w:val="single" w:sz="8" w:color="auto"/>
            </w:tcBorders>
            <w:shd w:val="clear" w:color="auto" w:fill="EDEDEE"/>
          </w:tcPr>
          <w:p>
            <w:pPr>
              <w:spacing w:after="0"/>
              <w:rPr>
                <w:sz w:val="20"/>
                <w:szCs w:val="20"/>
                <w:color w:val="auto"/>
              </w:rPr>
            </w:pPr>
          </w:p>
        </w:tc>
        <w:tc>
          <w:tcPr>
            <w:tcW w:w="24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EDEDEE"/>
          </w:tcPr>
          <w:p>
            <w:pPr>
              <w:jc w:val="right"/>
              <w:ind w:right="23"/>
              <w:spacing w:after="0"/>
              <w:rPr>
                <w:sz w:val="20"/>
                <w:szCs w:val="20"/>
                <w:color w:val="auto"/>
              </w:rPr>
            </w:pPr>
            <w:r>
              <w:rPr>
                <w:rFonts w:ascii="Arial" w:cs="Arial" w:eastAsia="Arial" w:hAnsi="Arial"/>
                <w:sz w:val="16"/>
                <w:szCs w:val="16"/>
                <w:color w:val="auto"/>
              </w:rPr>
              <w:t>6,786,390</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DEDEE"/>
          </w:tcPr>
          <w:p>
            <w:pPr>
              <w:jc w:val="right"/>
              <w:ind w:right="23"/>
              <w:spacing w:after="0"/>
              <w:rPr>
                <w:sz w:val="20"/>
                <w:szCs w:val="20"/>
                <w:color w:val="auto"/>
              </w:rPr>
            </w:pPr>
            <w:r>
              <w:rPr>
                <w:rFonts w:ascii="Arial" w:cs="Arial" w:eastAsia="Arial" w:hAnsi="Arial"/>
                <w:sz w:val="16"/>
                <w:szCs w:val="16"/>
                <w:color w:val="auto"/>
              </w:rPr>
              <w:t>173,892</w:t>
            </w:r>
          </w:p>
        </w:tc>
        <w:tc>
          <w:tcPr>
            <w:tcW w:w="2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DEDEE"/>
          </w:tcPr>
          <w:p>
            <w:pPr>
              <w:jc w:val="right"/>
              <w:ind w:right="43"/>
              <w:spacing w:after="0"/>
              <w:rPr>
                <w:sz w:val="20"/>
                <w:szCs w:val="20"/>
                <w:color w:val="auto"/>
              </w:rPr>
            </w:pPr>
            <w:r>
              <w:rPr>
                <w:rFonts w:ascii="Arial" w:cs="Arial" w:eastAsia="Arial" w:hAnsi="Arial"/>
                <w:sz w:val="16"/>
                <w:szCs w:val="16"/>
                <w:color w:val="auto"/>
              </w:rPr>
              <w:t>418,803</w:t>
            </w:r>
          </w:p>
        </w:tc>
        <w:tc>
          <w:tcPr>
            <w:tcW w:w="3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7,379,085</w:t>
            </w:r>
          </w:p>
        </w:tc>
        <w:tc>
          <w:tcPr>
            <w:tcW w:w="0" w:type="dxa"/>
            <w:vAlign w:val="bottom"/>
          </w:tcPr>
          <w:p>
            <w:pPr>
              <w:spacing w:after="0"/>
              <w:rPr>
                <w:sz w:val="1"/>
                <w:szCs w:val="1"/>
                <w:color w:val="auto"/>
              </w:rPr>
            </w:pPr>
          </w:p>
        </w:tc>
      </w:tr>
      <w:tr>
        <w:trPr>
          <w:trHeight w:val="20"/>
        </w:trPr>
        <w:tc>
          <w:tcPr>
            <w:tcW w:w="2040" w:type="dxa"/>
            <w:vAlign w:val="bottom"/>
            <w:tcBorders>
              <w:top w:val="single" w:sz="8" w:color="EDEDEE"/>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98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108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980" w:type="dxa"/>
            <w:vAlign w:val="bottom"/>
            <w:tcBorders>
              <w:top w:val="single" w:sz="8" w:color="EDEDEE"/>
              <w:bottom w:val="single" w:sz="8" w:color="auto"/>
            </w:tcBorders>
          </w:tcPr>
          <w:p>
            <w:pPr>
              <w:spacing w:after="0" w:line="20" w:lineRule="exact"/>
              <w:rPr>
                <w:sz w:val="1"/>
                <w:szCs w:val="1"/>
                <w:color w:val="auto"/>
              </w:rPr>
            </w:pPr>
          </w:p>
        </w:tc>
        <w:tc>
          <w:tcPr>
            <w:tcW w:w="200" w:type="dxa"/>
            <w:vAlign w:val="bottom"/>
            <w:tcBorders>
              <w:top w:val="single" w:sz="8" w:color="EDEDEE"/>
              <w:bottom w:val="single" w:sz="8" w:color="auto"/>
            </w:tcBorders>
          </w:tcPr>
          <w:p>
            <w:pPr>
              <w:spacing w:after="0" w:line="20" w:lineRule="exact"/>
              <w:rPr>
                <w:sz w:val="1"/>
                <w:szCs w:val="1"/>
                <w:color w:val="auto"/>
              </w:rPr>
            </w:pPr>
          </w:p>
        </w:tc>
        <w:tc>
          <w:tcPr>
            <w:tcW w:w="1140" w:type="dxa"/>
            <w:vAlign w:val="bottom"/>
            <w:tcBorders>
              <w:top w:val="single" w:sz="8" w:color="EDEDEE"/>
              <w:bottom w:val="single" w:sz="8" w:color="auto"/>
            </w:tcBorders>
          </w:tcPr>
          <w:p>
            <w:pPr>
              <w:spacing w:after="0" w:line="20" w:lineRule="exact"/>
              <w:rPr>
                <w:sz w:val="1"/>
                <w:szCs w:val="1"/>
                <w:color w:val="auto"/>
              </w:rPr>
            </w:pPr>
          </w:p>
        </w:tc>
        <w:tc>
          <w:tcPr>
            <w:tcW w:w="300" w:type="dxa"/>
            <w:vAlign w:val="bottom"/>
            <w:tcBorders>
              <w:top w:val="single" w:sz="8" w:color="EDEDEE"/>
              <w:bottom w:val="single" w:sz="8" w:color="auto"/>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 Other assets, net primarily represents accrued interest receivable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34F82"/>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7" w:right="379" w:bottom="1440" w:gutter="0" w:footer="0" w:header="0"/>
        </w:sectPr>
      </w:pPr>
    </w:p>
    <w:bookmarkStart w:id="34" w:name="page35"/>
    <w:bookmarkEnd w:id="34"/>
    <w:p>
      <w:pPr>
        <w:ind w:left="420" w:hanging="333"/>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Funding Vehicles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Education Loan Securitizations</w:t>
      </w:r>
    </w:p>
    <w:p>
      <w:pPr>
        <w:spacing w:after="0" w:line="102"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Unconsolidated VIEs include variable interests that we hold in certain securitization trusts created by the sale of our Private Education Loans to unaffiliated third parties. We remained the servicer of these loans pursuant to applicable servicing agreements executed in connection with the sales, and we are also the administrator of these trusts. Additionally, we own five percent of the securities issued by the trusts to meet risk retention requirements. We were not required to consolidate these entities because the fees we receive as the servicer/administrator are commensurate with our responsibility, so the fees are not considered a variable interest. Additionally, the five percent vertical interest we maintain does not absorb more than an insignificant amount of the VIE’s expected losses, nor do we receive more than an insignificant amount of the VIE’s expected residual returns. We classified those vertical risk retention interests related to the securitization transactions listed below as available-for-sale investments, except for the interest in the residual class, which we classified as trading investments recorded at fair value with changes recorded through earnings. No Private Education Loan ABS transactions closed in the three months ended March 31, 2025.</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a summary of our exposure related to our unconsolidated VIEs.</w:t>
      </w:r>
    </w:p>
    <w:p>
      <w:pPr>
        <w:spacing w:after="0" w:line="197"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23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144F82"/>
              </w:rPr>
              <w:t>March 31, 2025</w:t>
            </w: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44F82"/>
              </w:rPr>
              <w:t>December 31, 2024</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300" w:type="dxa"/>
            <w:vAlign w:val="bottom"/>
            <w:vMerge w:val="restart"/>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40" w:type="dxa"/>
            <w:vAlign w:val="bottom"/>
          </w:tcPr>
          <w:p>
            <w:pPr>
              <w:spacing w:after="0"/>
              <w:rPr>
                <w:sz w:val="12"/>
                <w:szCs w:val="12"/>
                <w:color w:val="auto"/>
              </w:rPr>
            </w:pPr>
          </w:p>
        </w:tc>
        <w:tc>
          <w:tcPr>
            <w:tcW w:w="1020" w:type="dxa"/>
            <w:vAlign w:val="bottom"/>
          </w:tcPr>
          <w:p>
            <w:pPr>
              <w:jc w:val="center"/>
              <w:ind w:right="145"/>
              <w:spacing w:after="0" w:line="143" w:lineRule="exact"/>
              <w:rPr>
                <w:sz w:val="20"/>
                <w:szCs w:val="20"/>
                <w:color w:val="auto"/>
              </w:rPr>
            </w:pPr>
            <w:r>
              <w:rPr>
                <w:rFonts w:ascii="Arial" w:cs="Arial" w:eastAsia="Arial" w:hAnsi="Arial"/>
                <w:sz w:val="14"/>
                <w:szCs w:val="14"/>
                <w:b w:val="1"/>
                <w:bCs w:val="1"/>
                <w:color w:val="144F82"/>
              </w:rPr>
              <w:t>Debt</w:t>
            </w:r>
          </w:p>
        </w:tc>
        <w:tc>
          <w:tcPr>
            <w:tcW w:w="260" w:type="dxa"/>
            <w:vAlign w:val="bottom"/>
          </w:tcPr>
          <w:p>
            <w:pPr>
              <w:spacing w:after="0"/>
              <w:rPr>
                <w:sz w:val="12"/>
                <w:szCs w:val="12"/>
                <w:color w:val="auto"/>
              </w:rPr>
            </w:pPr>
          </w:p>
        </w:tc>
        <w:tc>
          <w:tcPr>
            <w:tcW w:w="980" w:type="dxa"/>
            <w:vAlign w:val="bottom"/>
          </w:tcPr>
          <w:p>
            <w:pPr>
              <w:jc w:val="center"/>
              <w:ind w:right="105"/>
              <w:spacing w:after="0" w:line="143" w:lineRule="exact"/>
              <w:rPr>
                <w:sz w:val="20"/>
                <w:szCs w:val="20"/>
                <w:color w:val="auto"/>
              </w:rPr>
            </w:pPr>
            <w:r>
              <w:rPr>
                <w:rFonts w:ascii="Arial" w:cs="Arial" w:eastAsia="Arial" w:hAnsi="Arial"/>
                <w:sz w:val="14"/>
                <w:szCs w:val="14"/>
                <w:b w:val="1"/>
                <w:bCs w:val="1"/>
                <w:color w:val="144F82"/>
              </w:rPr>
              <w:t>Equity</w:t>
            </w:r>
          </w:p>
        </w:tc>
        <w:tc>
          <w:tcPr>
            <w:tcW w:w="15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144F82"/>
              </w:rPr>
              <w:t>Total Exposure</w:t>
            </w:r>
          </w:p>
        </w:tc>
        <w:tc>
          <w:tcPr>
            <w:tcW w:w="120" w:type="dxa"/>
            <w:vAlign w:val="bottom"/>
          </w:tcPr>
          <w:p>
            <w:pPr>
              <w:spacing w:after="0"/>
              <w:rPr>
                <w:sz w:val="12"/>
                <w:szCs w:val="12"/>
                <w:color w:val="auto"/>
              </w:rPr>
            </w:pPr>
          </w:p>
        </w:tc>
        <w:tc>
          <w:tcPr>
            <w:tcW w:w="920" w:type="dxa"/>
            <w:vAlign w:val="bottom"/>
          </w:tcPr>
          <w:p>
            <w:pPr>
              <w:ind w:left="220"/>
              <w:spacing w:after="0" w:line="143" w:lineRule="exact"/>
              <w:rPr>
                <w:sz w:val="20"/>
                <w:szCs w:val="20"/>
                <w:color w:val="auto"/>
              </w:rPr>
            </w:pPr>
            <w:r>
              <w:rPr>
                <w:rFonts w:ascii="Arial" w:cs="Arial" w:eastAsia="Arial" w:hAnsi="Arial"/>
                <w:sz w:val="14"/>
                <w:szCs w:val="14"/>
                <w:b w:val="1"/>
                <w:bCs w:val="1"/>
                <w:color w:val="144F82"/>
              </w:rPr>
              <w:t>Debt</w:t>
            </w:r>
          </w:p>
        </w:tc>
        <w:tc>
          <w:tcPr>
            <w:tcW w:w="280" w:type="dxa"/>
            <w:vAlign w:val="bottom"/>
          </w:tcPr>
          <w:p>
            <w:pPr>
              <w:spacing w:after="0"/>
              <w:rPr>
                <w:sz w:val="12"/>
                <w:szCs w:val="12"/>
                <w:color w:val="auto"/>
              </w:rPr>
            </w:pPr>
          </w:p>
        </w:tc>
        <w:tc>
          <w:tcPr>
            <w:tcW w:w="1100" w:type="dxa"/>
            <w:vAlign w:val="bottom"/>
          </w:tcPr>
          <w:p>
            <w:pPr>
              <w:jc w:val="center"/>
              <w:ind w:right="265"/>
              <w:spacing w:after="0" w:line="143" w:lineRule="exact"/>
              <w:rPr>
                <w:sz w:val="20"/>
                <w:szCs w:val="20"/>
                <w:color w:val="auto"/>
              </w:rPr>
            </w:pPr>
            <w:r>
              <w:rPr>
                <w:rFonts w:ascii="Arial" w:cs="Arial" w:eastAsia="Arial" w:hAnsi="Arial"/>
                <w:sz w:val="14"/>
                <w:szCs w:val="14"/>
                <w:b w:val="1"/>
                <w:bCs w:val="1"/>
                <w:color w:val="144F82"/>
              </w:rPr>
              <w:t>Equity</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144F82"/>
              </w:rPr>
              <w:t>Total Exposure</w:t>
            </w:r>
          </w:p>
        </w:tc>
        <w:tc>
          <w:tcPr>
            <w:tcW w:w="0" w:type="dxa"/>
            <w:vAlign w:val="bottom"/>
          </w:tcPr>
          <w:p>
            <w:pPr>
              <w:spacing w:after="0"/>
              <w:rPr>
                <w:sz w:val="1"/>
                <w:szCs w:val="1"/>
                <w:color w:val="auto"/>
              </w:rPr>
            </w:pPr>
          </w:p>
        </w:tc>
      </w:tr>
      <w:tr>
        <w:trPr>
          <w:trHeight w:val="202"/>
        </w:trPr>
        <w:tc>
          <w:tcPr>
            <w:tcW w:w="23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144F82"/>
              </w:rPr>
              <w:t>Interests</w:t>
            </w:r>
            <w:r>
              <w:rPr>
                <w:rFonts w:ascii="Arial" w:cs="Arial" w:eastAsia="Arial" w:hAnsi="Arial"/>
                <w:sz w:val="9"/>
                <w:szCs w:val="9"/>
                <w:b w:val="1"/>
                <w:bCs w:val="1"/>
                <w:color w:val="144F82"/>
              </w:rPr>
              <w:t>(1)</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144F82"/>
              </w:rPr>
              <w:t>Interests</w:t>
            </w:r>
            <w:r>
              <w:rPr>
                <w:rFonts w:ascii="Arial" w:cs="Arial" w:eastAsia="Arial" w:hAnsi="Arial"/>
                <w:sz w:val="9"/>
                <w:szCs w:val="9"/>
                <w:b w:val="1"/>
                <w:bCs w:val="1"/>
                <w:color w:val="144F82"/>
              </w:rPr>
              <w:t>(2)</w:t>
            </w:r>
          </w:p>
        </w:tc>
        <w:tc>
          <w:tcPr>
            <w:tcW w:w="1500" w:type="dxa"/>
            <w:vAlign w:val="bottom"/>
            <w:tcBorders>
              <w:bottom w:val="single" w:sz="8" w:color="auto"/>
            </w:tcBorders>
            <w:gridSpan w:val="3"/>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Interests</w:t>
            </w:r>
            <w:r>
              <w:rPr>
                <w:rFonts w:ascii="Arial" w:cs="Arial" w:eastAsia="Arial" w:hAnsi="Arial"/>
                <w:sz w:val="9"/>
                <w:szCs w:val="9"/>
                <w:b w:val="1"/>
                <w:bCs w:val="1"/>
                <w:color w:val="144F82"/>
              </w:rPr>
              <w:t>(1)</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5"/>
              <w:spacing w:after="0"/>
              <w:rPr>
                <w:sz w:val="20"/>
                <w:szCs w:val="20"/>
                <w:color w:val="auto"/>
              </w:rPr>
            </w:pPr>
            <w:r>
              <w:rPr>
                <w:rFonts w:ascii="Arial" w:cs="Arial" w:eastAsia="Arial" w:hAnsi="Arial"/>
                <w:sz w:val="14"/>
                <w:szCs w:val="14"/>
                <w:b w:val="1"/>
                <w:bCs w:val="1"/>
                <w:color w:val="144F82"/>
              </w:rPr>
              <w:t>Interests</w:t>
            </w:r>
            <w:r>
              <w:rPr>
                <w:rFonts w:ascii="Arial" w:cs="Arial" w:eastAsia="Arial" w:hAnsi="Arial"/>
                <w:sz w:val="9"/>
                <w:szCs w:val="9"/>
                <w:b w:val="1"/>
                <w:bCs w:val="1"/>
                <w:color w:val="144F82"/>
              </w:rPr>
              <w:t>(2)</w:t>
            </w:r>
          </w:p>
        </w:tc>
        <w:tc>
          <w:tcPr>
            <w:tcW w:w="11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00" w:type="dxa"/>
            <w:vAlign w:val="bottom"/>
          </w:tcPr>
          <w:p>
            <w:pPr>
              <w:ind w:left="20"/>
              <w:spacing w:after="0" w:line="157" w:lineRule="exact"/>
              <w:rPr>
                <w:sz w:val="20"/>
                <w:szCs w:val="20"/>
                <w:color w:val="auto"/>
              </w:rPr>
            </w:pPr>
            <w:r>
              <w:rPr>
                <w:rFonts w:ascii="Arial" w:cs="Arial" w:eastAsia="Arial" w:hAnsi="Arial"/>
                <w:sz w:val="16"/>
                <w:szCs w:val="16"/>
                <w:color w:val="auto"/>
              </w:rPr>
              <w:t>Private Education Loan term</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65"/>
              <w:spacing w:after="0"/>
              <w:rPr>
                <w:sz w:val="20"/>
                <w:szCs w:val="20"/>
                <w:color w:val="auto"/>
              </w:rPr>
            </w:pPr>
            <w:r>
              <w:rPr>
                <w:rFonts w:ascii="Arial" w:cs="Arial" w:eastAsia="Arial" w:hAnsi="Arial"/>
                <w:sz w:val="16"/>
                <w:szCs w:val="16"/>
                <w:color w:val="auto"/>
              </w:rPr>
              <w:t>549,949</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65"/>
              <w:spacing w:after="0"/>
              <w:rPr>
                <w:sz w:val="20"/>
                <w:szCs w:val="20"/>
                <w:color w:val="auto"/>
              </w:rPr>
            </w:pPr>
            <w:r>
              <w:rPr>
                <w:rFonts w:ascii="Arial" w:cs="Arial" w:eastAsia="Arial" w:hAnsi="Arial"/>
                <w:sz w:val="16"/>
                <w:szCs w:val="16"/>
                <w:color w:val="auto"/>
              </w:rPr>
              <w:t>51,296</w:t>
            </w:r>
          </w:p>
        </w:tc>
        <w:tc>
          <w:tcPr>
            <w:tcW w:w="360" w:type="dxa"/>
            <w:vAlign w:val="bottom"/>
            <w:vMerge w:val="restart"/>
          </w:tcPr>
          <w:p>
            <w:pPr>
              <w:jc w:val="right"/>
              <w:ind w:right="84"/>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601,245</w:t>
            </w:r>
          </w:p>
        </w:tc>
        <w:tc>
          <w:tcPr>
            <w:tcW w:w="3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ind w:left="240"/>
              <w:spacing w:after="0"/>
              <w:rPr>
                <w:sz w:val="20"/>
                <w:szCs w:val="20"/>
                <w:color w:val="auto"/>
              </w:rPr>
            </w:pPr>
            <w:r>
              <w:rPr>
                <w:rFonts w:ascii="Arial" w:cs="Arial" w:eastAsia="Arial" w:hAnsi="Arial"/>
                <w:sz w:val="16"/>
                <w:szCs w:val="16"/>
                <w:color w:val="auto"/>
              </w:rPr>
              <w:t>571,795</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205"/>
              <w:spacing w:after="0"/>
              <w:rPr>
                <w:sz w:val="20"/>
                <w:szCs w:val="20"/>
                <w:color w:val="auto"/>
              </w:rPr>
            </w:pPr>
            <w:r>
              <w:rPr>
                <w:rFonts w:ascii="Arial" w:cs="Arial" w:eastAsia="Arial" w:hAnsi="Arial"/>
                <w:sz w:val="16"/>
                <w:szCs w:val="16"/>
                <w:color w:val="auto"/>
              </w:rPr>
              <w:t>53,262</w:t>
            </w:r>
          </w:p>
        </w:tc>
        <w:tc>
          <w:tcPr>
            <w:tcW w:w="280" w:type="dxa"/>
            <w:vAlign w:val="bottom"/>
            <w:vMerge w:val="restart"/>
          </w:tcPr>
          <w:p>
            <w:pPr>
              <w:jc w:val="right"/>
              <w:ind w:right="104"/>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625,057</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securitizations</w:t>
            </w:r>
          </w:p>
        </w:tc>
        <w:tc>
          <w:tcPr>
            <w:tcW w:w="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960" w:hanging="223"/>
        <w:spacing w:after="0"/>
        <w:tabs>
          <w:tab w:leader="none" w:pos="9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Vertical risk retention interest classified as available-for-sale investment.</w:t>
      </w:r>
    </w:p>
    <w:p>
      <w:pPr>
        <w:spacing w:after="0" w:line="28" w:lineRule="exact"/>
        <w:rPr>
          <w:rFonts w:ascii="Arial" w:cs="Arial" w:eastAsia="Arial" w:hAnsi="Arial"/>
          <w:sz w:val="14"/>
          <w:szCs w:val="14"/>
          <w:color w:val="auto"/>
        </w:rPr>
      </w:pPr>
    </w:p>
    <w:p>
      <w:pPr>
        <w:ind w:left="960" w:hanging="223"/>
        <w:spacing w:after="0"/>
        <w:tabs>
          <w:tab w:leader="none" w:pos="9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Vertical risk retention interest classified as trading investment.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Borrowing Sources</w:t>
      </w:r>
    </w:p>
    <w:p>
      <w:pPr>
        <w:spacing w:after="0" w:line="102" w:lineRule="exact"/>
        <w:rPr>
          <w:sz w:val="20"/>
          <w:szCs w:val="20"/>
          <w:color w:val="auto"/>
        </w:rPr>
      </w:pPr>
    </w:p>
    <w:p>
      <w:pPr>
        <w:ind w:firstLine="445"/>
        <w:spacing w:after="0" w:line="291" w:lineRule="auto"/>
        <w:rPr>
          <w:sz w:val="20"/>
          <w:szCs w:val="20"/>
          <w:color w:val="auto"/>
        </w:rPr>
      </w:pPr>
      <w:r>
        <w:rPr>
          <w:rFonts w:ascii="Arial" w:cs="Arial" w:eastAsia="Arial" w:hAnsi="Arial"/>
          <w:sz w:val="17"/>
          <w:szCs w:val="17"/>
          <w:color w:val="auto"/>
        </w:rPr>
        <w:t>We maintain discretionary uncommitted Federal Funds lines of credit with various correspondent banks, which totaled $125 million at March 31, 2025. The interest rate we are charged on these lines of credit is priced at Fed Funds plus a spread at the time of borrowing, and is payable daily. We did not utilize these lines of credit in the three months ended March 31, 2025, nor in the year ended December 31, 2024.</w:t>
      </w:r>
    </w:p>
    <w:p>
      <w:pPr>
        <w:spacing w:after="0" w:line="18"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We established an account at the FRB to meet eligibility requirements for access to the Primary Credit borrowing facility at the FRB’s Discount Window (the “Window”). The Primary Credit borrowing facility is a lending program available to depository institutions that are in generally sound financial condition. All borrowings at the Window must be fully collateralized. We can pledge asset-backed and mortgage-backed securities, as well as Private Education Loans, to the FRB as collateral for borrowings at the Window. Generally, collateral value is assigned based on the estimated fair value of the pledged assets. At March 31, 2025 and December 31, 2024, the value of our pledged collateral at the FRB totaled $2.5 billion and $2.2 billion, respectively. The interest rate charged to us is the discount rate set by the FRB. We did not utilize this facility in the three months ended March 31, 2025, nor in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34F82"/>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8. Derivative Financial Instruments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Risk Management Strategy</w:t>
      </w:r>
    </w:p>
    <w:p>
      <w:pPr>
        <w:spacing w:after="0" w:line="6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maintain an overall interest rate risk management strategy that incorporates the use of derivative instruments to reduce the economic effect of interest rate changes. Our goal is to manage interest rate sensitivity by modifying the repricing frequency and underlying index characteristics of certain balance sheet assets or liabilities so any adverse impacts related to movements in interest rates are managed within low to moderate limits. As a result of interest rate fluctuations, hedged balance sheet positions will appreciate or depreciate in market value or create variability in cash flows. Income or loss on the derivative instruments linked to the hedged item will generally offset the effect of this unrealized appreciation or depreciation or volatility in cash flows for the period the item is being hedged. We view this strategy as a prudent management of interest rate risk. Please refer to Note 11, “Derivative Financial Instruments” in our 2024 Form 10-K for a full discussion of our risk management strategy.</w:t>
      </w:r>
    </w:p>
    <w:p>
      <w:pPr>
        <w:spacing w:after="0" w:line="77" w:lineRule="exact"/>
        <w:rPr>
          <w:sz w:val="20"/>
          <w:szCs w:val="20"/>
          <w:color w:val="auto"/>
        </w:rPr>
      </w:pPr>
    </w:p>
    <w:p>
      <w:pPr>
        <w:jc w:val="both"/>
        <w:ind w:right="180" w:firstLine="445"/>
        <w:spacing w:after="0" w:line="255" w:lineRule="auto"/>
        <w:rPr>
          <w:sz w:val="20"/>
          <w:szCs w:val="20"/>
          <w:color w:val="auto"/>
        </w:rPr>
      </w:pPr>
      <w:r>
        <w:rPr>
          <w:rFonts w:ascii="Arial" w:cs="Arial" w:eastAsia="Arial" w:hAnsi="Arial"/>
          <w:sz w:val="18"/>
          <w:szCs w:val="18"/>
          <w:color w:val="auto"/>
        </w:rPr>
        <w:t>Title VII of the Dodd-Frank Wall Street Reform and Consumer Protection Act of 2010 (the “Dodd-Frank Act”) requires all standardized derivatives, including most interest rate swaps, to be submitted for clearing to central counterparties to reduce counterparty risk. Two of the central counterparties we use are the Chicago Mercantile Exchange (“CME”) and the London Clearing House (“LCH”). All variation margin payments on derivatives cleared through the CME and LCH are accounted for as legal settlement. As of March 31, 2025, $570</w:t>
      </w:r>
    </w:p>
    <w:p>
      <w:pPr>
        <w:spacing w:after="0" w:line="2"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million notional of our derivative contracts were cleared on the CME and $53 million were cleared on the LCH. The derivative contracts cleared through the CME and LCH represent 91.6 percent and 8.4 percent, respectively, of our total notional derivative contracts of $623 million at March 31, 2025.</w:t>
      </w:r>
    </w:p>
    <w:p>
      <w:pPr>
        <w:spacing w:after="0" w:line="70" w:lineRule="exact"/>
        <w:rPr>
          <w:sz w:val="20"/>
          <w:szCs w:val="20"/>
          <w:color w:val="auto"/>
        </w:rPr>
      </w:pPr>
    </w:p>
    <w:p>
      <w:pPr>
        <w:ind w:right="180" w:firstLine="445"/>
        <w:spacing w:after="0" w:line="260" w:lineRule="auto"/>
        <w:rPr>
          <w:sz w:val="20"/>
          <w:szCs w:val="20"/>
          <w:color w:val="auto"/>
        </w:rPr>
      </w:pPr>
      <w:r>
        <w:rPr>
          <w:rFonts w:ascii="Arial" w:cs="Arial" w:eastAsia="Arial" w:hAnsi="Arial"/>
          <w:sz w:val="18"/>
          <w:szCs w:val="18"/>
          <w:color w:val="auto"/>
        </w:rPr>
        <w:t>For derivatives cleared through the CME and LCH, the net gain (loss) position includes the variation margin amounts as settlement of the derivative and not collateral against the fair value of the derivative. The amount of variation margin included as settlement as of</w:t>
      </w:r>
    </w:p>
    <w:p>
      <w:pPr>
        <w:spacing w:after="0" w:line="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March 31, 2025 was $(16) million and $(1) million for the CME and LCH, respectively. Changes in fair value for derivatives not designated as hedging instruments are presented as realized gains (losses).</w:t>
      </w:r>
    </w:p>
    <w:p>
      <w:pPr>
        <w:spacing w:after="0" w:line="63" w:lineRule="exact"/>
        <w:rPr>
          <w:sz w:val="20"/>
          <w:szCs w:val="20"/>
          <w:color w:val="auto"/>
        </w:rPr>
      </w:pPr>
    </w:p>
    <w:p>
      <w:pPr>
        <w:jc w:val="both"/>
        <w:ind w:right="240" w:firstLine="445"/>
        <w:spacing w:after="0" w:line="262" w:lineRule="auto"/>
        <w:rPr>
          <w:sz w:val="20"/>
          <w:szCs w:val="20"/>
          <w:color w:val="auto"/>
        </w:rPr>
      </w:pPr>
      <w:r>
        <w:rPr>
          <w:rFonts w:ascii="Arial" w:cs="Arial" w:eastAsia="Arial" w:hAnsi="Arial"/>
          <w:sz w:val="18"/>
          <w:szCs w:val="18"/>
          <w:color w:val="auto"/>
        </w:rPr>
        <w:t>Our exposure to the counterparty is limited to the value of the derivative contracts in a gain position less any collateral held and plus any collateral posted. When there is a net negative exposure, we consider our exposure to the counterparty to be zero. At March 31, 2025 and December 31, 2024, we had a net positive exposure (derivative gain/loss positions to us, less collateral held by us and plus collateral posted with counterparties) related to derivatives of $3 million and $5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ind w:left="460" w:hanging="414"/>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Derivative Financial Statement Impact</w:t>
      </w:r>
    </w:p>
    <w:p>
      <w:pPr>
        <w:spacing w:after="0" w:line="11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The following tables summarize the fair values and notional amounts of all derivative instruments at March 31, 2025 and December 31, 2024, and their impact on earnings and other comprehensive income for the three months ended March 31, 2025 and March 31, 2024. Please refer to Note 11, “Derivative Financial Instruments” in our 2024 Form 10-K for a full discussion of fair value hedges and cash flow hedges.</w:t>
      </w:r>
    </w:p>
    <w:p>
      <w:pPr>
        <w:spacing w:after="0" w:line="358" w:lineRule="exact"/>
        <w:rPr>
          <w:sz w:val="20"/>
          <w:szCs w:val="20"/>
          <w:color w:val="auto"/>
        </w:rPr>
      </w:pPr>
    </w:p>
    <w:p>
      <w:pPr>
        <w:ind w:left="1560"/>
        <w:spacing w:after="0"/>
        <w:rPr>
          <w:sz w:val="20"/>
          <w:szCs w:val="20"/>
          <w:color w:val="auto"/>
        </w:rPr>
      </w:pPr>
      <w:r>
        <w:rPr>
          <w:rFonts w:ascii="Arial" w:cs="Arial" w:eastAsia="Arial" w:hAnsi="Arial"/>
          <w:sz w:val="16"/>
          <w:szCs w:val="16"/>
          <w:b w:val="1"/>
          <w:bCs w:val="1"/>
          <w:i w:val="1"/>
          <w:iCs w:val="1"/>
          <w:color w:val="144F82"/>
        </w:rPr>
        <w:t>Impact of Derivatives on the Consolidated Balance Sheets</w:t>
      </w:r>
    </w:p>
    <w:p>
      <w:pPr>
        <w:spacing w:after="0" w:line="31" w:lineRule="exact"/>
        <w:rPr>
          <w:sz w:val="20"/>
          <w:szCs w:val="20"/>
          <w:color w:val="auto"/>
        </w:rPr>
      </w:pPr>
    </w:p>
    <w:tbl>
      <w:tblPr>
        <w:tblLayout w:type="fixed"/>
        <w:tblInd w:w="1540" w:type="dxa"/>
        <w:tblCellMar>
          <w:top w:w="0" w:type="dxa"/>
          <w:left w:w="0" w:type="dxa"/>
          <w:bottom w:w="0" w:type="dxa"/>
          <w:right w:w="0" w:type="dxa"/>
        </w:tblCellMar>
      </w:tblPr>
      <w:tr>
        <w:trPr>
          <w:trHeight w:val="183"/>
        </w:trPr>
        <w:tc>
          <w:tcPr>
            <w:tcW w:w="10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144F82"/>
              </w:rPr>
              <w:t>Cash Flow Hedges</w:t>
            </w:r>
          </w:p>
        </w:tc>
        <w:tc>
          <w:tcPr>
            <w:tcW w:w="12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jc w:val="center"/>
              <w:ind w:right="220"/>
              <w:spacing w:after="0"/>
              <w:rPr>
                <w:sz w:val="20"/>
                <w:szCs w:val="20"/>
                <w:color w:val="auto"/>
              </w:rPr>
            </w:pPr>
            <w:r>
              <w:rPr>
                <w:rFonts w:ascii="Arial" w:cs="Arial" w:eastAsia="Arial" w:hAnsi="Arial"/>
                <w:sz w:val="13"/>
                <w:szCs w:val="13"/>
                <w:b w:val="1"/>
                <w:bCs w:val="1"/>
                <w:color w:val="144F82"/>
              </w:rPr>
              <w:t>Fair Value Hedges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827"/>
              <w:spacing w:after="0"/>
              <w:rPr>
                <w:sz w:val="20"/>
                <w:szCs w:val="20"/>
                <w:color w:val="auto"/>
              </w:rPr>
            </w:pPr>
            <w:r>
              <w:rPr>
                <w:rFonts w:ascii="Arial" w:cs="Arial" w:eastAsia="Arial" w:hAnsi="Arial"/>
                <w:sz w:val="13"/>
                <w:szCs w:val="13"/>
                <w:b w:val="1"/>
                <w:bCs w:val="1"/>
                <w:color w:val="144F82"/>
              </w:rPr>
              <w:t>Total</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ind w:right="88"/>
              <w:spacing w:after="0"/>
              <w:rPr>
                <w:sz w:val="20"/>
                <w:szCs w:val="20"/>
                <w:color w:val="auto"/>
              </w:rPr>
            </w:pPr>
            <w:r>
              <w:rPr>
                <w:rFonts w:ascii="Arial" w:cs="Arial" w:eastAsia="Arial" w:hAnsi="Arial"/>
                <w:sz w:val="13"/>
                <w:szCs w:val="13"/>
                <w:b w:val="1"/>
                <w:bCs w:val="1"/>
                <w:color w:val="144F82"/>
              </w:rPr>
              <w:t>March 31,</w:t>
            </w: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47"/>
              <w:spacing w:after="0"/>
              <w:rPr>
                <w:sz w:val="20"/>
                <w:szCs w:val="20"/>
                <w:color w:val="auto"/>
              </w:rPr>
            </w:pPr>
            <w:r>
              <w:rPr>
                <w:rFonts w:ascii="Arial" w:cs="Arial" w:eastAsia="Arial" w:hAnsi="Arial"/>
                <w:sz w:val="13"/>
                <w:szCs w:val="13"/>
                <w:b w:val="1"/>
                <w:bCs w:val="1"/>
                <w:color w:val="144F82"/>
              </w:rPr>
              <w:t>December 31,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108"/>
              <w:spacing w:after="0"/>
              <w:rPr>
                <w:sz w:val="20"/>
                <w:szCs w:val="20"/>
                <w:color w:val="auto"/>
              </w:rPr>
            </w:pPr>
            <w:r>
              <w:rPr>
                <w:rFonts w:ascii="Arial" w:cs="Arial" w:eastAsia="Arial" w:hAnsi="Arial"/>
                <w:sz w:val="13"/>
                <w:szCs w:val="13"/>
                <w:b w:val="1"/>
                <w:bCs w:val="1"/>
                <w:color w:val="144F82"/>
              </w:rPr>
              <w:t>March 31,</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67"/>
              <w:spacing w:after="0"/>
              <w:rPr>
                <w:sz w:val="20"/>
                <w:szCs w:val="20"/>
                <w:color w:val="auto"/>
              </w:rPr>
            </w:pPr>
            <w:r>
              <w:rPr>
                <w:rFonts w:ascii="Arial" w:cs="Arial" w:eastAsia="Arial" w:hAnsi="Arial"/>
                <w:sz w:val="13"/>
                <w:szCs w:val="13"/>
                <w:b w:val="1"/>
                <w:bCs w:val="1"/>
                <w:color w:val="144F82"/>
              </w:rPr>
              <w:t>December 31,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ind w:right="27"/>
              <w:spacing w:after="0"/>
              <w:rPr>
                <w:sz w:val="20"/>
                <w:szCs w:val="20"/>
                <w:color w:val="auto"/>
              </w:rPr>
            </w:pPr>
            <w:r>
              <w:rPr>
                <w:rFonts w:ascii="Arial" w:cs="Arial" w:eastAsia="Arial" w:hAnsi="Arial"/>
                <w:sz w:val="13"/>
                <w:szCs w:val="13"/>
                <w:b w:val="1"/>
                <w:bCs w:val="1"/>
                <w:color w:val="144F82"/>
              </w:rPr>
              <w:t>March 31,</w:t>
            </w: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27"/>
              <w:spacing w:after="0"/>
              <w:rPr>
                <w:sz w:val="20"/>
                <w:szCs w:val="20"/>
                <w:color w:val="auto"/>
              </w:rPr>
            </w:pPr>
            <w:r>
              <w:rPr>
                <w:rFonts w:ascii="Arial" w:cs="Arial" w:eastAsia="Arial" w:hAnsi="Arial"/>
                <w:sz w:val="13"/>
                <w:szCs w:val="13"/>
                <w:b w:val="1"/>
                <w:bCs w:val="1"/>
                <w:color w:val="144F82"/>
              </w:rPr>
              <w:t>December 31,</w:t>
            </w:r>
          </w:p>
        </w:tc>
        <w:tc>
          <w:tcPr>
            <w:tcW w:w="0" w:type="dxa"/>
            <w:vAlign w:val="bottom"/>
          </w:tcPr>
          <w:p>
            <w:pPr>
              <w:spacing w:after="0"/>
              <w:rPr>
                <w:sz w:val="1"/>
                <w:szCs w:val="1"/>
                <w:color w:val="auto"/>
              </w:rPr>
            </w:pPr>
          </w:p>
        </w:tc>
      </w:tr>
      <w:tr>
        <w:trPr>
          <w:trHeight w:val="190"/>
        </w:trPr>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144F82"/>
              </w:rPr>
              <w:t>2025</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144F82"/>
              </w:rPr>
              <w:t>2024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144F82"/>
              </w:rPr>
              <w:t>2025</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144F82"/>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7"/>
              <w:spacing w:after="0"/>
              <w:rPr>
                <w:sz w:val="20"/>
                <w:szCs w:val="20"/>
                <w:color w:val="auto"/>
              </w:rPr>
            </w:pPr>
            <w:r>
              <w:rPr>
                <w:rFonts w:ascii="Arial" w:cs="Arial" w:eastAsia="Arial" w:hAnsi="Arial"/>
                <w:sz w:val="13"/>
                <w:szCs w:val="13"/>
                <w:b w:val="1"/>
                <w:bCs w:val="1"/>
                <w:color w:val="144F82"/>
              </w:rPr>
              <w:t>2025</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144F82"/>
              </w:rPr>
              <w:t>2024</w:t>
            </w:r>
          </w:p>
        </w:tc>
        <w:tc>
          <w:tcPr>
            <w:tcW w:w="0" w:type="dxa"/>
            <w:vAlign w:val="bottom"/>
          </w:tcPr>
          <w:p>
            <w:pPr>
              <w:spacing w:after="0"/>
              <w:rPr>
                <w:sz w:val="1"/>
                <w:szCs w:val="1"/>
                <w:color w:val="auto"/>
              </w:rPr>
            </w:pPr>
          </w:p>
        </w:tc>
      </w:tr>
      <w:tr>
        <w:trPr>
          <w:trHeight w:val="117"/>
        </w:trPr>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144F82"/>
              </w:rPr>
              <w:t>Fair Values</w:t>
            </w:r>
            <w:r>
              <w:rPr>
                <w:rFonts w:ascii="Arial" w:cs="Arial" w:eastAsia="Arial" w:hAnsi="Arial"/>
                <w:sz w:val="18"/>
                <w:szCs w:val="18"/>
                <w:b w:val="1"/>
                <w:bCs w:val="1"/>
                <w:color w:val="144F82"/>
                <w:vertAlign w:val="superscript"/>
              </w:rPr>
              <w:t>(1)</w:t>
            </w:r>
          </w:p>
        </w:tc>
        <w:tc>
          <w:tcPr>
            <w:tcW w:w="960" w:type="dxa"/>
            <w:vAlign w:val="bottom"/>
            <w:gridSpan w:val="2"/>
          </w:tcPr>
          <w:p>
            <w:pPr>
              <w:jc w:val="center"/>
              <w:ind w:right="80"/>
              <w:spacing w:after="0" w:line="117" w:lineRule="exact"/>
              <w:rPr>
                <w:sz w:val="20"/>
                <w:szCs w:val="20"/>
                <w:color w:val="auto"/>
              </w:rPr>
            </w:pPr>
            <w:r>
              <w:rPr>
                <w:rFonts w:ascii="Arial" w:cs="Arial" w:eastAsia="Arial" w:hAnsi="Arial"/>
                <w:sz w:val="13"/>
                <w:szCs w:val="13"/>
                <w:b w:val="1"/>
                <w:bCs w:val="1"/>
                <w:color w:val="144F82"/>
                <w:w w:val="96"/>
              </w:rPr>
              <w:t>Hedged Risk</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4F82"/>
                <w:w w:val="94"/>
              </w:rPr>
              <w:t>Exposure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96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144F82"/>
              </w:rPr>
              <w:t>Derivative Assets:</w:t>
            </w:r>
            <w:r>
              <w:rPr>
                <w:rFonts w:ascii="Arial" w:cs="Arial" w:eastAsia="Arial" w:hAnsi="Arial"/>
                <w:sz w:val="19"/>
                <w:szCs w:val="19"/>
                <w:b w:val="1"/>
                <w:bCs w:val="1"/>
                <w:i w:val="1"/>
                <w:iCs w:val="1"/>
                <w:color w:val="144F82"/>
                <w:vertAlign w:val="superscript"/>
              </w:rPr>
              <w:t>(2)</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EDEDEE"/>
          </w:tcPr>
          <w:p>
            <w:pPr>
              <w:ind w:left="140"/>
              <w:spacing w:after="0" w:line="149" w:lineRule="exact"/>
              <w:rPr>
                <w:sz w:val="20"/>
                <w:szCs w:val="20"/>
                <w:color w:val="auto"/>
              </w:rPr>
            </w:pPr>
            <w:r>
              <w:rPr>
                <w:rFonts w:ascii="Arial" w:cs="Arial" w:eastAsia="Arial" w:hAnsi="Arial"/>
                <w:sz w:val="15"/>
                <w:szCs w:val="15"/>
                <w:color w:val="auto"/>
              </w:rPr>
              <w:t>Interest rate</w:t>
            </w:r>
          </w:p>
        </w:tc>
        <w:tc>
          <w:tcPr>
            <w:tcW w:w="960" w:type="dxa"/>
            <w:vAlign w:val="bottom"/>
            <w:gridSpan w:val="2"/>
            <w:shd w:val="clear" w:color="auto" w:fill="EDEDEE"/>
          </w:tcPr>
          <w:p>
            <w:pPr>
              <w:jc w:val="center"/>
              <w:ind w:right="80"/>
              <w:spacing w:after="0" w:line="149" w:lineRule="exact"/>
              <w:rPr>
                <w:sz w:val="20"/>
                <w:szCs w:val="20"/>
                <w:color w:val="auto"/>
              </w:rPr>
            </w:pPr>
            <w:r>
              <w:rPr>
                <w:rFonts w:ascii="Arial" w:cs="Arial" w:eastAsia="Arial" w:hAnsi="Arial"/>
                <w:sz w:val="15"/>
                <w:szCs w:val="15"/>
                <w:color w:val="auto"/>
              </w:rPr>
              <w:t>Interest</w:t>
            </w:r>
          </w:p>
        </w:tc>
        <w:tc>
          <w:tcPr>
            <w:tcW w:w="120" w:type="dxa"/>
            <w:vAlign w:val="bottom"/>
            <w:shd w:val="clear" w:color="auto" w:fill="EDEDEE"/>
          </w:tcPr>
          <w:p>
            <w:pPr>
              <w:spacing w:after="0"/>
              <w:rPr>
                <w:sz w:val="12"/>
                <w:szCs w:val="12"/>
                <w:color w:val="auto"/>
              </w:rPr>
            </w:pPr>
          </w:p>
        </w:tc>
        <w:tc>
          <w:tcPr>
            <w:tcW w:w="820" w:type="dxa"/>
            <w:vAlign w:val="bottom"/>
            <w:shd w:val="clear" w:color="auto" w:fill="EDEDEE"/>
          </w:tcPr>
          <w:p>
            <w:pPr>
              <w:spacing w:after="0"/>
              <w:rPr>
                <w:sz w:val="12"/>
                <w:szCs w:val="12"/>
                <w:color w:val="auto"/>
              </w:rPr>
            </w:pPr>
          </w:p>
        </w:tc>
        <w:tc>
          <w:tcPr>
            <w:tcW w:w="180" w:type="dxa"/>
            <w:vAlign w:val="bottom"/>
            <w:shd w:val="clear" w:color="auto" w:fill="EDEDEE"/>
          </w:tcPr>
          <w:p>
            <w:pPr>
              <w:spacing w:after="0"/>
              <w:rPr>
                <w:sz w:val="12"/>
                <w:szCs w:val="12"/>
                <w:color w:val="auto"/>
              </w:rPr>
            </w:pPr>
          </w:p>
        </w:tc>
        <w:tc>
          <w:tcPr>
            <w:tcW w:w="1000" w:type="dxa"/>
            <w:vAlign w:val="bottom"/>
            <w:shd w:val="clear" w:color="auto" w:fill="EDEDEE"/>
          </w:tcPr>
          <w:p>
            <w:pPr>
              <w:spacing w:after="0"/>
              <w:rPr>
                <w:sz w:val="12"/>
                <w:szCs w:val="12"/>
                <w:color w:val="auto"/>
              </w:rPr>
            </w:pPr>
          </w:p>
        </w:tc>
        <w:tc>
          <w:tcPr>
            <w:tcW w:w="120" w:type="dxa"/>
            <w:vAlign w:val="bottom"/>
            <w:shd w:val="clear" w:color="auto" w:fill="EDEDEE"/>
          </w:tcPr>
          <w:p>
            <w:pPr>
              <w:spacing w:after="0"/>
              <w:rPr>
                <w:sz w:val="12"/>
                <w:szCs w:val="12"/>
                <w:color w:val="auto"/>
              </w:rPr>
            </w:pPr>
          </w:p>
        </w:tc>
        <w:tc>
          <w:tcPr>
            <w:tcW w:w="120" w:type="dxa"/>
            <w:vAlign w:val="bottom"/>
            <w:shd w:val="clear" w:color="auto" w:fill="EDEDEE"/>
          </w:tcPr>
          <w:p>
            <w:pPr>
              <w:spacing w:after="0"/>
              <w:rPr>
                <w:sz w:val="12"/>
                <w:szCs w:val="12"/>
                <w:color w:val="auto"/>
              </w:rPr>
            </w:pPr>
          </w:p>
        </w:tc>
        <w:tc>
          <w:tcPr>
            <w:tcW w:w="840" w:type="dxa"/>
            <w:vAlign w:val="bottom"/>
            <w:shd w:val="clear" w:color="auto" w:fill="EDEDEE"/>
          </w:tcPr>
          <w:p>
            <w:pPr>
              <w:spacing w:after="0"/>
              <w:rPr>
                <w:sz w:val="12"/>
                <w:szCs w:val="12"/>
                <w:color w:val="auto"/>
              </w:rPr>
            </w:pPr>
          </w:p>
        </w:tc>
        <w:tc>
          <w:tcPr>
            <w:tcW w:w="180" w:type="dxa"/>
            <w:vAlign w:val="bottom"/>
            <w:shd w:val="clear" w:color="auto" w:fill="EDEDEE"/>
          </w:tcPr>
          <w:p>
            <w:pPr>
              <w:spacing w:after="0"/>
              <w:rPr>
                <w:sz w:val="12"/>
                <w:szCs w:val="12"/>
                <w:color w:val="auto"/>
              </w:rPr>
            </w:pPr>
          </w:p>
        </w:tc>
        <w:tc>
          <w:tcPr>
            <w:tcW w:w="1020" w:type="dxa"/>
            <w:vAlign w:val="bottom"/>
            <w:shd w:val="clear" w:color="auto" w:fill="EDEDEE"/>
          </w:tcPr>
          <w:p>
            <w:pPr>
              <w:spacing w:after="0"/>
              <w:rPr>
                <w:sz w:val="12"/>
                <w:szCs w:val="12"/>
                <w:color w:val="auto"/>
              </w:rPr>
            </w:pPr>
          </w:p>
        </w:tc>
        <w:tc>
          <w:tcPr>
            <w:tcW w:w="100" w:type="dxa"/>
            <w:vAlign w:val="bottom"/>
            <w:shd w:val="clear" w:color="auto" w:fill="EDEDEE"/>
          </w:tcPr>
          <w:p>
            <w:pPr>
              <w:spacing w:after="0"/>
              <w:rPr>
                <w:sz w:val="12"/>
                <w:szCs w:val="12"/>
                <w:color w:val="auto"/>
              </w:rPr>
            </w:pPr>
          </w:p>
        </w:tc>
        <w:tc>
          <w:tcPr>
            <w:tcW w:w="120" w:type="dxa"/>
            <w:vAlign w:val="bottom"/>
            <w:shd w:val="clear" w:color="auto" w:fill="EDEDEE"/>
          </w:tcPr>
          <w:p>
            <w:pPr>
              <w:spacing w:after="0"/>
              <w:rPr>
                <w:sz w:val="12"/>
                <w:szCs w:val="12"/>
                <w:color w:val="auto"/>
              </w:rPr>
            </w:pPr>
          </w:p>
        </w:tc>
        <w:tc>
          <w:tcPr>
            <w:tcW w:w="780" w:type="dxa"/>
            <w:vAlign w:val="bottom"/>
            <w:shd w:val="clear" w:color="auto" w:fill="EDEDEE"/>
          </w:tcPr>
          <w:p>
            <w:pPr>
              <w:spacing w:after="0"/>
              <w:rPr>
                <w:sz w:val="12"/>
                <w:szCs w:val="12"/>
                <w:color w:val="auto"/>
              </w:rPr>
            </w:pPr>
          </w:p>
        </w:tc>
        <w:tc>
          <w:tcPr>
            <w:tcW w:w="240" w:type="dxa"/>
            <w:vAlign w:val="bottom"/>
            <w:shd w:val="clear" w:color="auto" w:fill="EDEDEE"/>
          </w:tcPr>
          <w:p>
            <w:pPr>
              <w:spacing w:after="0"/>
              <w:rPr>
                <w:sz w:val="12"/>
                <w:szCs w:val="12"/>
                <w:color w:val="auto"/>
              </w:rPr>
            </w:pPr>
          </w:p>
        </w:tc>
        <w:tc>
          <w:tcPr>
            <w:tcW w:w="1020" w:type="dxa"/>
            <w:vAlign w:val="bottom"/>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EDEDEE"/>
          </w:tcPr>
          <w:p>
            <w:pPr>
              <w:ind w:left="140"/>
              <w:spacing w:after="0"/>
              <w:rPr>
                <w:sz w:val="20"/>
                <w:szCs w:val="20"/>
                <w:color w:val="auto"/>
              </w:rPr>
            </w:pPr>
            <w:r>
              <w:rPr>
                <w:rFonts w:ascii="Arial" w:cs="Arial" w:eastAsia="Arial" w:hAnsi="Arial"/>
                <w:sz w:val="15"/>
                <w:szCs w:val="15"/>
                <w:color w:val="auto"/>
              </w:rPr>
              <w:t>swaps</w:t>
            </w:r>
          </w:p>
        </w:tc>
        <w:tc>
          <w:tcPr>
            <w:tcW w:w="960" w:type="dxa"/>
            <w:vAlign w:val="bottom"/>
            <w:gridSpan w:val="2"/>
            <w:shd w:val="clear" w:color="auto" w:fill="EDEDEE"/>
          </w:tcPr>
          <w:p>
            <w:pPr>
              <w:jc w:val="center"/>
              <w:ind w:right="100"/>
              <w:spacing w:after="0"/>
              <w:rPr>
                <w:sz w:val="20"/>
                <w:szCs w:val="20"/>
                <w:color w:val="auto"/>
              </w:rPr>
            </w:pPr>
            <w:r>
              <w:rPr>
                <w:rFonts w:ascii="Arial" w:cs="Arial" w:eastAsia="Arial" w:hAnsi="Arial"/>
                <w:sz w:val="15"/>
                <w:szCs w:val="15"/>
                <w:color w:val="auto"/>
              </w:rPr>
              <w:t>rate</w:t>
            </w:r>
          </w:p>
        </w:tc>
        <w:tc>
          <w:tcPr>
            <w:tcW w:w="120" w:type="dxa"/>
            <w:vAlign w:val="bottom"/>
            <w:shd w:val="clear" w:color="auto" w:fill="EDEDEE"/>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EDEDEE"/>
          </w:tcPr>
          <w:p>
            <w:pPr>
              <w:jc w:val="center"/>
              <w:ind w:left="368"/>
              <w:spacing w:after="0"/>
              <w:rPr>
                <w:sz w:val="20"/>
                <w:szCs w:val="20"/>
                <w:color w:val="auto"/>
              </w:rPr>
            </w:pPr>
            <w:r>
              <w:rPr>
                <w:rFonts w:ascii="Arial" w:cs="Arial" w:eastAsia="Arial" w:hAnsi="Arial"/>
                <w:sz w:val="15"/>
                <w:szCs w:val="15"/>
                <w:color w:val="auto"/>
                <w:w w:val="93"/>
              </w:rPr>
              <w:t>—</w:t>
            </w:r>
          </w:p>
        </w:tc>
        <w:tc>
          <w:tcPr>
            <w:tcW w:w="180" w:type="dxa"/>
            <w:vAlign w:val="bottom"/>
            <w:shd w:val="clear" w:color="auto" w:fill="EDEDEE"/>
          </w:tcPr>
          <w:p>
            <w:pPr>
              <w:jc w:val="center"/>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EDEDEE"/>
          </w:tcPr>
          <w:p>
            <w:pPr>
              <w:jc w:val="center"/>
              <w:ind w:left="527"/>
              <w:spacing w:after="0"/>
              <w:rPr>
                <w:sz w:val="20"/>
                <w:szCs w:val="20"/>
                <w:color w:val="auto"/>
              </w:rPr>
            </w:pPr>
            <w:r>
              <w:rPr>
                <w:rFonts w:ascii="Arial" w:cs="Arial" w:eastAsia="Arial" w:hAnsi="Arial"/>
                <w:sz w:val="15"/>
                <w:szCs w:val="15"/>
                <w:color w:val="auto"/>
              </w:rPr>
              <w:t>—</w:t>
            </w:r>
          </w:p>
        </w:tc>
        <w:tc>
          <w:tcPr>
            <w:tcW w:w="120" w:type="dxa"/>
            <w:vAlign w:val="bottom"/>
            <w:shd w:val="clear" w:color="auto" w:fill="EDEDEE"/>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EDEDEE"/>
          </w:tcPr>
          <w:p>
            <w:pPr>
              <w:ind w:left="560"/>
              <w:spacing w:after="0"/>
              <w:rPr>
                <w:sz w:val="20"/>
                <w:szCs w:val="20"/>
                <w:color w:val="auto"/>
              </w:rPr>
            </w:pPr>
            <w:r>
              <w:rPr>
                <w:rFonts w:ascii="Arial" w:cs="Arial" w:eastAsia="Arial" w:hAnsi="Arial"/>
                <w:sz w:val="15"/>
                <w:szCs w:val="15"/>
                <w:color w:val="auto"/>
              </w:rPr>
              <w:t>—</w:t>
            </w:r>
          </w:p>
        </w:tc>
        <w:tc>
          <w:tcPr>
            <w:tcW w:w="180" w:type="dxa"/>
            <w:vAlign w:val="bottom"/>
            <w:shd w:val="clear" w:color="auto" w:fill="EDEDEE"/>
          </w:tcPr>
          <w:p>
            <w:pPr>
              <w:jc w:val="center"/>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EDEDEE"/>
          </w:tcPr>
          <w:p>
            <w:pPr>
              <w:jc w:val="center"/>
              <w:ind w:left="527"/>
              <w:spacing w:after="0"/>
              <w:rPr>
                <w:sz w:val="20"/>
                <w:szCs w:val="20"/>
                <w:color w:val="auto"/>
              </w:rPr>
            </w:pPr>
            <w:r>
              <w:rPr>
                <w:rFonts w:ascii="Arial" w:cs="Arial" w:eastAsia="Arial" w:hAnsi="Arial"/>
                <w:sz w:val="15"/>
                <w:szCs w:val="15"/>
                <w:color w:val="auto"/>
              </w:rPr>
              <w:t>—</w:t>
            </w:r>
          </w:p>
        </w:tc>
        <w:tc>
          <w:tcPr>
            <w:tcW w:w="120" w:type="dxa"/>
            <w:vAlign w:val="bottom"/>
            <w:shd w:val="clear" w:color="auto" w:fill="EDEDEE"/>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EDEDEE"/>
          </w:tcPr>
          <w:p>
            <w:pPr>
              <w:jc w:val="center"/>
              <w:ind w:left="447"/>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EDEDEE"/>
          </w:tcPr>
          <w:p>
            <w:pPr>
              <w:jc w:val="center"/>
              <w:ind w:left="47"/>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EDEDEE"/>
          </w:tcPr>
          <w:p>
            <w:pPr>
              <w:jc w:val="center"/>
              <w:ind w:left="66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960" w:type="dxa"/>
            <w:vAlign w:val="bottom"/>
            <w:gridSpan w:val="3"/>
          </w:tcPr>
          <w:p>
            <w:pPr>
              <w:ind w:left="20"/>
              <w:spacing w:after="0" w:line="203" w:lineRule="exact"/>
              <w:rPr>
                <w:sz w:val="20"/>
                <w:szCs w:val="20"/>
                <w:color w:val="auto"/>
              </w:rPr>
            </w:pPr>
            <w:r>
              <w:rPr>
                <w:rFonts w:ascii="Arial" w:cs="Arial" w:eastAsia="Arial" w:hAnsi="Arial"/>
                <w:sz w:val="15"/>
                <w:szCs w:val="15"/>
                <w:b w:val="1"/>
                <w:bCs w:val="1"/>
                <w:i w:val="1"/>
                <w:iCs w:val="1"/>
                <w:color w:val="144F82"/>
              </w:rPr>
              <w:t>Derivative Liabilities:</w:t>
            </w:r>
            <w:r>
              <w:rPr>
                <w:rFonts w:ascii="Arial" w:cs="Arial" w:eastAsia="Arial" w:hAnsi="Arial"/>
                <w:sz w:val="19"/>
                <w:szCs w:val="19"/>
                <w:b w:val="1"/>
                <w:bCs w:val="1"/>
                <w:i w:val="1"/>
                <w:iCs w:val="1"/>
                <w:color w:val="144F82"/>
                <w:vertAlign w:val="superscript"/>
              </w:rPr>
              <w:t>(2)</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EDEDEE"/>
          </w:tcPr>
          <w:p>
            <w:pPr>
              <w:ind w:left="140"/>
              <w:spacing w:after="0" w:line="149" w:lineRule="exact"/>
              <w:rPr>
                <w:sz w:val="20"/>
                <w:szCs w:val="20"/>
                <w:color w:val="auto"/>
              </w:rPr>
            </w:pPr>
            <w:r>
              <w:rPr>
                <w:rFonts w:ascii="Arial" w:cs="Arial" w:eastAsia="Arial" w:hAnsi="Arial"/>
                <w:sz w:val="15"/>
                <w:szCs w:val="15"/>
                <w:color w:val="auto"/>
              </w:rPr>
              <w:t>Interest rate</w:t>
            </w:r>
          </w:p>
        </w:tc>
        <w:tc>
          <w:tcPr>
            <w:tcW w:w="960" w:type="dxa"/>
            <w:vAlign w:val="bottom"/>
            <w:gridSpan w:val="2"/>
            <w:shd w:val="clear" w:color="auto" w:fill="EDEDEE"/>
          </w:tcPr>
          <w:p>
            <w:pPr>
              <w:jc w:val="center"/>
              <w:ind w:right="80"/>
              <w:spacing w:after="0" w:line="149" w:lineRule="exact"/>
              <w:rPr>
                <w:sz w:val="20"/>
                <w:szCs w:val="20"/>
                <w:color w:val="auto"/>
              </w:rPr>
            </w:pPr>
            <w:r>
              <w:rPr>
                <w:rFonts w:ascii="Arial" w:cs="Arial" w:eastAsia="Arial" w:hAnsi="Arial"/>
                <w:sz w:val="15"/>
                <w:szCs w:val="15"/>
                <w:color w:val="auto"/>
              </w:rPr>
              <w:t>Interest</w:t>
            </w:r>
          </w:p>
        </w:tc>
        <w:tc>
          <w:tcPr>
            <w:tcW w:w="120" w:type="dxa"/>
            <w:vAlign w:val="bottom"/>
            <w:shd w:val="clear" w:color="auto" w:fill="EDEDEE"/>
          </w:tcPr>
          <w:p>
            <w:pPr>
              <w:spacing w:after="0"/>
              <w:rPr>
                <w:sz w:val="12"/>
                <w:szCs w:val="12"/>
                <w:color w:val="auto"/>
              </w:rPr>
            </w:pPr>
          </w:p>
        </w:tc>
        <w:tc>
          <w:tcPr>
            <w:tcW w:w="820" w:type="dxa"/>
            <w:vAlign w:val="bottom"/>
            <w:shd w:val="clear" w:color="auto" w:fill="EDEDEE"/>
          </w:tcPr>
          <w:p>
            <w:pPr>
              <w:spacing w:after="0"/>
              <w:rPr>
                <w:sz w:val="12"/>
                <w:szCs w:val="12"/>
                <w:color w:val="auto"/>
              </w:rPr>
            </w:pPr>
          </w:p>
        </w:tc>
        <w:tc>
          <w:tcPr>
            <w:tcW w:w="180" w:type="dxa"/>
            <w:vAlign w:val="bottom"/>
            <w:shd w:val="clear" w:color="auto" w:fill="EDEDEE"/>
          </w:tcPr>
          <w:p>
            <w:pPr>
              <w:spacing w:after="0"/>
              <w:rPr>
                <w:sz w:val="12"/>
                <w:szCs w:val="12"/>
                <w:color w:val="auto"/>
              </w:rPr>
            </w:pPr>
          </w:p>
        </w:tc>
        <w:tc>
          <w:tcPr>
            <w:tcW w:w="1000" w:type="dxa"/>
            <w:vAlign w:val="bottom"/>
            <w:shd w:val="clear" w:color="auto" w:fill="EDEDEE"/>
          </w:tcPr>
          <w:p>
            <w:pPr>
              <w:spacing w:after="0"/>
              <w:rPr>
                <w:sz w:val="12"/>
                <w:szCs w:val="12"/>
                <w:color w:val="auto"/>
              </w:rPr>
            </w:pPr>
          </w:p>
        </w:tc>
        <w:tc>
          <w:tcPr>
            <w:tcW w:w="120" w:type="dxa"/>
            <w:vAlign w:val="bottom"/>
            <w:shd w:val="clear" w:color="auto" w:fill="EDEDEE"/>
          </w:tcPr>
          <w:p>
            <w:pPr>
              <w:spacing w:after="0"/>
              <w:rPr>
                <w:sz w:val="12"/>
                <w:szCs w:val="12"/>
                <w:color w:val="auto"/>
              </w:rPr>
            </w:pPr>
          </w:p>
        </w:tc>
        <w:tc>
          <w:tcPr>
            <w:tcW w:w="120" w:type="dxa"/>
            <w:vAlign w:val="bottom"/>
            <w:shd w:val="clear" w:color="auto" w:fill="EDEDEE"/>
          </w:tcPr>
          <w:p>
            <w:pPr>
              <w:spacing w:after="0"/>
              <w:rPr>
                <w:sz w:val="12"/>
                <w:szCs w:val="12"/>
                <w:color w:val="auto"/>
              </w:rPr>
            </w:pPr>
          </w:p>
        </w:tc>
        <w:tc>
          <w:tcPr>
            <w:tcW w:w="840" w:type="dxa"/>
            <w:vAlign w:val="bottom"/>
            <w:shd w:val="clear" w:color="auto" w:fill="EDEDEE"/>
          </w:tcPr>
          <w:p>
            <w:pPr>
              <w:spacing w:after="0"/>
              <w:rPr>
                <w:sz w:val="12"/>
                <w:szCs w:val="12"/>
                <w:color w:val="auto"/>
              </w:rPr>
            </w:pPr>
          </w:p>
        </w:tc>
        <w:tc>
          <w:tcPr>
            <w:tcW w:w="180" w:type="dxa"/>
            <w:vAlign w:val="bottom"/>
            <w:shd w:val="clear" w:color="auto" w:fill="EDEDEE"/>
          </w:tcPr>
          <w:p>
            <w:pPr>
              <w:spacing w:after="0"/>
              <w:rPr>
                <w:sz w:val="12"/>
                <w:szCs w:val="12"/>
                <w:color w:val="auto"/>
              </w:rPr>
            </w:pPr>
          </w:p>
        </w:tc>
        <w:tc>
          <w:tcPr>
            <w:tcW w:w="1020" w:type="dxa"/>
            <w:vAlign w:val="bottom"/>
            <w:shd w:val="clear" w:color="auto" w:fill="EDEDEE"/>
          </w:tcPr>
          <w:p>
            <w:pPr>
              <w:spacing w:after="0"/>
              <w:rPr>
                <w:sz w:val="12"/>
                <w:szCs w:val="12"/>
                <w:color w:val="auto"/>
              </w:rPr>
            </w:pPr>
          </w:p>
        </w:tc>
        <w:tc>
          <w:tcPr>
            <w:tcW w:w="100" w:type="dxa"/>
            <w:vAlign w:val="bottom"/>
            <w:shd w:val="clear" w:color="auto" w:fill="EDEDEE"/>
          </w:tcPr>
          <w:p>
            <w:pPr>
              <w:spacing w:after="0"/>
              <w:rPr>
                <w:sz w:val="12"/>
                <w:szCs w:val="12"/>
                <w:color w:val="auto"/>
              </w:rPr>
            </w:pPr>
          </w:p>
        </w:tc>
        <w:tc>
          <w:tcPr>
            <w:tcW w:w="120" w:type="dxa"/>
            <w:vAlign w:val="bottom"/>
            <w:shd w:val="clear" w:color="auto" w:fill="EDEDEE"/>
          </w:tcPr>
          <w:p>
            <w:pPr>
              <w:spacing w:after="0"/>
              <w:rPr>
                <w:sz w:val="12"/>
                <w:szCs w:val="12"/>
                <w:color w:val="auto"/>
              </w:rPr>
            </w:pPr>
          </w:p>
        </w:tc>
        <w:tc>
          <w:tcPr>
            <w:tcW w:w="780" w:type="dxa"/>
            <w:vAlign w:val="bottom"/>
            <w:shd w:val="clear" w:color="auto" w:fill="EDEDEE"/>
          </w:tcPr>
          <w:p>
            <w:pPr>
              <w:spacing w:after="0"/>
              <w:rPr>
                <w:sz w:val="12"/>
                <w:szCs w:val="12"/>
                <w:color w:val="auto"/>
              </w:rPr>
            </w:pPr>
          </w:p>
        </w:tc>
        <w:tc>
          <w:tcPr>
            <w:tcW w:w="240" w:type="dxa"/>
            <w:vAlign w:val="bottom"/>
            <w:shd w:val="clear" w:color="auto" w:fill="EDEDEE"/>
          </w:tcPr>
          <w:p>
            <w:pPr>
              <w:spacing w:after="0"/>
              <w:rPr>
                <w:sz w:val="12"/>
                <w:szCs w:val="12"/>
                <w:color w:val="auto"/>
              </w:rPr>
            </w:pPr>
          </w:p>
        </w:tc>
        <w:tc>
          <w:tcPr>
            <w:tcW w:w="1020" w:type="dxa"/>
            <w:vAlign w:val="bottom"/>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000" w:type="dxa"/>
            <w:vAlign w:val="bottom"/>
            <w:shd w:val="clear" w:color="auto" w:fill="EDEDEE"/>
          </w:tcPr>
          <w:p>
            <w:pPr>
              <w:ind w:left="140"/>
              <w:spacing w:after="0"/>
              <w:rPr>
                <w:sz w:val="20"/>
                <w:szCs w:val="20"/>
                <w:color w:val="auto"/>
              </w:rPr>
            </w:pPr>
            <w:r>
              <w:rPr>
                <w:rFonts w:ascii="Arial" w:cs="Arial" w:eastAsia="Arial" w:hAnsi="Arial"/>
                <w:sz w:val="15"/>
                <w:szCs w:val="15"/>
                <w:color w:val="auto"/>
              </w:rPr>
              <w:t>swaps</w:t>
            </w:r>
          </w:p>
        </w:tc>
        <w:tc>
          <w:tcPr>
            <w:tcW w:w="960" w:type="dxa"/>
            <w:vAlign w:val="bottom"/>
            <w:gridSpan w:val="2"/>
            <w:shd w:val="clear" w:color="auto" w:fill="EDEDEE"/>
          </w:tcPr>
          <w:p>
            <w:pPr>
              <w:jc w:val="center"/>
              <w:ind w:right="100"/>
              <w:spacing w:after="0"/>
              <w:rPr>
                <w:sz w:val="20"/>
                <w:szCs w:val="20"/>
                <w:color w:val="auto"/>
              </w:rPr>
            </w:pPr>
            <w:r>
              <w:rPr>
                <w:rFonts w:ascii="Arial" w:cs="Arial" w:eastAsia="Arial" w:hAnsi="Arial"/>
                <w:sz w:val="15"/>
                <w:szCs w:val="15"/>
                <w:color w:val="auto"/>
              </w:rPr>
              <w:t>rate</w:t>
            </w:r>
          </w:p>
        </w:tc>
        <w:tc>
          <w:tcPr>
            <w:tcW w:w="120" w:type="dxa"/>
            <w:vAlign w:val="bottom"/>
            <w:tcBorders>
              <w:bottom w:val="single" w:sz="8" w:color="auto"/>
            </w:tcBorders>
            <w:shd w:val="clear" w:color="auto" w:fill="EDEDEE"/>
          </w:tcPr>
          <w:p>
            <w:pPr>
              <w:spacing w:after="0"/>
              <w:rPr>
                <w:sz w:val="18"/>
                <w:szCs w:val="18"/>
                <w:color w:val="auto"/>
              </w:rPr>
            </w:pPr>
          </w:p>
        </w:tc>
        <w:tc>
          <w:tcPr>
            <w:tcW w:w="820" w:type="dxa"/>
            <w:vAlign w:val="bottom"/>
            <w:tcBorders>
              <w:bottom w:val="single" w:sz="8" w:color="auto"/>
            </w:tcBorders>
            <w:shd w:val="clear" w:color="auto" w:fill="EDEDEE"/>
          </w:tcPr>
          <w:p>
            <w:pPr>
              <w:jc w:val="center"/>
              <w:ind w:left="328"/>
              <w:spacing w:after="0"/>
              <w:rPr>
                <w:sz w:val="20"/>
                <w:szCs w:val="20"/>
                <w:color w:val="auto"/>
              </w:rPr>
            </w:pPr>
            <w:r>
              <w:rPr>
                <w:rFonts w:ascii="Arial" w:cs="Arial" w:eastAsia="Arial" w:hAnsi="Arial"/>
                <w:sz w:val="15"/>
                <w:szCs w:val="15"/>
                <w:color w:val="auto"/>
                <w:w w:val="97"/>
              </w:rPr>
              <w:t>(21)</w:t>
            </w:r>
          </w:p>
        </w:tc>
        <w:tc>
          <w:tcPr>
            <w:tcW w:w="18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center"/>
              <w:ind w:left="607"/>
              <w:spacing w:after="0"/>
              <w:rPr>
                <w:sz w:val="20"/>
                <w:szCs w:val="20"/>
                <w:color w:val="auto"/>
              </w:rPr>
            </w:pPr>
            <w:r>
              <w:rPr>
                <w:rFonts w:ascii="Arial" w:cs="Arial" w:eastAsia="Arial" w:hAnsi="Arial"/>
                <w:sz w:val="15"/>
                <w:szCs w:val="15"/>
                <w:color w:val="auto"/>
              </w:rPr>
              <w:t>(19)</w:t>
            </w:r>
          </w:p>
        </w:tc>
        <w:tc>
          <w:tcPr>
            <w:tcW w:w="120" w:type="dxa"/>
            <w:vAlign w:val="bottom"/>
            <w:tcBorders>
              <w:bottom w:val="single" w:sz="8" w:color="auto"/>
            </w:tcBorders>
            <w:shd w:val="clear" w:color="auto" w:fill="EDEDEE"/>
          </w:tcPr>
          <w:p>
            <w:pPr>
              <w:spacing w:after="0"/>
              <w:rPr>
                <w:sz w:val="18"/>
                <w:szCs w:val="18"/>
                <w:color w:val="auto"/>
              </w:rPr>
            </w:pPr>
          </w:p>
        </w:tc>
        <w:tc>
          <w:tcPr>
            <w:tcW w:w="120" w:type="dxa"/>
            <w:vAlign w:val="bottom"/>
            <w:tcBorders>
              <w:bottom w:val="single" w:sz="8" w:color="auto"/>
            </w:tcBorders>
            <w:shd w:val="clear" w:color="auto" w:fill="EDEDEE"/>
          </w:tcPr>
          <w:p>
            <w:pPr>
              <w:spacing w:after="0"/>
              <w:rPr>
                <w:sz w:val="18"/>
                <w:szCs w:val="18"/>
                <w:color w:val="auto"/>
              </w:rPr>
            </w:pPr>
          </w:p>
        </w:tc>
        <w:tc>
          <w:tcPr>
            <w:tcW w:w="840" w:type="dxa"/>
            <w:vAlign w:val="bottom"/>
            <w:tcBorders>
              <w:bottom w:val="single" w:sz="8" w:color="auto"/>
            </w:tcBorders>
            <w:shd w:val="clear" w:color="auto" w:fill="EDEDEE"/>
          </w:tcPr>
          <w:p>
            <w:pPr>
              <w:ind w:left="580"/>
              <w:spacing w:after="0"/>
              <w:rPr>
                <w:sz w:val="20"/>
                <w:szCs w:val="20"/>
                <w:color w:val="auto"/>
              </w:rPr>
            </w:pPr>
            <w:r>
              <w:rPr>
                <w:rFonts w:ascii="Arial" w:cs="Arial" w:eastAsia="Arial" w:hAnsi="Arial"/>
                <w:sz w:val="15"/>
                <w:szCs w:val="15"/>
                <w:color w:val="auto"/>
              </w:rPr>
              <w:t>(2)</w:t>
            </w:r>
          </w:p>
        </w:tc>
        <w:tc>
          <w:tcPr>
            <w:tcW w:w="180" w:type="dxa"/>
            <w:vAlign w:val="bottom"/>
            <w:tcBorders>
              <w:bottom w:val="single" w:sz="8" w:color="auto"/>
            </w:tcBorders>
            <w:shd w:val="clear" w:color="auto" w:fill="EDEDEE"/>
          </w:tcPr>
          <w:p>
            <w:pPr>
              <w:spacing w:after="0"/>
              <w:rPr>
                <w:sz w:val="18"/>
                <w:szCs w:val="18"/>
                <w:color w:val="auto"/>
              </w:rPr>
            </w:pPr>
          </w:p>
        </w:tc>
        <w:tc>
          <w:tcPr>
            <w:tcW w:w="1020" w:type="dxa"/>
            <w:vAlign w:val="bottom"/>
            <w:tcBorders>
              <w:bottom w:val="single" w:sz="8" w:color="auto"/>
            </w:tcBorders>
            <w:shd w:val="clear" w:color="auto" w:fill="EDEDEE"/>
          </w:tcPr>
          <w:p>
            <w:pPr>
              <w:jc w:val="center"/>
              <w:ind w:left="607"/>
              <w:spacing w:after="0"/>
              <w:rPr>
                <w:sz w:val="20"/>
                <w:szCs w:val="20"/>
                <w:color w:val="auto"/>
              </w:rPr>
            </w:pPr>
            <w:r>
              <w:rPr>
                <w:rFonts w:ascii="Arial" w:cs="Arial" w:eastAsia="Arial" w:hAnsi="Arial"/>
                <w:sz w:val="15"/>
                <w:szCs w:val="15"/>
                <w:color w:val="auto"/>
                <w:w w:val="97"/>
              </w:rPr>
              <w:t>(21)</w:t>
            </w:r>
          </w:p>
        </w:tc>
        <w:tc>
          <w:tcPr>
            <w:tcW w:w="100" w:type="dxa"/>
            <w:vAlign w:val="bottom"/>
            <w:tcBorders>
              <w:bottom w:val="single" w:sz="8" w:color="auto"/>
            </w:tcBorders>
            <w:shd w:val="clear" w:color="auto" w:fill="EDEDEE"/>
          </w:tcPr>
          <w:p>
            <w:pPr>
              <w:spacing w:after="0"/>
              <w:rPr>
                <w:sz w:val="18"/>
                <w:szCs w:val="18"/>
                <w:color w:val="auto"/>
              </w:rPr>
            </w:pPr>
          </w:p>
        </w:tc>
        <w:tc>
          <w:tcPr>
            <w:tcW w:w="120" w:type="dxa"/>
            <w:vAlign w:val="bottom"/>
            <w:tcBorders>
              <w:bottom w:val="single" w:sz="8" w:color="auto"/>
            </w:tcBorders>
            <w:shd w:val="clear" w:color="auto" w:fill="EDEDEE"/>
          </w:tcPr>
          <w:p>
            <w:pPr>
              <w:spacing w:after="0"/>
              <w:rPr>
                <w:sz w:val="18"/>
                <w:szCs w:val="18"/>
                <w:color w:val="auto"/>
              </w:rPr>
            </w:pPr>
          </w:p>
        </w:tc>
        <w:tc>
          <w:tcPr>
            <w:tcW w:w="780" w:type="dxa"/>
            <w:vAlign w:val="bottom"/>
            <w:tcBorders>
              <w:bottom w:val="single" w:sz="8" w:color="auto"/>
            </w:tcBorders>
            <w:shd w:val="clear" w:color="auto" w:fill="EDEDEE"/>
          </w:tcPr>
          <w:p>
            <w:pPr>
              <w:jc w:val="center"/>
              <w:ind w:left="427"/>
              <w:spacing w:after="0"/>
              <w:rPr>
                <w:sz w:val="20"/>
                <w:szCs w:val="20"/>
                <w:color w:val="auto"/>
              </w:rPr>
            </w:pPr>
            <w:r>
              <w:rPr>
                <w:rFonts w:ascii="Arial" w:cs="Arial" w:eastAsia="Arial" w:hAnsi="Arial"/>
                <w:sz w:val="15"/>
                <w:szCs w:val="15"/>
                <w:color w:val="auto"/>
              </w:rPr>
              <w:t>(23)</w:t>
            </w:r>
          </w:p>
        </w:tc>
        <w:tc>
          <w:tcPr>
            <w:tcW w:w="240" w:type="dxa"/>
            <w:vAlign w:val="bottom"/>
            <w:tcBorders>
              <w:bottom w:val="single" w:sz="8" w:color="auto"/>
            </w:tcBorders>
            <w:shd w:val="clear" w:color="auto" w:fill="EDEDEE"/>
          </w:tcPr>
          <w:p>
            <w:pPr>
              <w:spacing w:after="0"/>
              <w:rPr>
                <w:sz w:val="18"/>
                <w:szCs w:val="18"/>
                <w:color w:val="auto"/>
              </w:rPr>
            </w:pPr>
          </w:p>
        </w:tc>
        <w:tc>
          <w:tcPr>
            <w:tcW w:w="1020" w:type="dxa"/>
            <w:vAlign w:val="bottom"/>
            <w:tcBorders>
              <w:bottom w:val="single" w:sz="8" w:color="auto"/>
            </w:tcBorders>
            <w:shd w:val="clear" w:color="auto" w:fill="EDEDEE"/>
          </w:tcPr>
          <w:p>
            <w:pPr>
              <w:jc w:val="center"/>
              <w:ind w:left="627"/>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9"/>
        </w:trPr>
        <w:tc>
          <w:tcPr>
            <w:tcW w:w="1960" w:type="dxa"/>
            <w:vAlign w:val="bottom"/>
            <w:gridSpan w:val="3"/>
          </w:tcPr>
          <w:p>
            <w:pPr>
              <w:ind w:left="20"/>
              <w:spacing w:after="0"/>
              <w:rPr>
                <w:sz w:val="20"/>
                <w:szCs w:val="20"/>
                <w:color w:val="auto"/>
              </w:rPr>
            </w:pPr>
            <w:r>
              <w:rPr>
                <w:rFonts w:ascii="Arial" w:cs="Arial" w:eastAsia="Arial" w:hAnsi="Arial"/>
                <w:sz w:val="15"/>
                <w:szCs w:val="15"/>
                <w:b w:val="1"/>
                <w:bCs w:val="1"/>
                <w:color w:val="144F82"/>
              </w:rPr>
              <w:t>Total net derivatives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center"/>
              <w:ind w:left="328"/>
              <w:spacing w:after="0"/>
              <w:rPr>
                <w:sz w:val="20"/>
                <w:szCs w:val="20"/>
                <w:color w:val="auto"/>
              </w:rPr>
            </w:pPr>
            <w:r>
              <w:rPr>
                <w:rFonts w:ascii="Arial" w:cs="Arial" w:eastAsia="Arial" w:hAnsi="Arial"/>
                <w:sz w:val="15"/>
                <w:szCs w:val="15"/>
                <w:color w:val="auto"/>
                <w:w w:val="97"/>
              </w:rPr>
              <w:t>(21)</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center"/>
              <w:ind w:left="607"/>
              <w:spacing w:after="0"/>
              <w:rPr>
                <w:sz w:val="20"/>
                <w:szCs w:val="20"/>
                <w:color w:val="auto"/>
              </w:rPr>
            </w:pPr>
            <w:r>
              <w:rPr>
                <w:rFonts w:ascii="Arial" w:cs="Arial" w:eastAsia="Arial" w:hAnsi="Arial"/>
                <w:sz w:val="15"/>
                <w:szCs w:val="15"/>
                <w:color w:val="auto"/>
              </w:rPr>
              <w:t>(19)</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(2)</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center"/>
              <w:ind w:left="607"/>
              <w:spacing w:after="0"/>
              <w:rPr>
                <w:sz w:val="20"/>
                <w:szCs w:val="20"/>
                <w:color w:val="auto"/>
              </w:rPr>
            </w:pPr>
            <w:r>
              <w:rPr>
                <w:rFonts w:ascii="Arial" w:cs="Arial" w:eastAsia="Arial" w:hAnsi="Arial"/>
                <w:sz w:val="15"/>
                <w:szCs w:val="15"/>
                <w:color w:val="auto"/>
                <w:w w:val="97"/>
              </w:rPr>
              <w:t>(21)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center"/>
              <w:ind w:left="427"/>
              <w:spacing w:after="0"/>
              <w:rPr>
                <w:sz w:val="20"/>
                <w:szCs w:val="20"/>
                <w:color w:val="auto"/>
              </w:rPr>
            </w:pPr>
            <w:r>
              <w:rPr>
                <w:rFonts w:ascii="Arial" w:cs="Arial" w:eastAsia="Arial" w:hAnsi="Arial"/>
                <w:sz w:val="15"/>
                <w:szCs w:val="15"/>
                <w:color w:val="auto"/>
              </w:rPr>
              <w:t>(23)</w:t>
            </w:r>
          </w:p>
        </w:tc>
        <w:tc>
          <w:tcPr>
            <w:tcW w:w="240" w:type="dxa"/>
            <w:vAlign w:val="bottom"/>
            <w:tcBorders>
              <w:bottom w:val="single" w:sz="8" w:color="auto"/>
            </w:tcBorders>
          </w:tcPr>
          <w:p>
            <w:pPr>
              <w:jc w:val="center"/>
              <w:ind w:left="4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center"/>
              <w:ind w:left="627"/>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1380" w:right="900" w:hanging="238"/>
        <w:spacing w:after="0" w:line="252" w:lineRule="auto"/>
        <w:tabs>
          <w:tab w:leader="none" w:pos="1281"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color w:val="auto"/>
        </w:rPr>
        <w:t>Fair values reported include variation margin as legal settlement of the derivative contract. Assets and liabilities are presented without consideration of master netting agreements. Derivatives are carried on the balance sheet based on net position by counterparty under master netting agreements and classified in other assets or other liabilities depending on whether in a net positive or negative position.</w:t>
      </w:r>
    </w:p>
    <w:p>
      <w:pPr>
        <w:spacing w:after="0" w:line="25" w:lineRule="exact"/>
        <w:rPr>
          <w:rFonts w:ascii="Arial" w:cs="Arial" w:eastAsia="Arial" w:hAnsi="Arial"/>
          <w:sz w:val="16"/>
          <w:szCs w:val="16"/>
          <w:color w:val="auto"/>
          <w:vertAlign w:val="superscript"/>
        </w:rPr>
      </w:pPr>
    </w:p>
    <w:p>
      <w:pPr>
        <w:ind w:left="1280" w:hanging="138"/>
        <w:spacing w:after="0"/>
        <w:tabs>
          <w:tab w:leader="none" w:pos="1280"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color w:val="auto"/>
        </w:rPr>
        <w:t>The following table reconciles gross positions with the impact of master netting agreements to the balance sheet classification:</w:t>
      </w:r>
    </w:p>
    <w:p>
      <w:pPr>
        <w:spacing w:after="0" w:line="195" w:lineRule="exact"/>
        <w:rPr>
          <w:sz w:val="20"/>
          <w:szCs w:val="20"/>
          <w:color w:val="auto"/>
        </w:rPr>
      </w:pPr>
    </w:p>
    <w:tbl>
      <w:tblPr>
        <w:tblLayout w:type="fixed"/>
        <w:tblInd w:w="1580" w:type="dxa"/>
        <w:tblCellMar>
          <w:top w:w="0" w:type="dxa"/>
          <w:left w:w="0" w:type="dxa"/>
          <w:bottom w:w="0" w:type="dxa"/>
          <w:right w:w="0" w:type="dxa"/>
        </w:tblCellMar>
      </w:tblPr>
      <w:tr>
        <w:trPr>
          <w:trHeight w:val="215"/>
        </w:trPr>
        <w:tc>
          <w:tcPr>
            <w:tcW w:w="2960" w:type="dxa"/>
            <w:vAlign w:val="bottom"/>
            <w:tcBorders>
              <w:top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144F82"/>
              </w:rPr>
              <w:t>Other Assets</w:t>
            </w:r>
          </w:p>
        </w:tc>
        <w:tc>
          <w:tcPr>
            <w:tcW w:w="80" w:type="dxa"/>
            <w:vAlign w:val="bottom"/>
            <w:tcBorders>
              <w:top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144F82"/>
              </w:rPr>
              <w:t>Other Liabilities</w:t>
            </w:r>
          </w:p>
        </w:tc>
      </w:tr>
      <w:tr>
        <w:trPr>
          <w:trHeight w:val="195"/>
        </w:trPr>
        <w:tc>
          <w:tcPr>
            <w:tcW w:w="29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144F82"/>
              </w:rPr>
              <w:t>March 31,</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144F82"/>
              </w:rPr>
              <w:t>December 31,</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144F82"/>
              </w:rPr>
              <w:t>March 31,</w:t>
            </w:r>
          </w:p>
        </w:tc>
        <w:tc>
          <w:tcPr>
            <w:tcW w:w="1240" w:type="dxa"/>
            <w:vAlign w:val="bottom"/>
          </w:tcPr>
          <w:p>
            <w:pPr>
              <w:jc w:val="center"/>
              <w:ind w:left="10"/>
              <w:spacing w:after="0"/>
              <w:rPr>
                <w:sz w:val="20"/>
                <w:szCs w:val="20"/>
                <w:color w:val="auto"/>
              </w:rPr>
            </w:pPr>
            <w:r>
              <w:rPr>
                <w:rFonts w:ascii="Arial" w:cs="Arial" w:eastAsia="Arial" w:hAnsi="Arial"/>
                <w:sz w:val="14"/>
                <w:szCs w:val="14"/>
                <w:b w:val="1"/>
                <w:bCs w:val="1"/>
                <w:color w:val="144F82"/>
              </w:rPr>
              <w:t>December 31,</w:t>
            </w:r>
          </w:p>
        </w:tc>
      </w:tr>
      <w:tr>
        <w:trPr>
          <w:trHeight w:val="187"/>
        </w:trPr>
        <w:tc>
          <w:tcPr>
            <w:tcW w:w="2960" w:type="dxa"/>
            <w:vAlign w:val="bottom"/>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020" w:type="dxa"/>
            <w:vAlign w:val="bottom"/>
          </w:tcPr>
          <w:p>
            <w:pPr>
              <w:jc w:val="right"/>
              <w:ind w:right="310"/>
              <w:spacing w:after="0"/>
              <w:rPr>
                <w:sz w:val="20"/>
                <w:szCs w:val="20"/>
                <w:color w:val="auto"/>
              </w:rPr>
            </w:pPr>
            <w:r>
              <w:rPr>
                <w:rFonts w:ascii="Arial" w:cs="Arial" w:eastAsia="Arial" w:hAnsi="Arial"/>
                <w:sz w:val="13"/>
                <w:szCs w:val="13"/>
                <w:b w:val="1"/>
                <w:bCs w:val="1"/>
                <w:color w:val="144F82"/>
              </w:rPr>
              <w:t>2025</w:t>
            </w:r>
          </w:p>
        </w:tc>
        <w:tc>
          <w:tcPr>
            <w:tcW w:w="1260" w:type="dxa"/>
            <w:vAlign w:val="bottom"/>
          </w:tcPr>
          <w:p>
            <w:pPr>
              <w:jc w:val="right"/>
              <w:ind w:right="370"/>
              <w:spacing w:after="0"/>
              <w:rPr>
                <w:sz w:val="20"/>
                <w:szCs w:val="20"/>
                <w:color w:val="auto"/>
              </w:rPr>
            </w:pPr>
            <w:r>
              <w:rPr>
                <w:rFonts w:ascii="Arial" w:cs="Arial" w:eastAsia="Arial" w:hAnsi="Arial"/>
                <w:sz w:val="13"/>
                <w:szCs w:val="13"/>
                <w:b w:val="1"/>
                <w:bCs w:val="1"/>
                <w:color w:val="144F82"/>
              </w:rPr>
              <w:t>2024</w:t>
            </w:r>
          </w:p>
        </w:tc>
        <w:tc>
          <w:tcPr>
            <w:tcW w:w="80" w:type="dxa"/>
            <w:vAlign w:val="bottom"/>
          </w:tcPr>
          <w:p>
            <w:pPr>
              <w:spacing w:after="0"/>
              <w:rPr>
                <w:sz w:val="16"/>
                <w:szCs w:val="16"/>
                <w:color w:val="auto"/>
              </w:rPr>
            </w:pPr>
          </w:p>
        </w:tc>
        <w:tc>
          <w:tcPr>
            <w:tcW w:w="1040" w:type="dxa"/>
            <w:vAlign w:val="bottom"/>
          </w:tcPr>
          <w:p>
            <w:pPr>
              <w:jc w:val="right"/>
              <w:ind w:right="310"/>
              <w:spacing w:after="0"/>
              <w:rPr>
                <w:sz w:val="20"/>
                <w:szCs w:val="20"/>
                <w:color w:val="auto"/>
              </w:rPr>
            </w:pPr>
            <w:r>
              <w:rPr>
                <w:rFonts w:ascii="Arial" w:cs="Arial" w:eastAsia="Arial" w:hAnsi="Arial"/>
                <w:sz w:val="13"/>
                <w:szCs w:val="13"/>
                <w:b w:val="1"/>
                <w:bCs w:val="1"/>
                <w:color w:val="144F82"/>
              </w:rPr>
              <w:t>2025</w:t>
            </w:r>
          </w:p>
        </w:tc>
        <w:tc>
          <w:tcPr>
            <w:tcW w:w="1240" w:type="dxa"/>
            <w:vAlign w:val="bottom"/>
          </w:tcPr>
          <w:p>
            <w:pPr>
              <w:jc w:val="right"/>
              <w:ind w:right="350"/>
              <w:spacing w:after="0"/>
              <w:rPr>
                <w:sz w:val="20"/>
                <w:szCs w:val="20"/>
                <w:color w:val="auto"/>
              </w:rPr>
            </w:pPr>
            <w:r>
              <w:rPr>
                <w:rFonts w:ascii="Arial" w:cs="Arial" w:eastAsia="Arial" w:hAnsi="Arial"/>
                <w:sz w:val="13"/>
                <w:szCs w:val="13"/>
                <w:b w:val="1"/>
                <w:bCs w:val="1"/>
                <w:color w:val="144F82"/>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2540</wp:posOffset>
            </wp:positionV>
            <wp:extent cx="481774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17745" cy="137160"/>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p>
      <w:pPr>
        <w:spacing w:after="0" w:line="22"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Gross position</w:t>
      </w:r>
      <w:r>
        <w:rPr>
          <w:rFonts w:ascii="Arial" w:cs="Arial" w:eastAsia="Arial" w:hAnsi="Arial"/>
          <w:sz w:val="9"/>
          <w:szCs w:val="9"/>
          <w:color w:val="auto"/>
        </w:rPr>
        <w:t>(1)</w:t>
      </w:r>
    </w:p>
    <w:p>
      <w:pPr>
        <w:spacing w:after="0" w:line="42"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Impact of master netting agreement</w:t>
      </w:r>
    </w:p>
    <w:p>
      <w:pPr>
        <w:spacing w:after="0" w:line="42" w:lineRule="exact"/>
        <w:rPr>
          <w:sz w:val="20"/>
          <w:szCs w:val="20"/>
          <w:color w:val="auto"/>
        </w:rPr>
      </w:pPr>
    </w:p>
    <w:p>
      <w:pPr>
        <w:ind w:left="1600"/>
        <w:spacing w:after="0" w:line="241" w:lineRule="auto"/>
        <w:rPr>
          <w:sz w:val="20"/>
          <w:szCs w:val="20"/>
          <w:color w:val="auto"/>
        </w:rPr>
      </w:pPr>
      <w:r>
        <w:rPr>
          <w:rFonts w:ascii="Arial" w:cs="Arial" w:eastAsia="Arial" w:hAnsi="Arial"/>
          <w:sz w:val="14"/>
          <w:szCs w:val="14"/>
          <w:color w:val="auto"/>
        </w:rPr>
        <w:t>Derivative values with impact of master netting agreements (as carried on balance sheet)</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Cash collateral pledged</w:t>
      </w:r>
      <w:r>
        <w:rPr>
          <w:rFonts w:ascii="Arial" w:cs="Arial" w:eastAsia="Arial" w:hAnsi="Arial"/>
          <w:sz w:val="19"/>
          <w:szCs w:val="19"/>
          <w:color w:val="auto"/>
          <w:vertAlign w:val="superscript"/>
        </w:rPr>
        <w:t>(2)</w:t>
      </w:r>
    </w:p>
    <w:p>
      <w:pPr>
        <w:spacing w:after="0" w:line="38"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Net position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Pr>
          <w:p>
            <w:pPr>
              <w:jc w:val="center"/>
              <w:ind w:left="168"/>
              <w:spacing w:after="0"/>
              <w:rPr>
                <w:sz w:val="20"/>
                <w:szCs w:val="20"/>
                <w:color w:val="auto"/>
              </w:rPr>
            </w:pPr>
            <w:r>
              <w:rPr>
                <w:rFonts w:ascii="Arial" w:cs="Arial" w:eastAsia="Arial" w:hAnsi="Arial"/>
                <w:sz w:val="14"/>
                <w:szCs w:val="14"/>
                <w:color w:val="auto"/>
              </w:rPr>
              <w:t>(23)</w:t>
            </w:r>
          </w:p>
        </w:tc>
        <w:tc>
          <w:tcPr>
            <w:tcW w:w="5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Pr>
          <w:p>
            <w:pPr>
              <w:jc w:val="center"/>
              <w:ind w:left="288"/>
              <w:spacing w:after="0"/>
              <w:rPr>
                <w:sz w:val="20"/>
                <w:szCs w:val="20"/>
                <w:color w:val="auto"/>
              </w:rPr>
            </w:pPr>
            <w:r>
              <w:rPr>
                <w:rFonts w:ascii="Arial" w:cs="Arial" w:eastAsia="Arial" w:hAnsi="Arial"/>
                <w:sz w:val="14"/>
                <w:szCs w:val="14"/>
                <w:color w:val="auto"/>
                <w:w w:val="96"/>
              </w:rPr>
              <w:t>(40)</w:t>
            </w:r>
          </w:p>
        </w:tc>
      </w:tr>
      <w:tr>
        <w:trPr>
          <w:trHeight w:val="207"/>
        </w:trPr>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9"/>
              </w:rPr>
              <w:t>—</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9"/>
              </w:rPr>
              <w:t>—</w:t>
            </w:r>
          </w:p>
        </w:tc>
      </w:tr>
      <w:tr>
        <w:trPr>
          <w:trHeight w:val="462"/>
        </w:trPr>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660" w:type="dxa"/>
            <w:vAlign w:val="bottom"/>
          </w:tcPr>
          <w:p>
            <w:pPr>
              <w:jc w:val="center"/>
              <w:ind w:left="168"/>
              <w:spacing w:after="0"/>
              <w:rPr>
                <w:sz w:val="20"/>
                <w:szCs w:val="20"/>
                <w:color w:val="auto"/>
              </w:rPr>
            </w:pPr>
            <w:r>
              <w:rPr>
                <w:rFonts w:ascii="Arial" w:cs="Arial" w:eastAsia="Arial" w:hAnsi="Arial"/>
                <w:sz w:val="14"/>
                <w:szCs w:val="14"/>
                <w:color w:val="auto"/>
              </w:rPr>
              <w:t>(23)</w:t>
            </w:r>
          </w:p>
        </w:tc>
        <w:tc>
          <w:tcPr>
            <w:tcW w:w="520" w:type="dxa"/>
            <w:vAlign w:val="bottom"/>
          </w:tcPr>
          <w:p>
            <w:pPr>
              <w:spacing w:after="0"/>
              <w:rPr>
                <w:sz w:val="24"/>
                <w:szCs w:val="24"/>
                <w:color w:val="auto"/>
              </w:rPr>
            </w:pPr>
          </w:p>
        </w:tc>
        <w:tc>
          <w:tcPr>
            <w:tcW w:w="680" w:type="dxa"/>
            <w:vAlign w:val="bottom"/>
          </w:tcPr>
          <w:p>
            <w:pPr>
              <w:jc w:val="center"/>
              <w:ind w:left="288"/>
              <w:spacing w:after="0"/>
              <w:rPr>
                <w:sz w:val="20"/>
                <w:szCs w:val="20"/>
                <w:color w:val="auto"/>
              </w:rPr>
            </w:pPr>
            <w:r>
              <w:rPr>
                <w:rFonts w:ascii="Arial" w:cs="Arial" w:eastAsia="Arial" w:hAnsi="Arial"/>
                <w:sz w:val="14"/>
                <w:szCs w:val="14"/>
                <w:color w:val="auto"/>
                <w:w w:val="96"/>
              </w:rPr>
              <w:t>(40)</w:t>
            </w:r>
          </w:p>
        </w:tc>
      </w:tr>
      <w:tr>
        <w:trPr>
          <w:trHeight w:val="206"/>
        </w:trPr>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3,382</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4,879</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9"/>
              </w:rPr>
              <w:t>—</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9"/>
              </w:rPr>
              <w:t>—</w:t>
            </w:r>
          </w:p>
        </w:tc>
      </w:tr>
      <w:tr>
        <w:trPr>
          <w:trHeight w:val="196"/>
        </w:trPr>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3,382</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4,879</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(23)</w:t>
            </w:r>
          </w:p>
        </w:tc>
        <w:tc>
          <w:tcPr>
            <w:tcW w:w="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w w:val="96"/>
              </w:rPr>
              <w:t>(40)</w:t>
            </w:r>
          </w:p>
        </w:tc>
      </w:tr>
      <w:tr>
        <w:trPr>
          <w:trHeight w:val="25"/>
        </w:trPr>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-607695</wp:posOffset>
            </wp:positionV>
            <wp:extent cx="4817745"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17745" cy="30861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-170815</wp:posOffset>
            </wp:positionV>
            <wp:extent cx="481774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1774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240"/>
            <w:col w:w="6640"/>
          </w:cols>
          <w:pgMar w:left="320" w:top="512" w:right="399" w:bottom="1440" w:gutter="0" w:footer="0" w:header="0"/>
          <w:type w:val="continuous"/>
        </w:sectPr>
      </w:pPr>
    </w:p>
    <w:p>
      <w:pPr>
        <w:spacing w:after="0" w:line="92" w:lineRule="exact"/>
        <w:rPr>
          <w:sz w:val="20"/>
          <w:szCs w:val="20"/>
          <w:color w:val="auto"/>
        </w:rPr>
      </w:pPr>
    </w:p>
    <w:p>
      <w:pPr>
        <w:ind w:left="1780" w:hanging="152"/>
        <w:spacing w:after="0"/>
        <w:tabs>
          <w:tab w:leader="none" w:pos="1780" w:val="left"/>
        </w:tabs>
        <w:numPr>
          <w:ilvl w:val="0"/>
          <w:numId w:val="42"/>
        </w:numPr>
        <w:rPr>
          <w:rFonts w:ascii="Arial" w:cs="Arial" w:eastAsia="Arial" w:hAnsi="Arial"/>
          <w:sz w:val="18"/>
          <w:szCs w:val="18"/>
          <w:color w:val="auto"/>
          <w:vertAlign w:val="superscript"/>
        </w:rPr>
      </w:pPr>
      <w:r>
        <w:rPr>
          <w:rFonts w:ascii="Arial" w:cs="Arial" w:eastAsia="Arial" w:hAnsi="Arial"/>
          <w:sz w:val="13"/>
          <w:szCs w:val="13"/>
          <w:color w:val="auto"/>
        </w:rPr>
        <w:t>Gross position amounts include accrued interest and variation margin as legal settlement of the derivative contract.</w:t>
      </w:r>
    </w:p>
    <w:p>
      <w:pPr>
        <w:ind w:left="1780" w:hanging="152"/>
        <w:spacing w:after="0" w:line="190" w:lineRule="auto"/>
        <w:tabs>
          <w:tab w:leader="none" w:pos="1780" w:val="left"/>
        </w:tabs>
        <w:numPr>
          <w:ilvl w:val="0"/>
          <w:numId w:val="42"/>
        </w:numPr>
        <w:rPr>
          <w:rFonts w:ascii="Arial" w:cs="Arial" w:eastAsia="Arial" w:hAnsi="Arial"/>
          <w:sz w:val="18"/>
          <w:szCs w:val="18"/>
          <w:color w:val="auto"/>
          <w:vertAlign w:val="superscript"/>
        </w:rPr>
      </w:pPr>
      <w:r>
        <w:rPr>
          <w:rFonts w:ascii="Arial" w:cs="Arial" w:eastAsia="Arial" w:hAnsi="Arial"/>
          <w:sz w:val="13"/>
          <w:szCs w:val="13"/>
          <w:color w:val="auto"/>
        </w:rPr>
        <w:t>Cash collateral pledged excludes amounts that represent legal settlement of the derivative contracts.</w:t>
      </w:r>
    </w:p>
    <w:p>
      <w:pPr>
        <w:spacing w:after="0" w:line="200" w:lineRule="exact"/>
        <w:rPr>
          <w:sz w:val="20"/>
          <w:szCs w:val="20"/>
          <w:color w:val="auto"/>
        </w:rPr>
      </w:pPr>
    </w:p>
    <w:p>
      <w:pPr>
        <w:spacing w:after="0" w:line="313" w:lineRule="exact"/>
        <w:rPr>
          <w:sz w:val="20"/>
          <w:szCs w:val="20"/>
          <w:color w:val="auto"/>
        </w:rPr>
      </w:pPr>
    </w:p>
    <w:p>
      <w:pPr>
        <w:ind w:left="2060"/>
        <w:spacing w:after="0"/>
        <w:rPr>
          <w:sz w:val="20"/>
          <w:szCs w:val="20"/>
          <w:color w:val="auto"/>
        </w:rPr>
      </w:pPr>
      <w:r>
        <w:rPr>
          <w:rFonts w:ascii="Arial" w:cs="Arial" w:eastAsia="Arial" w:hAnsi="Arial"/>
          <w:sz w:val="16"/>
          <w:szCs w:val="16"/>
          <w:b w:val="1"/>
          <w:bCs w:val="1"/>
          <w:i w:val="1"/>
          <w:iCs w:val="1"/>
          <w:color w:val="144F82"/>
        </w:rPr>
        <w:t>Notional Values</w:t>
      </w:r>
    </w:p>
    <w:p>
      <w:pPr>
        <w:spacing w:after="0" w:line="31" w:lineRule="exact"/>
        <w:rPr>
          <w:sz w:val="20"/>
          <w:szCs w:val="20"/>
          <w:color w:val="auto"/>
        </w:rPr>
      </w:pPr>
    </w:p>
    <w:tbl>
      <w:tblPr>
        <w:tblLayout w:type="fixed"/>
        <w:tblInd w:w="2040" w:type="dxa"/>
        <w:tblCellMar>
          <w:top w:w="0" w:type="dxa"/>
          <w:left w:w="0" w:type="dxa"/>
          <w:bottom w:w="0" w:type="dxa"/>
          <w:right w:w="0" w:type="dxa"/>
        </w:tblCellMar>
      </w:tblPr>
      <w:tr>
        <w:trPr>
          <w:trHeight w:val="196"/>
        </w:trPr>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144F82"/>
              </w:rPr>
              <w:t>Cash Flow</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144F82"/>
              </w:rPr>
              <w:t>Fair Value</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144F82"/>
              </w:rPr>
              <w:t>Total</w:t>
            </w:r>
          </w:p>
        </w:tc>
        <w:tc>
          <w:tcPr>
            <w:tcW w:w="7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1100" w:type="dxa"/>
            <w:vAlign w:val="bottom"/>
            <w:vMerge w:val="restart"/>
          </w:tcPr>
          <w:p>
            <w:pPr>
              <w:ind w:left="20"/>
              <w:spacing w:after="0"/>
              <w:rPr>
                <w:sz w:val="20"/>
                <w:szCs w:val="20"/>
                <w:color w:val="auto"/>
              </w:rPr>
            </w:pPr>
            <w:r>
              <w:rPr>
                <w:rFonts w:ascii="Arial" w:cs="Arial" w:eastAsia="Arial" w:hAnsi="Arial"/>
                <w:sz w:val="13"/>
                <w:szCs w:val="13"/>
                <w:b w:val="1"/>
                <w:bCs w:val="1"/>
                <w:color w:val="144F82"/>
              </w:rPr>
              <w:t>(Dollars in</w:t>
            </w:r>
          </w:p>
        </w:tc>
        <w:tc>
          <w:tcPr>
            <w:tcW w:w="1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144F82"/>
              </w:rPr>
              <w:t>March 31,</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144F82"/>
              </w:rPr>
              <w:t>December 31,</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144F82"/>
              </w:rPr>
              <w:t>March 31,</w:t>
            </w: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144F82"/>
              </w:rPr>
              <w:t>December 31,</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144F82"/>
                <w:w w:val="99"/>
              </w:rPr>
              <w:t>March 31,</w:t>
            </w: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144F82"/>
              </w:rPr>
              <w:t>December 31,</w:t>
            </w:r>
          </w:p>
        </w:tc>
        <w:tc>
          <w:tcPr>
            <w:tcW w:w="0" w:type="dxa"/>
            <w:vAlign w:val="bottom"/>
          </w:tcPr>
          <w:p>
            <w:pPr>
              <w:spacing w:after="0"/>
              <w:rPr>
                <w:sz w:val="1"/>
                <w:szCs w:val="1"/>
                <w:color w:val="auto"/>
              </w:rPr>
            </w:pPr>
          </w:p>
        </w:tc>
      </w:tr>
      <w:tr>
        <w:trPr>
          <w:trHeight w:val="29"/>
        </w:trPr>
        <w:tc>
          <w:tcPr>
            <w:tcW w:w="11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b w:val="1"/>
                <w:bCs w:val="1"/>
                <w:color w:val="144F82"/>
              </w:rPr>
              <w:t>2025</w:t>
            </w:r>
          </w:p>
        </w:tc>
        <w:tc>
          <w:tcPr>
            <w:tcW w:w="300" w:type="dxa"/>
            <w:vAlign w:val="bottom"/>
          </w:tcPr>
          <w:p>
            <w:pPr>
              <w:spacing w:after="0"/>
              <w:rPr>
                <w:sz w:val="2"/>
                <w:szCs w:val="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144F82"/>
              </w:rPr>
              <w:t>2024</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144F82"/>
              </w:rPr>
              <w:t>2025</w:t>
            </w:r>
          </w:p>
        </w:tc>
        <w:tc>
          <w:tcPr>
            <w:tcW w:w="300" w:type="dxa"/>
            <w:vAlign w:val="bottom"/>
          </w:tcPr>
          <w:p>
            <w:pPr>
              <w:spacing w:after="0"/>
              <w:rPr>
                <w:sz w:val="2"/>
                <w:szCs w:val="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144F82"/>
              </w:rPr>
              <w:t>2024</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144F82"/>
              </w:rPr>
              <w:t>2025</w:t>
            </w:r>
          </w:p>
        </w:tc>
        <w:tc>
          <w:tcPr>
            <w:tcW w:w="420" w:type="dxa"/>
            <w:vAlign w:val="bottom"/>
          </w:tcPr>
          <w:p>
            <w:pPr>
              <w:spacing w:after="0"/>
              <w:rPr>
                <w:sz w:val="2"/>
                <w:szCs w:val="2"/>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144F82"/>
              </w:rPr>
              <w:t>2024</w:t>
            </w:r>
          </w:p>
        </w:tc>
        <w:tc>
          <w:tcPr>
            <w:tcW w:w="0" w:type="dxa"/>
            <w:vAlign w:val="bottom"/>
          </w:tcPr>
          <w:p>
            <w:pPr>
              <w:spacing w:after="0" w:line="20" w:lineRule="exact"/>
              <w:rPr>
                <w:sz w:val="1"/>
                <w:szCs w:val="1"/>
                <w:color w:val="auto"/>
              </w:rPr>
            </w:pPr>
          </w:p>
        </w:tc>
      </w:tr>
      <w:tr>
        <w:trPr>
          <w:trHeight w:val="188"/>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thousands)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00" w:type="dxa"/>
            <w:vAlign w:val="bottom"/>
            <w:shd w:val="clear" w:color="auto" w:fill="EDEDEE"/>
          </w:tcPr>
          <w:p>
            <w:pPr>
              <w:ind w:left="140"/>
              <w:spacing w:after="0" w:line="147" w:lineRule="exact"/>
              <w:rPr>
                <w:sz w:val="20"/>
                <w:szCs w:val="20"/>
                <w:color w:val="auto"/>
              </w:rPr>
            </w:pPr>
            <w:r>
              <w:rPr>
                <w:rFonts w:ascii="Arial" w:cs="Arial" w:eastAsia="Arial" w:hAnsi="Arial"/>
                <w:sz w:val="14"/>
                <w:szCs w:val="14"/>
                <w:color w:val="auto"/>
              </w:rPr>
              <w:t>Interest rate</w:t>
            </w:r>
          </w:p>
        </w:tc>
        <w:tc>
          <w:tcPr>
            <w:tcW w:w="100" w:type="dxa"/>
            <w:vAlign w:val="bottom"/>
            <w:vMerge w:val="restart"/>
            <w:shd w:val="clear" w:color="auto" w:fill="EDEDEE"/>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EDEDEE"/>
          </w:tcPr>
          <w:p>
            <w:pPr>
              <w:ind w:left="200"/>
              <w:spacing w:after="0"/>
              <w:rPr>
                <w:sz w:val="20"/>
                <w:szCs w:val="20"/>
                <w:color w:val="auto"/>
              </w:rPr>
            </w:pPr>
            <w:r>
              <w:rPr>
                <w:rFonts w:ascii="Arial" w:cs="Arial" w:eastAsia="Arial" w:hAnsi="Arial"/>
                <w:sz w:val="14"/>
                <w:szCs w:val="14"/>
                <w:color w:val="auto"/>
              </w:rPr>
              <w:t>616,191</w:t>
            </w:r>
          </w:p>
        </w:tc>
        <w:tc>
          <w:tcPr>
            <w:tcW w:w="300" w:type="dxa"/>
            <w:vAlign w:val="bottom"/>
            <w:vMerge w:val="restart"/>
            <w:shd w:val="clear" w:color="auto" w:fill="EDEDEE"/>
          </w:tcPr>
          <w:p>
            <w:pPr>
              <w:ind w:left="10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DEDEE"/>
          </w:tcPr>
          <w:p>
            <w:pPr>
              <w:jc w:val="right"/>
              <w:ind w:right="8"/>
              <w:spacing w:after="0"/>
              <w:rPr>
                <w:sz w:val="20"/>
                <w:szCs w:val="20"/>
                <w:color w:val="auto"/>
              </w:rPr>
            </w:pPr>
            <w:r>
              <w:rPr>
                <w:rFonts w:ascii="Arial" w:cs="Arial" w:eastAsia="Arial" w:hAnsi="Arial"/>
                <w:sz w:val="14"/>
                <w:szCs w:val="14"/>
                <w:color w:val="auto"/>
              </w:rPr>
              <w:t>639,097</w:t>
            </w:r>
          </w:p>
        </w:tc>
        <w:tc>
          <w:tcPr>
            <w:tcW w:w="80" w:type="dxa"/>
            <w:vAlign w:val="bottom"/>
            <w:shd w:val="clear" w:color="auto" w:fill="EDEDEE"/>
          </w:tcPr>
          <w:p>
            <w:pPr>
              <w:spacing w:after="0"/>
              <w:rPr>
                <w:sz w:val="12"/>
                <w:szCs w:val="12"/>
                <w:color w:val="auto"/>
              </w:rPr>
            </w:pPr>
          </w:p>
        </w:tc>
        <w:tc>
          <w:tcPr>
            <w:tcW w:w="180" w:type="dxa"/>
            <w:vAlign w:val="bottom"/>
            <w:vMerge w:val="restart"/>
            <w:shd w:val="clear" w:color="auto" w:fill="EDEDEE"/>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EDEDEE"/>
          </w:tcPr>
          <w:p>
            <w:pPr>
              <w:jc w:val="right"/>
              <w:ind w:right="8"/>
              <w:spacing w:after="0"/>
              <w:rPr>
                <w:sz w:val="20"/>
                <w:szCs w:val="20"/>
                <w:color w:val="auto"/>
              </w:rPr>
            </w:pPr>
            <w:r>
              <w:rPr>
                <w:rFonts w:ascii="Arial" w:cs="Arial" w:eastAsia="Arial" w:hAnsi="Arial"/>
                <w:sz w:val="14"/>
                <w:szCs w:val="14"/>
                <w:color w:val="auto"/>
              </w:rPr>
              <w:t>6,520</w:t>
            </w:r>
          </w:p>
        </w:tc>
        <w:tc>
          <w:tcPr>
            <w:tcW w:w="300" w:type="dxa"/>
            <w:vAlign w:val="bottom"/>
            <w:vMerge w:val="restart"/>
            <w:shd w:val="clear" w:color="auto" w:fill="EDEDEE"/>
          </w:tcPr>
          <w:p>
            <w:pPr>
              <w:jc w:val="center"/>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EDEDEE"/>
          </w:tcPr>
          <w:p>
            <w:pPr>
              <w:jc w:val="right"/>
              <w:spacing w:after="0"/>
              <w:rPr>
                <w:sz w:val="20"/>
                <w:szCs w:val="20"/>
                <w:color w:val="auto"/>
              </w:rPr>
            </w:pPr>
            <w:r>
              <w:rPr>
                <w:rFonts w:ascii="Arial" w:cs="Arial" w:eastAsia="Arial" w:hAnsi="Arial"/>
                <w:sz w:val="14"/>
                <w:szCs w:val="14"/>
                <w:color w:val="auto"/>
              </w:rPr>
              <w:t>281,520</w:t>
            </w:r>
          </w:p>
        </w:tc>
        <w:tc>
          <w:tcPr>
            <w:tcW w:w="100" w:type="dxa"/>
            <w:vAlign w:val="bottom"/>
            <w:shd w:val="clear" w:color="auto" w:fill="EDEDEE"/>
          </w:tcPr>
          <w:p>
            <w:pPr>
              <w:spacing w:after="0"/>
              <w:rPr>
                <w:sz w:val="12"/>
                <w:szCs w:val="12"/>
                <w:color w:val="auto"/>
              </w:rPr>
            </w:pPr>
          </w:p>
        </w:tc>
        <w:tc>
          <w:tcPr>
            <w:tcW w:w="100" w:type="dxa"/>
            <w:vAlign w:val="bottom"/>
            <w:vMerge w:val="restart"/>
            <w:shd w:val="clear" w:color="auto" w:fill="EDEDEE"/>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EDEDEE"/>
          </w:tcPr>
          <w:p>
            <w:pPr>
              <w:jc w:val="right"/>
              <w:spacing w:after="0"/>
              <w:rPr>
                <w:sz w:val="20"/>
                <w:szCs w:val="20"/>
                <w:color w:val="auto"/>
              </w:rPr>
            </w:pPr>
            <w:r>
              <w:rPr>
                <w:rFonts w:ascii="Arial" w:cs="Arial" w:eastAsia="Arial" w:hAnsi="Arial"/>
                <w:sz w:val="14"/>
                <w:szCs w:val="14"/>
                <w:color w:val="auto"/>
              </w:rPr>
              <w:t>622,711</w:t>
            </w:r>
          </w:p>
        </w:tc>
        <w:tc>
          <w:tcPr>
            <w:tcW w:w="420" w:type="dxa"/>
            <w:vAlign w:val="bottom"/>
            <w:vMerge w:val="restart"/>
            <w:shd w:val="clear" w:color="auto" w:fill="EDEDEE"/>
          </w:tcPr>
          <w:p>
            <w:pPr>
              <w:ind w:left="1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EDEDEE"/>
          </w:tcPr>
          <w:p>
            <w:pPr>
              <w:jc w:val="right"/>
              <w:ind w:right="8"/>
              <w:spacing w:after="0"/>
              <w:rPr>
                <w:sz w:val="20"/>
                <w:szCs w:val="20"/>
                <w:color w:val="auto"/>
              </w:rPr>
            </w:pPr>
            <w:r>
              <w:rPr>
                <w:rFonts w:ascii="Arial" w:cs="Arial" w:eastAsia="Arial" w:hAnsi="Arial"/>
                <w:sz w:val="14"/>
                <w:szCs w:val="14"/>
                <w:color w:val="auto"/>
              </w:rPr>
              <w:t>920,617</w:t>
            </w:r>
          </w:p>
        </w:tc>
        <w:tc>
          <w:tcPr>
            <w:tcW w:w="0" w:type="dxa"/>
            <w:vAlign w:val="bottom"/>
          </w:tcPr>
          <w:p>
            <w:pPr>
              <w:spacing w:after="0"/>
              <w:rPr>
                <w:sz w:val="1"/>
                <w:szCs w:val="1"/>
                <w:color w:val="auto"/>
              </w:rPr>
            </w:pPr>
          </w:p>
        </w:tc>
      </w:tr>
      <w:tr>
        <w:trPr>
          <w:trHeight w:val="185"/>
        </w:trPr>
        <w:tc>
          <w:tcPr>
            <w:tcW w:w="1100" w:type="dxa"/>
            <w:vAlign w:val="bottom"/>
            <w:shd w:val="clear" w:color="auto" w:fill="EDEDEE"/>
          </w:tcPr>
          <w:p>
            <w:pPr>
              <w:ind w:left="140"/>
              <w:spacing w:after="0"/>
              <w:rPr>
                <w:sz w:val="20"/>
                <w:szCs w:val="20"/>
                <w:color w:val="auto"/>
              </w:rPr>
            </w:pPr>
            <w:r>
              <w:rPr>
                <w:rFonts w:ascii="Arial" w:cs="Arial" w:eastAsia="Arial" w:hAnsi="Arial"/>
                <w:sz w:val="14"/>
                <w:szCs w:val="14"/>
                <w:color w:val="auto"/>
              </w:rPr>
              <w:t>swaps</w:t>
            </w:r>
          </w:p>
        </w:tc>
        <w:tc>
          <w:tcPr>
            <w:tcW w:w="100" w:type="dxa"/>
            <w:vAlign w:val="bottom"/>
            <w:tcBorders>
              <w:bottom w:val="single" w:sz="8" w:color="auto"/>
            </w:tcBorders>
            <w:vMerge w:val="continue"/>
            <w:shd w:val="clear" w:color="auto" w:fill="EDEDEE"/>
          </w:tcPr>
          <w:p>
            <w:pPr>
              <w:spacing w:after="0"/>
              <w:rPr>
                <w:sz w:val="16"/>
                <w:szCs w:val="16"/>
                <w:color w:val="auto"/>
              </w:rPr>
            </w:pPr>
          </w:p>
        </w:tc>
        <w:tc>
          <w:tcPr>
            <w:tcW w:w="800" w:type="dxa"/>
            <w:vAlign w:val="bottom"/>
            <w:tcBorders>
              <w:bottom w:val="single" w:sz="8" w:color="auto"/>
            </w:tcBorders>
            <w:vMerge w:val="continue"/>
            <w:shd w:val="clear" w:color="auto" w:fill="EDEDEE"/>
          </w:tcPr>
          <w:p>
            <w:pPr>
              <w:spacing w:after="0"/>
              <w:rPr>
                <w:sz w:val="16"/>
                <w:szCs w:val="16"/>
                <w:color w:val="auto"/>
              </w:rPr>
            </w:pPr>
          </w:p>
        </w:tc>
        <w:tc>
          <w:tcPr>
            <w:tcW w:w="300" w:type="dxa"/>
            <w:vAlign w:val="bottom"/>
            <w:tcBorders>
              <w:bottom w:val="single" w:sz="8" w:color="auto"/>
            </w:tcBorders>
            <w:vMerge w:val="continue"/>
            <w:shd w:val="clear" w:color="auto" w:fill="EDEDEE"/>
          </w:tcPr>
          <w:p>
            <w:pPr>
              <w:spacing w:after="0"/>
              <w:rPr>
                <w:sz w:val="16"/>
                <w:szCs w:val="16"/>
                <w:color w:val="auto"/>
              </w:rPr>
            </w:pPr>
          </w:p>
        </w:tc>
        <w:tc>
          <w:tcPr>
            <w:tcW w:w="780" w:type="dxa"/>
            <w:vAlign w:val="bottom"/>
            <w:tcBorders>
              <w:bottom w:val="single" w:sz="8" w:color="auto"/>
            </w:tcBorders>
            <w:vMerge w:val="continue"/>
            <w:shd w:val="clear" w:color="auto" w:fill="EDEDEE"/>
          </w:tcPr>
          <w:p>
            <w:pPr>
              <w:spacing w:after="0"/>
              <w:rPr>
                <w:sz w:val="16"/>
                <w:szCs w:val="16"/>
                <w:color w:val="auto"/>
              </w:rPr>
            </w:pPr>
          </w:p>
        </w:tc>
        <w:tc>
          <w:tcPr>
            <w:tcW w:w="80" w:type="dxa"/>
            <w:vAlign w:val="bottom"/>
            <w:tcBorders>
              <w:bottom w:val="single" w:sz="8" w:color="auto"/>
            </w:tcBorders>
            <w:shd w:val="clear" w:color="auto" w:fill="EDEDEE"/>
          </w:tcPr>
          <w:p>
            <w:pPr>
              <w:spacing w:after="0"/>
              <w:rPr>
                <w:sz w:val="16"/>
                <w:szCs w:val="16"/>
                <w:color w:val="auto"/>
              </w:rPr>
            </w:pPr>
          </w:p>
        </w:tc>
        <w:tc>
          <w:tcPr>
            <w:tcW w:w="180" w:type="dxa"/>
            <w:vAlign w:val="bottom"/>
            <w:tcBorders>
              <w:bottom w:val="single" w:sz="8" w:color="auto"/>
            </w:tcBorders>
            <w:vMerge w:val="continue"/>
            <w:shd w:val="clear" w:color="auto" w:fill="EDEDEE"/>
          </w:tcPr>
          <w:p>
            <w:pPr>
              <w:spacing w:after="0"/>
              <w:rPr>
                <w:sz w:val="16"/>
                <w:szCs w:val="16"/>
                <w:color w:val="auto"/>
              </w:rPr>
            </w:pPr>
          </w:p>
        </w:tc>
        <w:tc>
          <w:tcPr>
            <w:tcW w:w="680" w:type="dxa"/>
            <w:vAlign w:val="bottom"/>
            <w:tcBorders>
              <w:bottom w:val="single" w:sz="8" w:color="auto"/>
            </w:tcBorders>
            <w:vMerge w:val="continue"/>
            <w:shd w:val="clear" w:color="auto" w:fill="EDEDEE"/>
          </w:tcPr>
          <w:p>
            <w:pPr>
              <w:spacing w:after="0"/>
              <w:rPr>
                <w:sz w:val="16"/>
                <w:szCs w:val="16"/>
                <w:color w:val="auto"/>
              </w:rPr>
            </w:pPr>
          </w:p>
        </w:tc>
        <w:tc>
          <w:tcPr>
            <w:tcW w:w="300" w:type="dxa"/>
            <w:vAlign w:val="bottom"/>
            <w:tcBorders>
              <w:bottom w:val="single" w:sz="8" w:color="auto"/>
            </w:tcBorders>
            <w:vMerge w:val="continue"/>
            <w:shd w:val="clear" w:color="auto" w:fill="EDEDEE"/>
          </w:tcPr>
          <w:p>
            <w:pPr>
              <w:spacing w:after="0"/>
              <w:rPr>
                <w:sz w:val="16"/>
                <w:szCs w:val="16"/>
                <w:color w:val="auto"/>
              </w:rPr>
            </w:pPr>
          </w:p>
        </w:tc>
        <w:tc>
          <w:tcPr>
            <w:tcW w:w="800" w:type="dxa"/>
            <w:vAlign w:val="bottom"/>
            <w:tcBorders>
              <w:bottom w:val="single" w:sz="8" w:color="auto"/>
            </w:tcBorders>
            <w:vMerge w:val="continue"/>
            <w:shd w:val="clear" w:color="auto" w:fill="EDEDEE"/>
          </w:tcPr>
          <w:p>
            <w:pPr>
              <w:spacing w:after="0"/>
              <w:rPr>
                <w:sz w:val="16"/>
                <w:szCs w:val="16"/>
                <w:color w:val="auto"/>
              </w:rPr>
            </w:pPr>
          </w:p>
        </w:tc>
        <w:tc>
          <w:tcPr>
            <w:tcW w:w="100" w:type="dxa"/>
            <w:vAlign w:val="bottom"/>
            <w:tcBorders>
              <w:bottom w:val="single" w:sz="8" w:color="auto"/>
            </w:tcBorders>
            <w:shd w:val="clear" w:color="auto" w:fill="EDEDEE"/>
          </w:tcPr>
          <w:p>
            <w:pPr>
              <w:spacing w:after="0"/>
              <w:rPr>
                <w:sz w:val="16"/>
                <w:szCs w:val="16"/>
                <w:color w:val="auto"/>
              </w:rPr>
            </w:pPr>
          </w:p>
        </w:tc>
        <w:tc>
          <w:tcPr>
            <w:tcW w:w="100" w:type="dxa"/>
            <w:vAlign w:val="bottom"/>
            <w:tcBorders>
              <w:bottom w:val="single" w:sz="8" w:color="auto"/>
            </w:tcBorders>
            <w:vMerge w:val="continue"/>
            <w:shd w:val="clear" w:color="auto" w:fill="EDEDEE"/>
          </w:tcPr>
          <w:p>
            <w:pPr>
              <w:spacing w:after="0"/>
              <w:rPr>
                <w:sz w:val="16"/>
                <w:szCs w:val="16"/>
                <w:color w:val="auto"/>
              </w:rPr>
            </w:pPr>
          </w:p>
        </w:tc>
        <w:tc>
          <w:tcPr>
            <w:tcW w:w="700" w:type="dxa"/>
            <w:vAlign w:val="bottom"/>
            <w:tcBorders>
              <w:bottom w:val="single" w:sz="8" w:color="auto"/>
            </w:tcBorders>
            <w:vMerge w:val="continue"/>
            <w:shd w:val="clear" w:color="auto" w:fill="EDEDEE"/>
          </w:tcPr>
          <w:p>
            <w:pPr>
              <w:spacing w:after="0"/>
              <w:rPr>
                <w:sz w:val="16"/>
                <w:szCs w:val="16"/>
                <w:color w:val="auto"/>
              </w:rPr>
            </w:pPr>
          </w:p>
        </w:tc>
        <w:tc>
          <w:tcPr>
            <w:tcW w:w="420" w:type="dxa"/>
            <w:vAlign w:val="bottom"/>
            <w:tcBorders>
              <w:bottom w:val="single" w:sz="8" w:color="auto"/>
            </w:tcBorders>
            <w:vMerge w:val="continue"/>
            <w:shd w:val="clear" w:color="auto" w:fill="EDEDEE"/>
          </w:tcPr>
          <w:p>
            <w:pPr>
              <w:spacing w:after="0"/>
              <w:rPr>
                <w:sz w:val="16"/>
                <w:szCs w:val="16"/>
                <w:color w:val="auto"/>
              </w:rPr>
            </w:pPr>
          </w:p>
        </w:tc>
        <w:tc>
          <w:tcPr>
            <w:tcW w:w="740" w:type="dxa"/>
            <w:vAlign w:val="bottom"/>
            <w:tcBorders>
              <w:bottom w:val="single" w:sz="8" w:color="auto"/>
            </w:tcBorders>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00" w:type="dxa"/>
            <w:vAlign w:val="bottom"/>
          </w:tcPr>
          <w:p>
            <w:pPr>
              <w:ind w:left="140"/>
              <w:spacing w:after="0" w:line="133" w:lineRule="exact"/>
              <w:rPr>
                <w:sz w:val="20"/>
                <w:szCs w:val="20"/>
                <w:color w:val="auto"/>
              </w:rPr>
            </w:pPr>
            <w:r>
              <w:rPr>
                <w:rFonts w:ascii="Arial" w:cs="Arial" w:eastAsia="Arial" w:hAnsi="Arial"/>
                <w:sz w:val="14"/>
                <w:szCs w:val="14"/>
                <w:b w:val="1"/>
                <w:bCs w:val="1"/>
                <w:color w:val="144F82"/>
              </w:rPr>
              <w:t>Net total</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ind w:left="200"/>
              <w:spacing w:after="0"/>
              <w:rPr>
                <w:sz w:val="20"/>
                <w:szCs w:val="20"/>
                <w:color w:val="auto"/>
              </w:rPr>
            </w:pPr>
            <w:r>
              <w:rPr>
                <w:rFonts w:ascii="Arial" w:cs="Arial" w:eastAsia="Arial" w:hAnsi="Arial"/>
                <w:sz w:val="14"/>
                <w:szCs w:val="14"/>
                <w:color w:val="auto"/>
              </w:rPr>
              <w:t>616,191</w:t>
            </w:r>
          </w:p>
        </w:tc>
        <w:tc>
          <w:tcPr>
            <w:tcW w:w="3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639,097</w:t>
            </w:r>
          </w:p>
        </w:tc>
        <w:tc>
          <w:tcPr>
            <w:tcW w:w="8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6,520</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281,520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622,711</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920,617</w:t>
            </w:r>
          </w:p>
        </w:tc>
        <w:tc>
          <w:tcPr>
            <w:tcW w:w="0" w:type="dxa"/>
            <w:vAlign w:val="bottom"/>
          </w:tcPr>
          <w:p>
            <w:pPr>
              <w:spacing w:after="0"/>
              <w:rPr>
                <w:sz w:val="1"/>
                <w:szCs w:val="1"/>
                <w:color w:val="auto"/>
              </w:rPr>
            </w:pPr>
          </w:p>
        </w:tc>
      </w:tr>
      <w:tr>
        <w:trPr>
          <w:trHeight w:val="158"/>
        </w:trPr>
        <w:tc>
          <w:tcPr>
            <w:tcW w:w="1100" w:type="dxa"/>
            <w:vAlign w:val="bottom"/>
          </w:tcPr>
          <w:p>
            <w:pPr>
              <w:ind w:left="140"/>
              <w:spacing w:after="0" w:line="158" w:lineRule="exact"/>
              <w:rPr>
                <w:sz w:val="20"/>
                <w:szCs w:val="20"/>
                <w:color w:val="auto"/>
              </w:rPr>
            </w:pPr>
            <w:r>
              <w:rPr>
                <w:rFonts w:ascii="Arial" w:cs="Arial" w:eastAsia="Arial" w:hAnsi="Arial"/>
                <w:sz w:val="14"/>
                <w:szCs w:val="14"/>
                <w:b w:val="1"/>
                <w:bCs w:val="1"/>
                <w:color w:val="144F82"/>
              </w:rPr>
              <w:t>notional</w:t>
            </w:r>
          </w:p>
        </w:tc>
        <w:tc>
          <w:tcPr>
            <w:tcW w:w="1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34F82"/>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type w:val="continuous"/>
        </w:sectPr>
      </w:pPr>
    </w:p>
    <w:bookmarkStart w:id="37" w:name="page38"/>
    <w:bookmarkEnd w:id="37"/>
    <w:p>
      <w:pPr>
        <w:ind w:left="460" w:hanging="414"/>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202"/>
        <w:spacing w:after="0" w:line="287" w:lineRule="auto"/>
        <w:rPr>
          <w:sz w:val="20"/>
          <w:szCs w:val="20"/>
          <w:color w:val="auto"/>
        </w:rPr>
      </w:pPr>
      <w:r>
        <w:rPr>
          <w:rFonts w:ascii="Arial" w:cs="Arial" w:eastAsia="Arial" w:hAnsi="Arial"/>
          <w:sz w:val="18"/>
          <w:szCs w:val="18"/>
          <w:color w:val="auto"/>
        </w:rPr>
        <w:t>As of March 31, 2025 and December 31, 2024, the following amounts were recorded on the consolidated balance sheet related to cumulative basis adjustments for fair value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143510</wp:posOffset>
            </wp:positionV>
            <wp:extent cx="56407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ectPr>
          <w:pgSz w:w="11900" w:h="16838" w:orient="portrait"/>
          <w:cols w:equalWidth="0" w:num="1">
            <w:col w:w="10520"/>
          </w:cols>
          <w:pgMar w:left="320" w:top="512"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144F82"/>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19050</wp:posOffset>
            </wp:positionV>
            <wp:extent cx="2031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144F82"/>
        </w:rPr>
        <w:t>Line Item in the Balance Sheet in Which the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144F82"/>
        </w:rPr>
        <w:t>Hedged Item is Included: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2"/>
          </w:tcPr>
          <w:p>
            <w:pPr>
              <w:jc w:val="center"/>
              <w:spacing w:after="0"/>
              <w:rPr>
                <w:sz w:val="20"/>
                <w:szCs w:val="20"/>
                <w:color w:val="auto"/>
              </w:rPr>
            </w:pPr>
            <w:r>
              <w:rPr>
                <w:rFonts w:ascii="Arial" w:cs="Arial" w:eastAsia="Arial" w:hAnsi="Arial"/>
                <w:sz w:val="14"/>
                <w:szCs w:val="14"/>
                <w:b w:val="1"/>
                <w:bCs w:val="1"/>
                <w:color w:val="144F82"/>
              </w:rPr>
              <w:t>Cumulative Amount of Fair Value</w:t>
            </w:r>
          </w:p>
        </w:tc>
        <w:tc>
          <w:tcPr>
            <w:tcW w:w="0" w:type="dxa"/>
            <w:vAlign w:val="bottom"/>
          </w:tcPr>
          <w:p>
            <w:pPr>
              <w:spacing w:after="0"/>
              <w:rPr>
                <w:sz w:val="1"/>
                <w:szCs w:val="1"/>
                <w:color w:val="auto"/>
              </w:rPr>
            </w:pPr>
          </w:p>
        </w:tc>
      </w:tr>
      <w:tr>
        <w:trPr>
          <w:trHeight w:val="148"/>
        </w:trPr>
        <w:tc>
          <w:tcPr>
            <w:tcW w:w="2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144F82"/>
              </w:rPr>
              <w:t>Carrying Amount of the Hedged</w:t>
            </w:r>
          </w:p>
        </w:tc>
        <w:tc>
          <w:tcPr>
            <w:tcW w:w="2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144F82"/>
              </w:rPr>
              <w:t>Hedging Adjustment Included in the</w:t>
            </w:r>
          </w:p>
        </w:tc>
        <w:tc>
          <w:tcPr>
            <w:tcW w:w="0" w:type="dxa"/>
            <w:vAlign w:val="bottom"/>
          </w:tcPr>
          <w:p>
            <w:pPr>
              <w:spacing w:after="0"/>
              <w:rPr>
                <w:sz w:val="1"/>
                <w:szCs w:val="1"/>
                <w:color w:val="auto"/>
              </w:rPr>
            </w:pPr>
          </w:p>
        </w:tc>
      </w:tr>
      <w:tr>
        <w:trPr>
          <w:trHeight w:val="144"/>
        </w:trPr>
        <w:tc>
          <w:tcPr>
            <w:tcW w:w="2920" w:type="dxa"/>
            <w:vAlign w:val="bottom"/>
            <w:gridSpan w:val="3"/>
            <w:vMerge w:val="continue"/>
          </w:tcPr>
          <w:p>
            <w:pPr>
              <w:spacing w:after="0"/>
              <w:rPr>
                <w:sz w:val="12"/>
                <w:szCs w:val="12"/>
                <w:color w:val="auto"/>
              </w:rPr>
            </w:pPr>
          </w:p>
        </w:tc>
        <w:tc>
          <w:tcPr>
            <w:tcW w:w="26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144F82"/>
              </w:rPr>
              <w:t>Carrying Amount of the Hedged</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144F82"/>
              </w:rPr>
              <w:t>Assets/(Liabilities)</w:t>
            </w:r>
          </w:p>
        </w:tc>
        <w:tc>
          <w:tcPr>
            <w:tcW w:w="220" w:type="dxa"/>
            <w:vAlign w:val="bottom"/>
          </w:tcPr>
          <w:p>
            <w:pPr>
              <w:spacing w:after="0"/>
              <w:rPr>
                <w:sz w:val="16"/>
                <w:szCs w:val="16"/>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144F82"/>
              </w:rPr>
              <w:t>Assets/(Liabilities)</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Arial" w:cs="Arial" w:eastAsia="Arial" w:hAnsi="Arial"/>
                <w:sz w:val="14"/>
                <w:szCs w:val="14"/>
                <w:b w:val="1"/>
                <w:bCs w:val="1"/>
                <w:color w:val="144F82"/>
              </w:rPr>
              <w:t>March 31,</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44F82"/>
              </w:rPr>
              <w:t>December 31,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144F82"/>
              </w:rPr>
              <w:t>March 31,</w:t>
            </w:r>
          </w:p>
        </w:tc>
        <w:tc>
          <w:tcPr>
            <w:tcW w:w="1380" w:type="dxa"/>
            <w:vAlign w:val="bottom"/>
          </w:tcPr>
          <w:p>
            <w:pPr>
              <w:jc w:val="center"/>
              <w:ind w:left="48"/>
              <w:spacing w:after="0"/>
              <w:rPr>
                <w:sz w:val="20"/>
                <w:szCs w:val="20"/>
                <w:color w:val="auto"/>
              </w:rPr>
            </w:pPr>
            <w:r>
              <w:rPr>
                <w:rFonts w:ascii="Arial" w:cs="Arial" w:eastAsia="Arial" w:hAnsi="Arial"/>
                <w:sz w:val="14"/>
                <w:szCs w:val="14"/>
                <w:b w:val="1"/>
                <w:bCs w:val="1"/>
                <w:color w:val="144F82"/>
              </w:rPr>
              <w:t>December 31,</w:t>
            </w:r>
          </w:p>
        </w:tc>
        <w:tc>
          <w:tcPr>
            <w:tcW w:w="0" w:type="dxa"/>
            <w:vAlign w:val="bottom"/>
          </w:tcPr>
          <w:p>
            <w:pPr>
              <w:spacing w:after="0"/>
              <w:rPr>
                <w:sz w:val="1"/>
                <w:szCs w:val="1"/>
                <w:color w:val="auto"/>
              </w:rPr>
            </w:pPr>
          </w:p>
        </w:tc>
      </w:tr>
      <w:tr>
        <w:trPr>
          <w:trHeight w:val="257"/>
        </w:trPr>
        <w:tc>
          <w:tcPr>
            <w:tcW w:w="1300" w:type="dxa"/>
            <w:vAlign w:val="bottom"/>
          </w:tcPr>
          <w:p>
            <w:pPr>
              <w:jc w:val="right"/>
              <w:ind w:right="388"/>
              <w:spacing w:after="0"/>
              <w:rPr>
                <w:sz w:val="20"/>
                <w:szCs w:val="20"/>
                <w:color w:val="auto"/>
              </w:rPr>
            </w:pPr>
            <w:r>
              <w:rPr>
                <w:rFonts w:ascii="Arial" w:cs="Arial" w:eastAsia="Arial" w:hAnsi="Arial"/>
                <w:sz w:val="14"/>
                <w:szCs w:val="14"/>
                <w:b w:val="1"/>
                <w:bCs w:val="1"/>
                <w:color w:val="144F82"/>
              </w:rPr>
              <w:t>2025</w:t>
            </w:r>
          </w:p>
        </w:tc>
        <w:tc>
          <w:tcPr>
            <w:tcW w:w="1400" w:type="dxa"/>
            <w:vAlign w:val="bottom"/>
          </w:tcPr>
          <w:p>
            <w:pPr>
              <w:jc w:val="right"/>
              <w:ind w:right="388"/>
              <w:spacing w:after="0"/>
              <w:rPr>
                <w:sz w:val="20"/>
                <w:szCs w:val="20"/>
                <w:color w:val="auto"/>
              </w:rPr>
            </w:pPr>
            <w:r>
              <w:rPr>
                <w:rFonts w:ascii="Arial" w:cs="Arial" w:eastAsia="Arial" w:hAnsi="Arial"/>
                <w:sz w:val="14"/>
                <w:szCs w:val="14"/>
                <w:b w:val="1"/>
                <w:bCs w:val="1"/>
                <w:color w:val="144F82"/>
              </w:rPr>
              <w:t>2024</w:t>
            </w:r>
          </w:p>
        </w:tc>
        <w:tc>
          <w:tcPr>
            <w:tcW w:w="220" w:type="dxa"/>
            <w:vAlign w:val="bottom"/>
          </w:tcPr>
          <w:p>
            <w:pPr>
              <w:spacing w:after="0"/>
              <w:rPr>
                <w:sz w:val="22"/>
                <w:szCs w:val="22"/>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b w:val="1"/>
                <w:bCs w:val="1"/>
                <w:color w:val="144F82"/>
              </w:rPr>
              <w:t>2025</w:t>
            </w:r>
          </w:p>
        </w:tc>
        <w:tc>
          <w:tcPr>
            <w:tcW w:w="1380" w:type="dxa"/>
            <w:vAlign w:val="bottom"/>
          </w:tcPr>
          <w:p>
            <w:pPr>
              <w:jc w:val="right"/>
              <w:ind w:right="388"/>
              <w:spacing w:after="0"/>
              <w:rPr>
                <w:sz w:val="20"/>
                <w:szCs w:val="20"/>
                <w:color w:val="auto"/>
              </w:rPr>
            </w:pPr>
            <w:r>
              <w:rPr>
                <w:rFonts w:ascii="Arial" w:cs="Arial" w:eastAsia="Arial" w:hAnsi="Arial"/>
                <w:sz w:val="14"/>
                <w:szCs w:val="14"/>
                <w:b w:val="1"/>
                <w:bCs w:val="1"/>
                <w:color w:val="144F82"/>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1270</wp:posOffset>
            </wp:positionV>
            <wp:extent cx="56407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4280" w:space="320"/>
            <w:col w:w="5920"/>
          </w:cols>
          <w:pgMar w:left="320" w:top="512" w:right="1059" w:bottom="1440" w:gutter="0" w:footer="0" w:header="0"/>
          <w:type w:val="continuous"/>
        </w:sectPr>
      </w:pPr>
    </w:p>
    <w:tbl>
      <w:tblPr>
        <w:tblLayout w:type="fixed"/>
        <w:tblInd w:w="1300" w:type="dxa"/>
        <w:tblCellMar>
          <w:top w:w="0" w:type="dxa"/>
          <w:left w:w="0" w:type="dxa"/>
          <w:bottom w:w="0" w:type="dxa"/>
          <w:right w:w="0" w:type="dxa"/>
        </w:tblCellMar>
      </w:tblPr>
      <w:tr>
        <w:trPr>
          <w:trHeight w:val="215"/>
        </w:trPr>
        <w:tc>
          <w:tcPr>
            <w:tcW w:w="2920" w:type="dxa"/>
            <w:vAlign w:val="bottom"/>
            <w:gridSpan w:val="3"/>
          </w:tcPr>
          <w:p>
            <w:pPr>
              <w:spacing w:after="0"/>
              <w:rPr>
                <w:sz w:val="20"/>
                <w:szCs w:val="20"/>
                <w:color w:val="auto"/>
              </w:rPr>
            </w:pPr>
            <w:r>
              <w:rPr>
                <w:rFonts w:ascii="Arial" w:cs="Arial" w:eastAsia="Arial" w:hAnsi="Arial"/>
                <w:sz w:val="16"/>
                <w:szCs w:val="16"/>
                <w:color w:val="auto"/>
              </w:rPr>
              <w:t>Deposits</w:t>
            </w:r>
          </w:p>
        </w:tc>
        <w:tc>
          <w:tcPr>
            <w:tcW w:w="8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(6,169)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(279,908)</w:t>
            </w:r>
          </w:p>
        </w:tc>
        <w:tc>
          <w:tcPr>
            <w:tcW w:w="8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1,420</w:t>
            </w:r>
          </w:p>
        </w:tc>
      </w:tr>
      <w:tr>
        <w:trPr>
          <w:trHeight w:val="826"/>
        </w:trPr>
        <w:tc>
          <w:tcPr>
            <w:tcW w:w="1020" w:type="dxa"/>
            <w:vAlign w:val="bottom"/>
          </w:tcPr>
          <w:p>
            <w:pPr>
              <w:spacing w:after="0"/>
              <w:rPr>
                <w:sz w:val="24"/>
                <w:szCs w:val="24"/>
                <w:color w:val="auto"/>
              </w:rPr>
            </w:pPr>
          </w:p>
        </w:tc>
        <w:tc>
          <w:tcPr>
            <w:tcW w:w="498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i w:val="1"/>
                <w:iCs w:val="1"/>
                <w:color w:val="144F82"/>
              </w:rPr>
              <w:t>Impact of Derivatives on the Consolidated Statements of Income</w:t>
            </w: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5"/>
        </w:trPr>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40" w:type="dxa"/>
            <w:vAlign w:val="bottom"/>
            <w:gridSpan w:val="3"/>
          </w:tcPr>
          <w:p>
            <w:pPr>
              <w:ind w:left="440"/>
              <w:spacing w:after="0" w:line="155" w:lineRule="exact"/>
              <w:rPr>
                <w:sz w:val="20"/>
                <w:szCs w:val="20"/>
                <w:color w:val="auto"/>
              </w:rPr>
            </w:pPr>
            <w:r>
              <w:rPr>
                <w:rFonts w:ascii="Arial" w:cs="Arial" w:eastAsia="Arial" w:hAnsi="Arial"/>
                <w:sz w:val="16"/>
                <w:szCs w:val="16"/>
                <w:b w:val="1"/>
                <w:bCs w:val="1"/>
                <w:color w:val="144F82"/>
              </w:rPr>
              <w:t>Three Months Ended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16"/>
        </w:trPr>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144F82"/>
              </w:rPr>
              <w:t>March 31,</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144F82"/>
              </w:rPr>
              <w:t>(Dollars in thousands)</w:t>
            </w: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144F82"/>
              </w:rPr>
              <w:t>2025</w:t>
            </w:r>
          </w:p>
        </w:tc>
        <w:tc>
          <w:tcPr>
            <w:tcW w:w="8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144F82"/>
              </w:rPr>
              <w:t>2024</w:t>
            </w:r>
          </w:p>
        </w:tc>
        <w:tc>
          <w:tcPr>
            <w:tcW w:w="1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3"/>
        </w:trPr>
        <w:tc>
          <w:tcPr>
            <w:tcW w:w="1020" w:type="dxa"/>
            <w:vAlign w:val="bottom"/>
          </w:tcPr>
          <w:p>
            <w:pPr>
              <w:spacing w:after="0"/>
              <w:rPr>
                <w:sz w:val="22"/>
                <w:szCs w:val="22"/>
                <w:color w:val="auto"/>
              </w:rPr>
            </w:pPr>
          </w:p>
        </w:tc>
        <w:tc>
          <w:tcPr>
            <w:tcW w:w="1900" w:type="dxa"/>
            <w:vAlign w:val="bottom"/>
            <w:gridSpan w:val="2"/>
          </w:tcPr>
          <w:p>
            <w:pPr>
              <w:spacing w:after="0"/>
              <w:rPr>
                <w:sz w:val="20"/>
                <w:szCs w:val="20"/>
                <w:color w:val="auto"/>
              </w:rPr>
            </w:pPr>
            <w:r>
              <w:rPr>
                <w:rFonts w:ascii="Arial" w:cs="Arial" w:eastAsia="Arial" w:hAnsi="Arial"/>
                <w:sz w:val="16"/>
                <w:szCs w:val="16"/>
                <w:b w:val="1"/>
                <w:bCs w:val="1"/>
                <w:color w:val="144F82"/>
              </w:rPr>
              <w:t>Fair Value Hedges</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1"/>
        </w:trPr>
        <w:tc>
          <w:tcPr>
            <w:tcW w:w="1020" w:type="dxa"/>
            <w:vAlign w:val="bottom"/>
          </w:tcPr>
          <w:p>
            <w:pPr>
              <w:spacing w:after="0" w:line="20" w:lineRule="exact"/>
              <w:rPr>
                <w:sz w:val="1"/>
                <w:szCs w:val="1"/>
                <w:color w:val="auto"/>
              </w:rPr>
            </w:pPr>
          </w:p>
        </w:tc>
        <w:tc>
          <w:tcPr>
            <w:tcW w:w="1380" w:type="dxa"/>
            <w:vAlign w:val="bottom"/>
            <w:tcBorders>
              <w:top w:val="single" w:sz="8" w:color="144F82"/>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1020" w:type="dxa"/>
            <w:vAlign w:val="bottom"/>
            <w:tcBorders>
              <w:right w:val="single" w:sz="8" w:color="EDEDEE"/>
            </w:tcBorders>
          </w:tcPr>
          <w:p>
            <w:pPr>
              <w:spacing w:after="0"/>
              <w:rPr>
                <w:sz w:val="18"/>
                <w:szCs w:val="18"/>
                <w:color w:val="auto"/>
              </w:rPr>
            </w:pPr>
          </w:p>
        </w:tc>
        <w:tc>
          <w:tcPr>
            <w:tcW w:w="1900" w:type="dxa"/>
            <w:vAlign w:val="bottom"/>
            <w:gridSpan w:val="2"/>
            <w:shd w:val="clear" w:color="auto" w:fill="EDEDEE"/>
          </w:tcPr>
          <w:p>
            <w:pPr>
              <w:spacing w:after="0"/>
              <w:rPr>
                <w:sz w:val="20"/>
                <w:szCs w:val="20"/>
                <w:color w:val="auto"/>
              </w:rPr>
            </w:pPr>
            <w:r>
              <w:rPr>
                <w:rFonts w:ascii="Arial" w:cs="Arial" w:eastAsia="Arial" w:hAnsi="Arial"/>
                <w:sz w:val="16"/>
                <w:szCs w:val="16"/>
                <w:color w:val="auto"/>
              </w:rPr>
              <w:t>Interest rate swaps:</w:t>
            </w:r>
          </w:p>
        </w:tc>
        <w:tc>
          <w:tcPr>
            <w:tcW w:w="84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420" w:type="dxa"/>
            <w:vAlign w:val="bottom"/>
            <w:shd w:val="clear" w:color="auto" w:fill="EDEDEE"/>
          </w:tcPr>
          <w:p>
            <w:pPr>
              <w:spacing w:after="0"/>
              <w:rPr>
                <w:sz w:val="18"/>
                <w:szCs w:val="18"/>
                <w:color w:val="auto"/>
              </w:rPr>
            </w:pPr>
          </w:p>
        </w:tc>
        <w:tc>
          <w:tcPr>
            <w:tcW w:w="880" w:type="dxa"/>
            <w:vAlign w:val="bottom"/>
            <w:shd w:val="clear" w:color="auto" w:fill="EDEDEE"/>
          </w:tcPr>
          <w:p>
            <w:pPr>
              <w:spacing w:after="0"/>
              <w:rPr>
                <w:sz w:val="18"/>
                <w:szCs w:val="18"/>
                <w:color w:val="auto"/>
              </w:rPr>
            </w:pPr>
          </w:p>
        </w:tc>
        <w:tc>
          <w:tcPr>
            <w:tcW w:w="820" w:type="dxa"/>
            <w:vAlign w:val="bottom"/>
            <w:shd w:val="clear" w:color="auto" w:fill="EDEDEE"/>
          </w:tcPr>
          <w:p>
            <w:pPr>
              <w:spacing w:after="0"/>
              <w:rPr>
                <w:sz w:val="18"/>
                <w:szCs w:val="18"/>
                <w:color w:val="auto"/>
              </w:rPr>
            </w:pPr>
          </w:p>
        </w:tc>
        <w:tc>
          <w:tcPr>
            <w:tcW w:w="740" w:type="dxa"/>
            <w:vAlign w:val="bottom"/>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100" w:type="dxa"/>
            <w:vAlign w:val="bottom"/>
            <w:gridSpan w:val="2"/>
          </w:tcPr>
          <w:p>
            <w:pPr>
              <w:ind w:left="120"/>
              <w:spacing w:after="0"/>
              <w:rPr>
                <w:sz w:val="20"/>
                <w:szCs w:val="20"/>
                <w:color w:val="auto"/>
              </w:rPr>
            </w:pPr>
            <w:r>
              <w:rPr>
                <w:rFonts w:ascii="Arial" w:cs="Arial" w:eastAsia="Arial" w:hAnsi="Arial"/>
                <w:sz w:val="16"/>
                <w:szCs w:val="16"/>
                <w:color w:val="auto"/>
              </w:rPr>
              <w:t>Interest recognized on derivatives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center"/>
              <w:ind w:left="139"/>
              <w:spacing w:after="0"/>
              <w:rPr>
                <w:sz w:val="20"/>
                <w:szCs w:val="20"/>
                <w:color w:val="auto"/>
              </w:rPr>
            </w:pPr>
            <w:r>
              <w:rPr>
                <w:rFonts w:ascii="Arial" w:cs="Arial" w:eastAsia="Arial" w:hAnsi="Arial"/>
                <w:sz w:val="16"/>
                <w:szCs w:val="16"/>
                <w:color w:val="auto"/>
                <w:w w:val="98"/>
              </w:rPr>
              <w:t>(1,411)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(5,538)</w:t>
            </w:r>
          </w:p>
        </w:tc>
        <w:tc>
          <w:tcPr>
            <w:tcW w:w="0" w:type="dxa"/>
            <w:vAlign w:val="bottom"/>
          </w:tcPr>
          <w:p>
            <w:pPr>
              <w:spacing w:after="0"/>
              <w:rPr>
                <w:sz w:val="1"/>
                <w:szCs w:val="1"/>
                <w:color w:val="auto"/>
              </w:rPr>
            </w:pPr>
          </w:p>
        </w:tc>
      </w:tr>
      <w:tr>
        <w:trPr>
          <w:trHeight w:val="217"/>
        </w:trPr>
        <w:tc>
          <w:tcPr>
            <w:tcW w:w="20" w:type="dxa"/>
            <w:vAlign w:val="bottom"/>
            <w:shd w:val="clear" w:color="auto" w:fill="EDEDEE"/>
          </w:tcPr>
          <w:p>
            <w:pPr>
              <w:spacing w:after="0"/>
              <w:rPr>
                <w:sz w:val="18"/>
                <w:szCs w:val="18"/>
                <w:color w:val="auto"/>
              </w:rPr>
            </w:pPr>
          </w:p>
        </w:tc>
        <w:tc>
          <w:tcPr>
            <w:tcW w:w="4100" w:type="dxa"/>
            <w:vAlign w:val="bottom"/>
            <w:gridSpan w:val="2"/>
            <w:shd w:val="clear" w:color="auto" w:fill="EDEDEE"/>
          </w:tcPr>
          <w:p>
            <w:pPr>
              <w:ind w:left="120"/>
              <w:spacing w:after="0"/>
              <w:rPr>
                <w:sz w:val="20"/>
                <w:szCs w:val="20"/>
                <w:color w:val="auto"/>
              </w:rPr>
            </w:pPr>
            <w:r>
              <w:rPr>
                <w:rFonts w:ascii="Arial" w:cs="Arial" w:eastAsia="Arial" w:hAnsi="Arial"/>
                <w:sz w:val="16"/>
                <w:szCs w:val="16"/>
                <w:color w:val="auto"/>
              </w:rPr>
              <w:t>Hedged items recorded in interest expense</w:t>
            </w:r>
          </w:p>
        </w:tc>
        <w:tc>
          <w:tcPr>
            <w:tcW w:w="380" w:type="dxa"/>
            <w:vAlign w:val="bottom"/>
            <w:shd w:val="clear" w:color="auto" w:fill="EDEDEE"/>
          </w:tcPr>
          <w:p>
            <w:pPr>
              <w:spacing w:after="0"/>
              <w:rPr>
                <w:sz w:val="18"/>
                <w:szCs w:val="18"/>
                <w:color w:val="auto"/>
              </w:rPr>
            </w:pPr>
          </w:p>
        </w:tc>
        <w:tc>
          <w:tcPr>
            <w:tcW w:w="880" w:type="dxa"/>
            <w:vAlign w:val="bottom"/>
            <w:shd w:val="clear" w:color="auto" w:fill="EDEDEE"/>
          </w:tcPr>
          <w:p>
            <w:pPr>
              <w:jc w:val="center"/>
              <w:ind w:left="119"/>
              <w:spacing w:after="0"/>
              <w:rPr>
                <w:sz w:val="20"/>
                <w:szCs w:val="20"/>
                <w:color w:val="auto"/>
              </w:rPr>
            </w:pPr>
            <w:r>
              <w:rPr>
                <w:rFonts w:ascii="Arial" w:cs="Arial" w:eastAsia="Arial" w:hAnsi="Arial"/>
                <w:sz w:val="16"/>
                <w:szCs w:val="16"/>
                <w:color w:val="auto"/>
              </w:rPr>
              <w:t>(1,261)</w:t>
            </w:r>
          </w:p>
        </w:tc>
        <w:tc>
          <w:tcPr>
            <w:tcW w:w="440" w:type="dxa"/>
            <w:vAlign w:val="bottom"/>
            <w:shd w:val="clear" w:color="auto" w:fill="EDEDEE"/>
          </w:tcPr>
          <w:p>
            <w:pPr>
              <w:spacing w:after="0"/>
              <w:rPr>
                <w:sz w:val="18"/>
                <w:szCs w:val="18"/>
                <w:color w:val="auto"/>
              </w:rPr>
            </w:pPr>
          </w:p>
        </w:tc>
        <w:tc>
          <w:tcPr>
            <w:tcW w:w="8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(3,205)</w:t>
            </w:r>
          </w:p>
        </w:tc>
        <w:tc>
          <w:tcPr>
            <w:tcW w:w="0" w:type="dxa"/>
            <w:vAlign w:val="bottom"/>
          </w:tcPr>
          <w:p>
            <w:pPr>
              <w:spacing w:after="0"/>
              <w:rPr>
                <w:sz w:val="1"/>
                <w:szCs w:val="1"/>
                <w:color w:val="auto"/>
              </w:rPr>
            </w:pPr>
          </w:p>
        </w:tc>
      </w:tr>
      <w:tr>
        <w:trPr>
          <w:trHeight w:val="215"/>
        </w:trPr>
        <w:tc>
          <w:tcPr>
            <w:tcW w:w="20" w:type="dxa"/>
            <w:vAlign w:val="bottom"/>
            <w:tcBorders>
              <w:bottom w:val="single" w:sz="8" w:color="EDEDEE"/>
            </w:tcBorders>
          </w:tcPr>
          <w:p>
            <w:pPr>
              <w:spacing w:after="0"/>
              <w:rPr>
                <w:sz w:val="18"/>
                <w:szCs w:val="18"/>
                <w:color w:val="auto"/>
              </w:rPr>
            </w:pPr>
          </w:p>
        </w:tc>
        <w:tc>
          <w:tcPr>
            <w:tcW w:w="4100" w:type="dxa"/>
            <w:vAlign w:val="bottom"/>
            <w:tcBorders>
              <w:bottom w:val="single" w:sz="8" w:color="EDEDEE"/>
            </w:tcBorders>
            <w:gridSpan w:val="2"/>
          </w:tcPr>
          <w:p>
            <w:pPr>
              <w:ind w:left="120"/>
              <w:spacing w:after="0"/>
              <w:rPr>
                <w:sz w:val="20"/>
                <w:szCs w:val="20"/>
                <w:color w:val="auto"/>
              </w:rPr>
            </w:pPr>
            <w:r>
              <w:rPr>
                <w:rFonts w:ascii="Arial" w:cs="Arial" w:eastAsia="Arial" w:hAnsi="Arial"/>
                <w:sz w:val="16"/>
                <w:szCs w:val="16"/>
                <w:color w:val="auto"/>
              </w:rPr>
              <w:t>Derivatives recorded in interest expense</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9"/>
              </w:rPr>
              <w:t>1,273</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3,229</w:t>
            </w:r>
          </w:p>
        </w:tc>
        <w:tc>
          <w:tcPr>
            <w:tcW w:w="0" w:type="dxa"/>
            <w:vAlign w:val="bottom"/>
          </w:tcPr>
          <w:p>
            <w:pPr>
              <w:spacing w:after="0"/>
              <w:rPr>
                <w:sz w:val="1"/>
                <w:szCs w:val="1"/>
                <w:color w:val="auto"/>
              </w:rPr>
            </w:pPr>
          </w:p>
        </w:tc>
      </w:tr>
      <w:tr>
        <w:trPr>
          <w:trHeight w:val="235"/>
        </w:trPr>
        <w:tc>
          <w:tcPr>
            <w:tcW w:w="20" w:type="dxa"/>
            <w:vAlign w:val="bottom"/>
            <w:tcBorders>
              <w:bottom w:val="single" w:sz="8" w:color="EDEDEE"/>
            </w:tcBorders>
            <w:shd w:val="clear" w:color="auto" w:fill="EDEDEE"/>
          </w:tcPr>
          <w:p>
            <w:pPr>
              <w:spacing w:after="0"/>
              <w:rPr>
                <w:sz w:val="20"/>
                <w:szCs w:val="20"/>
                <w:color w:val="auto"/>
              </w:rPr>
            </w:pPr>
          </w:p>
        </w:tc>
        <w:tc>
          <w:tcPr>
            <w:tcW w:w="4100" w:type="dxa"/>
            <w:vAlign w:val="bottom"/>
            <w:tcBorders>
              <w:bottom w:val="single" w:sz="8" w:color="EDEDEE"/>
            </w:tcBorders>
            <w:gridSpan w:val="2"/>
            <w:shd w:val="clear" w:color="auto" w:fill="EDEDEE"/>
          </w:tcPr>
          <w:p>
            <w:pPr>
              <w:ind w:left="1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EDEDEE"/>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EDEDEE"/>
          </w:tcPr>
          <w:p>
            <w:pPr>
              <w:jc w:val="center"/>
              <w:ind w:left="119"/>
              <w:spacing w:after="0"/>
              <w:rPr>
                <w:sz w:val="20"/>
                <w:szCs w:val="20"/>
                <w:color w:val="auto"/>
              </w:rPr>
            </w:pPr>
            <w:r>
              <w:rPr>
                <w:rFonts w:ascii="Arial" w:cs="Arial" w:eastAsia="Arial" w:hAnsi="Arial"/>
                <w:sz w:val="16"/>
                <w:szCs w:val="16"/>
                <w:color w:val="auto"/>
              </w:rPr>
              <w:t>(1,399)</w:t>
            </w:r>
          </w:p>
        </w:tc>
        <w:tc>
          <w:tcPr>
            <w:tcW w:w="440" w:type="dxa"/>
            <w:vAlign w:val="bottom"/>
            <w:tcBorders>
              <w:bottom w:val="single" w:sz="8" w:color="auto"/>
            </w:tcBorders>
            <w:shd w:val="clear" w:color="auto" w:fill="EDEDEE"/>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(5,514)</w:t>
            </w:r>
          </w:p>
        </w:tc>
        <w:tc>
          <w:tcPr>
            <w:tcW w:w="0" w:type="dxa"/>
            <w:vAlign w:val="bottom"/>
          </w:tcPr>
          <w:p>
            <w:pPr>
              <w:spacing w:after="0"/>
              <w:rPr>
                <w:sz w:val="1"/>
                <w:szCs w:val="1"/>
                <w:color w:val="auto"/>
              </w:rPr>
            </w:pPr>
          </w:p>
        </w:tc>
      </w:tr>
      <w:tr>
        <w:trPr>
          <w:trHeight w:val="20"/>
        </w:trPr>
        <w:tc>
          <w:tcPr>
            <w:tcW w:w="20" w:type="dxa"/>
            <w:vAlign w:val="bottom"/>
            <w:tcBorders>
              <w:top w:val="single" w:sz="8" w:color="EDEDEE"/>
            </w:tcBorders>
          </w:tcPr>
          <w:p>
            <w:pPr>
              <w:spacing w:after="0" w:line="20" w:lineRule="exact"/>
              <w:rPr>
                <w:sz w:val="1"/>
                <w:szCs w:val="1"/>
                <w:color w:val="auto"/>
              </w:rPr>
            </w:pPr>
          </w:p>
        </w:tc>
        <w:tc>
          <w:tcPr>
            <w:tcW w:w="1440" w:type="dxa"/>
            <w:vAlign w:val="bottom"/>
            <w:tcBorders>
              <w:top w:val="single" w:sz="8" w:color="EDEDEE"/>
            </w:tcBorders>
          </w:tcPr>
          <w:p>
            <w:pPr>
              <w:spacing w:after="0" w:line="20" w:lineRule="exact"/>
              <w:rPr>
                <w:sz w:val="1"/>
                <w:szCs w:val="1"/>
                <w:color w:val="auto"/>
              </w:rPr>
            </w:pPr>
          </w:p>
        </w:tc>
        <w:tc>
          <w:tcPr>
            <w:tcW w:w="2660" w:type="dxa"/>
            <w:vAlign w:val="bottom"/>
            <w:tcBorders>
              <w:top w:val="single" w:sz="8" w:color="EDEDEE"/>
            </w:tcBorders>
          </w:tcPr>
          <w:p>
            <w:pPr>
              <w:spacing w:after="0" w:line="20" w:lineRule="exact"/>
              <w:rPr>
                <w:sz w:val="1"/>
                <w:szCs w:val="1"/>
                <w:color w:val="auto"/>
              </w:rPr>
            </w:pPr>
          </w:p>
        </w:tc>
        <w:tc>
          <w:tcPr>
            <w:tcW w:w="380" w:type="dxa"/>
            <w:vAlign w:val="bottom"/>
            <w:tcBorders>
              <w:top w:val="single" w:sz="8" w:color="EDEDEE"/>
              <w:bottom w:val="single" w:sz="8" w:color="auto"/>
            </w:tcBorders>
          </w:tcPr>
          <w:p>
            <w:pPr>
              <w:spacing w:after="0" w:line="20" w:lineRule="exact"/>
              <w:rPr>
                <w:sz w:val="1"/>
                <w:szCs w:val="1"/>
                <w:color w:val="auto"/>
              </w:rPr>
            </w:pPr>
          </w:p>
        </w:tc>
        <w:tc>
          <w:tcPr>
            <w:tcW w:w="880" w:type="dxa"/>
            <w:vAlign w:val="bottom"/>
            <w:tcBorders>
              <w:top w:val="single" w:sz="8" w:color="EDEDEE"/>
              <w:bottom w:val="single" w:sz="8" w:color="auto"/>
            </w:tcBorders>
          </w:tcPr>
          <w:p>
            <w:pPr>
              <w:spacing w:after="0" w:line="20" w:lineRule="exact"/>
              <w:rPr>
                <w:sz w:val="1"/>
                <w:szCs w:val="1"/>
                <w:color w:val="auto"/>
              </w:rPr>
            </w:pPr>
          </w:p>
        </w:tc>
        <w:tc>
          <w:tcPr>
            <w:tcW w:w="440" w:type="dxa"/>
            <w:vAlign w:val="bottom"/>
            <w:tcBorders>
              <w:top w:val="single" w:sz="8" w:color="EDEDEE"/>
              <w:bottom w:val="single" w:sz="8" w:color="auto"/>
            </w:tcBorders>
          </w:tcPr>
          <w:p>
            <w:pPr>
              <w:spacing w:after="0" w:line="20" w:lineRule="exact"/>
              <w:rPr>
                <w:sz w:val="1"/>
                <w:szCs w:val="1"/>
                <w:color w:val="auto"/>
              </w:rPr>
            </w:pPr>
          </w:p>
        </w:tc>
        <w:tc>
          <w:tcPr>
            <w:tcW w:w="8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EDEDEE"/>
            </w:tcBorders>
            <w:shd w:val="clear" w:color="auto" w:fill="EDEDEE"/>
          </w:tcPr>
          <w:p>
            <w:pPr>
              <w:spacing w:after="0"/>
              <w:rPr>
                <w:sz w:val="17"/>
                <w:szCs w:val="17"/>
                <w:color w:val="auto"/>
              </w:rPr>
            </w:pPr>
          </w:p>
        </w:tc>
        <w:tc>
          <w:tcPr>
            <w:tcW w:w="1440" w:type="dxa"/>
            <w:vAlign w:val="bottom"/>
            <w:tcBorders>
              <w:bottom w:val="single" w:sz="8" w:color="144F82"/>
            </w:tcBorders>
            <w:shd w:val="clear" w:color="auto" w:fill="EDEDEE"/>
          </w:tcPr>
          <w:p>
            <w:pPr>
              <w:spacing w:after="0" w:line="175" w:lineRule="exact"/>
              <w:rPr>
                <w:sz w:val="20"/>
                <w:szCs w:val="20"/>
                <w:color w:val="auto"/>
              </w:rPr>
            </w:pPr>
            <w:r>
              <w:rPr>
                <w:rFonts w:ascii="Arial" w:cs="Arial" w:eastAsia="Arial" w:hAnsi="Arial"/>
                <w:sz w:val="16"/>
                <w:szCs w:val="16"/>
                <w:b w:val="1"/>
                <w:bCs w:val="1"/>
                <w:color w:val="144F82"/>
                <w:w w:val="99"/>
              </w:rPr>
              <w:t>Cash Flow Hedges</w:t>
            </w:r>
          </w:p>
        </w:tc>
        <w:tc>
          <w:tcPr>
            <w:tcW w:w="2660" w:type="dxa"/>
            <w:vAlign w:val="bottom"/>
            <w:tcBorders>
              <w:bottom w:val="single" w:sz="8" w:color="EDEDEE"/>
            </w:tcBorders>
            <w:shd w:val="clear" w:color="auto" w:fill="EDEDEE"/>
          </w:tcPr>
          <w:p>
            <w:pPr>
              <w:spacing w:after="0"/>
              <w:rPr>
                <w:sz w:val="17"/>
                <w:szCs w:val="17"/>
                <w:color w:val="auto"/>
              </w:rPr>
            </w:pPr>
          </w:p>
        </w:tc>
        <w:tc>
          <w:tcPr>
            <w:tcW w:w="380" w:type="dxa"/>
            <w:vAlign w:val="bottom"/>
            <w:tcBorders>
              <w:bottom w:val="single" w:sz="8" w:color="EDEDEE"/>
            </w:tcBorders>
            <w:shd w:val="clear" w:color="auto" w:fill="EDEDEE"/>
          </w:tcPr>
          <w:p>
            <w:pPr>
              <w:spacing w:after="0"/>
              <w:rPr>
                <w:sz w:val="17"/>
                <w:szCs w:val="17"/>
                <w:color w:val="auto"/>
              </w:rPr>
            </w:pPr>
          </w:p>
        </w:tc>
        <w:tc>
          <w:tcPr>
            <w:tcW w:w="880" w:type="dxa"/>
            <w:vAlign w:val="bottom"/>
            <w:tcBorders>
              <w:bottom w:val="single" w:sz="8" w:color="EDEDEE"/>
            </w:tcBorders>
            <w:shd w:val="clear" w:color="auto" w:fill="EDEDEE"/>
          </w:tcPr>
          <w:p>
            <w:pPr>
              <w:spacing w:after="0"/>
              <w:rPr>
                <w:sz w:val="17"/>
                <w:szCs w:val="17"/>
                <w:color w:val="auto"/>
              </w:rPr>
            </w:pPr>
          </w:p>
        </w:tc>
        <w:tc>
          <w:tcPr>
            <w:tcW w:w="440" w:type="dxa"/>
            <w:vAlign w:val="bottom"/>
            <w:tcBorders>
              <w:bottom w:val="single" w:sz="8" w:color="EDEDEE"/>
            </w:tcBorders>
            <w:shd w:val="clear" w:color="auto" w:fill="EDEDEE"/>
          </w:tcPr>
          <w:p>
            <w:pPr>
              <w:spacing w:after="0"/>
              <w:rPr>
                <w:sz w:val="17"/>
                <w:szCs w:val="17"/>
                <w:color w:val="auto"/>
              </w:rPr>
            </w:pPr>
          </w:p>
        </w:tc>
        <w:tc>
          <w:tcPr>
            <w:tcW w:w="840" w:type="dxa"/>
            <w:vAlign w:val="bottom"/>
            <w:tcBorders>
              <w:bottom w:val="single" w:sz="8" w:color="EDEDEE"/>
            </w:tcBorders>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Interest rate swaps: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EDEDEE"/>
          </w:tcPr>
          <w:p>
            <w:pPr>
              <w:spacing w:after="0"/>
              <w:rPr>
                <w:sz w:val="14"/>
                <w:szCs w:val="14"/>
                <w:color w:val="auto"/>
              </w:rPr>
            </w:pPr>
          </w:p>
        </w:tc>
        <w:tc>
          <w:tcPr>
            <w:tcW w:w="4100" w:type="dxa"/>
            <w:vAlign w:val="bottom"/>
            <w:gridSpan w:val="2"/>
            <w:shd w:val="clear" w:color="auto" w:fill="EDEDEE"/>
          </w:tcPr>
          <w:p>
            <w:pPr>
              <w:ind w:left="120"/>
              <w:spacing w:after="0" w:line="163" w:lineRule="exact"/>
              <w:rPr>
                <w:sz w:val="20"/>
                <w:szCs w:val="20"/>
                <w:color w:val="auto"/>
              </w:rPr>
            </w:pPr>
            <w:r>
              <w:rPr>
                <w:rFonts w:ascii="Arial" w:cs="Arial" w:eastAsia="Arial" w:hAnsi="Arial"/>
                <w:sz w:val="16"/>
                <w:szCs w:val="16"/>
                <w:color w:val="auto"/>
              </w:rPr>
              <w:t>Amount of gain (loss) reclassified from accumulated</w:t>
            </w:r>
          </w:p>
        </w:tc>
        <w:tc>
          <w:tcPr>
            <w:tcW w:w="380" w:type="dxa"/>
            <w:vAlign w:val="bottom"/>
            <w:vMerge w:val="restart"/>
            <w:shd w:val="clear" w:color="auto" w:fill="EDEDEE"/>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EDEDEE"/>
          </w:tcPr>
          <w:p>
            <w:pPr>
              <w:jc w:val="center"/>
              <w:ind w:left="159"/>
              <w:spacing w:after="0"/>
              <w:rPr>
                <w:sz w:val="20"/>
                <w:szCs w:val="20"/>
                <w:color w:val="auto"/>
              </w:rPr>
            </w:pPr>
            <w:r>
              <w:rPr>
                <w:rFonts w:ascii="Arial" w:cs="Arial" w:eastAsia="Arial" w:hAnsi="Arial"/>
                <w:sz w:val="16"/>
                <w:szCs w:val="16"/>
                <w:color w:val="auto"/>
                <w:w w:val="99"/>
              </w:rPr>
              <w:t>5,919</w:t>
            </w:r>
          </w:p>
        </w:tc>
        <w:tc>
          <w:tcPr>
            <w:tcW w:w="440" w:type="dxa"/>
            <w:vAlign w:val="bottom"/>
            <w:vMerge w:val="restart"/>
            <w:shd w:val="clear" w:color="auto" w:fill="EDEDEE"/>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12,461</w:t>
            </w:r>
          </w:p>
        </w:tc>
        <w:tc>
          <w:tcPr>
            <w:tcW w:w="0" w:type="dxa"/>
            <w:vAlign w:val="bottom"/>
          </w:tcPr>
          <w:p>
            <w:pPr>
              <w:spacing w:after="0"/>
              <w:rPr>
                <w:sz w:val="1"/>
                <w:szCs w:val="1"/>
                <w:color w:val="auto"/>
              </w:rPr>
            </w:pPr>
          </w:p>
        </w:tc>
      </w:tr>
      <w:tr>
        <w:trPr>
          <w:trHeight w:val="221"/>
        </w:trPr>
        <w:tc>
          <w:tcPr>
            <w:tcW w:w="20" w:type="dxa"/>
            <w:vAlign w:val="bottom"/>
            <w:shd w:val="clear" w:color="auto" w:fill="EDEDEE"/>
          </w:tcPr>
          <w:p>
            <w:pPr>
              <w:spacing w:after="0"/>
              <w:rPr>
                <w:sz w:val="18"/>
                <w:szCs w:val="18"/>
                <w:color w:val="auto"/>
              </w:rPr>
            </w:pPr>
          </w:p>
        </w:tc>
        <w:tc>
          <w:tcPr>
            <w:tcW w:w="4100" w:type="dxa"/>
            <w:vAlign w:val="bottom"/>
            <w:gridSpan w:val="2"/>
            <w:shd w:val="clear" w:color="auto" w:fill="EDEDEE"/>
          </w:tcPr>
          <w:p>
            <w:pPr>
              <w:ind w:left="120"/>
              <w:spacing w:after="0"/>
              <w:rPr>
                <w:sz w:val="20"/>
                <w:szCs w:val="20"/>
                <w:color w:val="auto"/>
              </w:rPr>
            </w:pPr>
            <w:r>
              <w:rPr>
                <w:rFonts w:ascii="Arial" w:cs="Arial" w:eastAsia="Arial" w:hAnsi="Arial"/>
                <w:sz w:val="16"/>
                <w:szCs w:val="16"/>
                <w:color w:val="auto"/>
              </w:rPr>
              <w:t>other comprehensive income into interest expense</w:t>
            </w:r>
          </w:p>
        </w:tc>
        <w:tc>
          <w:tcPr>
            <w:tcW w:w="380" w:type="dxa"/>
            <w:vAlign w:val="bottom"/>
            <w:tcBorders>
              <w:bottom w:val="single" w:sz="8" w:color="auto"/>
            </w:tcBorders>
            <w:vMerge w:val="continue"/>
            <w:shd w:val="clear" w:color="auto" w:fill="EDEDEE"/>
          </w:tcPr>
          <w:p>
            <w:pPr>
              <w:spacing w:after="0"/>
              <w:rPr>
                <w:sz w:val="18"/>
                <w:szCs w:val="18"/>
                <w:color w:val="auto"/>
              </w:rPr>
            </w:pPr>
          </w:p>
        </w:tc>
        <w:tc>
          <w:tcPr>
            <w:tcW w:w="880" w:type="dxa"/>
            <w:vAlign w:val="bottom"/>
            <w:tcBorders>
              <w:bottom w:val="single" w:sz="8" w:color="auto"/>
            </w:tcBorders>
            <w:vMerge w:val="continue"/>
            <w:shd w:val="clear" w:color="auto" w:fill="EDEDEE"/>
          </w:tcPr>
          <w:p>
            <w:pPr>
              <w:spacing w:after="0"/>
              <w:rPr>
                <w:sz w:val="18"/>
                <w:szCs w:val="18"/>
                <w:color w:val="auto"/>
              </w:rPr>
            </w:pPr>
          </w:p>
        </w:tc>
        <w:tc>
          <w:tcPr>
            <w:tcW w:w="440" w:type="dxa"/>
            <w:vAlign w:val="bottom"/>
            <w:tcBorders>
              <w:bottom w:val="single" w:sz="8" w:color="auto"/>
            </w:tcBorders>
            <w:vMerge w:val="continue"/>
            <w:shd w:val="clear" w:color="auto" w:fill="EDEDEE"/>
          </w:tcPr>
          <w:p>
            <w:pPr>
              <w:spacing w:after="0"/>
              <w:rPr>
                <w:sz w:val="18"/>
                <w:szCs w:val="18"/>
                <w:color w:val="auto"/>
              </w:rPr>
            </w:pPr>
          </w:p>
        </w:tc>
        <w:tc>
          <w:tcPr>
            <w:tcW w:w="840" w:type="dxa"/>
            <w:vAlign w:val="bottom"/>
            <w:tcBorders>
              <w:bottom w:val="single" w:sz="8" w:color="auto"/>
            </w:tcBorders>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EDEDEE"/>
            </w:tcBorders>
          </w:tcPr>
          <w:p>
            <w:pPr>
              <w:spacing w:after="0"/>
              <w:rPr>
                <w:sz w:val="18"/>
                <w:szCs w:val="18"/>
                <w:color w:val="auto"/>
              </w:rPr>
            </w:pPr>
          </w:p>
        </w:tc>
        <w:tc>
          <w:tcPr>
            <w:tcW w:w="4100" w:type="dxa"/>
            <w:vAlign w:val="bottom"/>
            <w:tcBorders>
              <w:bottom w:val="single" w:sz="8" w:color="EDEDEE"/>
            </w:tcBorders>
            <w:gridSpan w:val="2"/>
          </w:tcPr>
          <w:p>
            <w:pPr>
              <w:ind w:left="1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9"/>
              </w:rPr>
              <w:t>5,919</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12,461</w:t>
            </w:r>
          </w:p>
        </w:tc>
        <w:tc>
          <w:tcPr>
            <w:tcW w:w="0" w:type="dxa"/>
            <w:vAlign w:val="bottom"/>
          </w:tcPr>
          <w:p>
            <w:pPr>
              <w:spacing w:after="0"/>
              <w:rPr>
                <w:sz w:val="1"/>
                <w:szCs w:val="1"/>
                <w:color w:val="auto"/>
              </w:rPr>
            </w:pPr>
          </w:p>
        </w:tc>
      </w:tr>
      <w:tr>
        <w:trPr>
          <w:trHeight w:val="235"/>
        </w:trPr>
        <w:tc>
          <w:tcPr>
            <w:tcW w:w="20" w:type="dxa"/>
            <w:vAlign w:val="bottom"/>
            <w:tcBorders>
              <w:bottom w:val="single" w:sz="8" w:color="EDEDEE"/>
            </w:tcBorders>
            <w:shd w:val="clear" w:color="auto" w:fill="EDEDEE"/>
          </w:tcPr>
          <w:p>
            <w:pPr>
              <w:spacing w:after="0"/>
              <w:rPr>
                <w:sz w:val="20"/>
                <w:szCs w:val="20"/>
                <w:color w:val="auto"/>
              </w:rPr>
            </w:pPr>
          </w:p>
        </w:tc>
        <w:tc>
          <w:tcPr>
            <w:tcW w:w="4100" w:type="dxa"/>
            <w:vAlign w:val="bottom"/>
            <w:tcBorders>
              <w:bottom w:val="single" w:sz="8" w:color="EDEDEE"/>
            </w:tcBorders>
            <w:gridSpan w:val="2"/>
            <w:shd w:val="clear" w:color="auto" w:fill="EDEDEE"/>
          </w:tcPr>
          <w:p>
            <w:pPr>
              <w:spacing w:after="0"/>
              <w:rPr>
                <w:sz w:val="20"/>
                <w:szCs w:val="20"/>
                <w:color w:val="auto"/>
              </w:rPr>
            </w:pPr>
            <w:r>
              <w:rPr>
                <w:rFonts w:ascii="Arial" w:cs="Arial" w:eastAsia="Arial" w:hAnsi="Arial"/>
                <w:sz w:val="16"/>
                <w:szCs w:val="16"/>
                <w:b w:val="1"/>
                <w:bCs w:val="1"/>
                <w:color w:val="144F82"/>
              </w:rPr>
              <w:t>Total</w:t>
            </w:r>
          </w:p>
        </w:tc>
        <w:tc>
          <w:tcPr>
            <w:tcW w:w="380" w:type="dxa"/>
            <w:vAlign w:val="bottom"/>
            <w:tcBorders>
              <w:bottom w:val="single" w:sz="8" w:color="auto"/>
            </w:tcBorders>
            <w:shd w:val="clear" w:color="auto" w:fill="EDEDEE"/>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EDEDEE"/>
          </w:tcPr>
          <w:p>
            <w:pPr>
              <w:jc w:val="center"/>
              <w:ind w:left="159"/>
              <w:spacing w:after="0"/>
              <w:rPr>
                <w:sz w:val="20"/>
                <w:szCs w:val="20"/>
                <w:color w:val="auto"/>
              </w:rPr>
            </w:pPr>
            <w:r>
              <w:rPr>
                <w:rFonts w:ascii="Arial" w:cs="Arial" w:eastAsia="Arial" w:hAnsi="Arial"/>
                <w:sz w:val="16"/>
                <w:szCs w:val="16"/>
                <w:color w:val="auto"/>
                <w:w w:val="99"/>
              </w:rPr>
              <w:t>4,520</w:t>
            </w:r>
          </w:p>
        </w:tc>
        <w:tc>
          <w:tcPr>
            <w:tcW w:w="440" w:type="dxa"/>
            <w:vAlign w:val="bottom"/>
            <w:tcBorders>
              <w:bottom w:val="single" w:sz="8" w:color="auto"/>
            </w:tcBorders>
            <w:shd w:val="clear" w:color="auto" w:fill="EDEDEE"/>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20"/>
        </w:trPr>
        <w:tc>
          <w:tcPr>
            <w:tcW w:w="20" w:type="dxa"/>
            <w:vAlign w:val="bottom"/>
            <w:tcBorders>
              <w:top w:val="single" w:sz="8" w:color="EDEDEE"/>
            </w:tcBorders>
          </w:tcPr>
          <w:p>
            <w:pPr>
              <w:spacing w:after="0" w:line="20" w:lineRule="exact"/>
              <w:rPr>
                <w:sz w:val="1"/>
                <w:szCs w:val="1"/>
                <w:color w:val="auto"/>
              </w:rPr>
            </w:pPr>
          </w:p>
        </w:tc>
        <w:tc>
          <w:tcPr>
            <w:tcW w:w="1440" w:type="dxa"/>
            <w:vAlign w:val="bottom"/>
            <w:tcBorders>
              <w:top w:val="single" w:sz="8" w:color="EDEDEE"/>
            </w:tcBorders>
          </w:tcPr>
          <w:p>
            <w:pPr>
              <w:spacing w:after="0" w:line="20" w:lineRule="exact"/>
              <w:rPr>
                <w:sz w:val="1"/>
                <w:szCs w:val="1"/>
                <w:color w:val="auto"/>
              </w:rPr>
            </w:pPr>
          </w:p>
        </w:tc>
        <w:tc>
          <w:tcPr>
            <w:tcW w:w="2660" w:type="dxa"/>
            <w:vAlign w:val="bottom"/>
            <w:tcBorders>
              <w:top w:val="single" w:sz="8" w:color="EDEDEE"/>
            </w:tcBorders>
          </w:tcPr>
          <w:p>
            <w:pPr>
              <w:spacing w:after="0" w:line="20" w:lineRule="exact"/>
              <w:rPr>
                <w:sz w:val="1"/>
                <w:szCs w:val="1"/>
                <w:color w:val="auto"/>
              </w:rPr>
            </w:pPr>
          </w:p>
        </w:tc>
        <w:tc>
          <w:tcPr>
            <w:tcW w:w="380" w:type="dxa"/>
            <w:vAlign w:val="bottom"/>
            <w:tcBorders>
              <w:top w:val="single" w:sz="8" w:color="EDEDEE"/>
              <w:bottom w:val="single" w:sz="8" w:color="auto"/>
            </w:tcBorders>
          </w:tcPr>
          <w:p>
            <w:pPr>
              <w:spacing w:after="0" w:line="20" w:lineRule="exact"/>
              <w:rPr>
                <w:sz w:val="1"/>
                <w:szCs w:val="1"/>
                <w:color w:val="auto"/>
              </w:rPr>
            </w:pPr>
          </w:p>
        </w:tc>
        <w:tc>
          <w:tcPr>
            <w:tcW w:w="880" w:type="dxa"/>
            <w:vAlign w:val="bottom"/>
            <w:tcBorders>
              <w:top w:val="single" w:sz="8" w:color="EDEDEE"/>
              <w:bottom w:val="single" w:sz="8" w:color="auto"/>
            </w:tcBorders>
          </w:tcPr>
          <w:p>
            <w:pPr>
              <w:spacing w:after="0" w:line="20" w:lineRule="exact"/>
              <w:rPr>
                <w:sz w:val="1"/>
                <w:szCs w:val="1"/>
                <w:color w:val="auto"/>
              </w:rPr>
            </w:pPr>
          </w:p>
        </w:tc>
        <w:tc>
          <w:tcPr>
            <w:tcW w:w="440" w:type="dxa"/>
            <w:vAlign w:val="bottom"/>
            <w:tcBorders>
              <w:top w:val="single" w:sz="8" w:color="EDEDEE"/>
              <w:bottom w:val="single" w:sz="8" w:color="auto"/>
            </w:tcBorders>
          </w:tcPr>
          <w:p>
            <w:pPr>
              <w:spacing w:after="0" w:line="20" w:lineRule="exact"/>
              <w:rPr>
                <w:sz w:val="1"/>
                <w:szCs w:val="1"/>
                <w:color w:val="auto"/>
              </w:rPr>
            </w:pPr>
          </w:p>
        </w:tc>
        <w:tc>
          <w:tcPr>
            <w:tcW w:w="8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134F82"/>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512" w:right="1059" w:bottom="1440" w:gutter="0" w:footer="0" w:header="0"/>
          <w:type w:val="continuous"/>
        </w:sectPr>
      </w:pPr>
    </w:p>
    <w:bookmarkStart w:id="38" w:name="page39"/>
    <w:bookmarkEnd w:id="38"/>
    <w:p>
      <w:pPr>
        <w:ind w:left="460" w:hanging="414"/>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200" w:lineRule="exact"/>
        <w:rPr>
          <w:sz w:val="20"/>
          <w:szCs w:val="20"/>
          <w:color w:val="auto"/>
        </w:rPr>
      </w:pPr>
    </w:p>
    <w:p>
      <w:pPr>
        <w:spacing w:after="0" w:line="221" w:lineRule="exact"/>
        <w:rPr>
          <w:sz w:val="20"/>
          <w:szCs w:val="20"/>
          <w:color w:val="auto"/>
        </w:rPr>
      </w:pPr>
    </w:p>
    <w:p>
      <w:pPr>
        <w:ind w:left="1320"/>
        <w:spacing w:after="0"/>
        <w:rPr>
          <w:sz w:val="20"/>
          <w:szCs w:val="20"/>
          <w:color w:val="auto"/>
        </w:rPr>
      </w:pPr>
      <w:r>
        <w:rPr>
          <w:rFonts w:ascii="Arial" w:cs="Arial" w:eastAsia="Arial" w:hAnsi="Arial"/>
          <w:sz w:val="16"/>
          <w:szCs w:val="16"/>
          <w:b w:val="1"/>
          <w:bCs w:val="1"/>
          <w:i w:val="1"/>
          <w:iCs w:val="1"/>
          <w:color w:val="144F82"/>
        </w:rPr>
        <w:t>Impact of Derivatives on the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19685</wp:posOffset>
            </wp:positionV>
            <wp:extent cx="54946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28"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144F82"/>
        </w:rPr>
        <w:t>Three Months Ended</w:t>
      </w:r>
    </w:p>
    <w:p>
      <w:pPr>
        <w:spacing w:after="0" w:line="42"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144F82"/>
        </w:rPr>
        <w:t>March 31,</w:t>
      </w:r>
    </w:p>
    <w:p>
      <w:pPr>
        <w:spacing w:after="0" w:line="35" w:lineRule="exact"/>
        <w:rPr>
          <w:sz w:val="20"/>
          <w:szCs w:val="20"/>
          <w:color w:val="auto"/>
        </w:rPr>
      </w:pPr>
    </w:p>
    <w:tbl>
      <w:tblPr>
        <w:tblLayout w:type="fixed"/>
        <w:tblInd w:w="1300" w:type="dxa"/>
        <w:tblCellMar>
          <w:top w:w="0" w:type="dxa"/>
          <w:left w:w="0" w:type="dxa"/>
          <w:bottom w:w="0" w:type="dxa"/>
          <w:right w:w="0" w:type="dxa"/>
        </w:tblCellMar>
      </w:tblPr>
      <w:tr>
        <w:trPr>
          <w:trHeight w:val="19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11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144F82"/>
              </w:rPr>
              <w:t>2025</w:t>
            </w:r>
          </w:p>
        </w:tc>
        <w:tc>
          <w:tcPr>
            <w:tcW w:w="11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144F82"/>
              </w:rPr>
              <w:t>2024</w:t>
            </w:r>
          </w:p>
        </w:tc>
      </w:tr>
    </w:tbl>
    <w:p>
      <w:pPr>
        <w:spacing w:after="0" w:line="94" w:lineRule="exact"/>
        <w:rPr>
          <w:sz w:val="20"/>
          <w:szCs w:val="20"/>
          <w:color w:val="auto"/>
        </w:rPr>
      </w:pPr>
    </w:p>
    <w:p>
      <w:pPr>
        <w:sectPr>
          <w:pgSz w:w="11900" w:h="16838" w:orient="portrait"/>
          <w:cols w:equalWidth="0" w:num="1">
            <w:col w:w="11240"/>
          </w:cols>
          <w:pgMar w:left="320" w:top="512" w:right="339" w:bottom="1440" w:gutter="0" w:footer="0" w:header="0"/>
        </w:sectPr>
      </w:pPr>
    </w:p>
    <w:p>
      <w:pPr>
        <w:ind w:left="1320"/>
        <w:spacing w:after="0"/>
        <w:rPr>
          <w:sz w:val="20"/>
          <w:szCs w:val="20"/>
          <w:color w:val="auto"/>
        </w:rPr>
      </w:pPr>
      <w:r>
        <w:rPr>
          <w:rFonts w:ascii="Arial" w:cs="Arial" w:eastAsia="Arial" w:hAnsi="Arial"/>
          <w:sz w:val="16"/>
          <w:szCs w:val="16"/>
          <w:color w:val="auto"/>
        </w:rPr>
        <w:t>Amount of gain (loss) recognized in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-115570</wp:posOffset>
            </wp:positionV>
            <wp:extent cx="549465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94655" cy="137160"/>
                    </a:xfrm>
                    <a:prstGeom prst="rect">
                      <a:avLst/>
                    </a:prstGeom>
                    <a:noFill/>
                  </pic:spPr>
                </pic:pic>
              </a:graphicData>
            </a:graphic>
          </wp:anchor>
        </w:drawing>
      </w:r>
    </w:p>
    <w:p>
      <w:pPr>
        <w:spacing w:after="0" w:line="1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Less: amount of gain (loss) reclassified in interest expense</w:t>
      </w:r>
    </w:p>
    <w:p>
      <w:pPr>
        <w:spacing w:after="0" w:line="32" w:lineRule="exact"/>
        <w:rPr>
          <w:sz w:val="20"/>
          <w:szCs w:val="20"/>
          <w:color w:val="auto"/>
        </w:rPr>
      </w:pPr>
    </w:p>
    <w:p>
      <w:pPr>
        <w:ind w:left="1320" w:right="40"/>
        <w:spacing w:after="0" w:line="261" w:lineRule="auto"/>
        <w:rPr>
          <w:sz w:val="20"/>
          <w:szCs w:val="20"/>
          <w:color w:val="auto"/>
        </w:rPr>
      </w:pPr>
      <w:r>
        <w:rPr>
          <w:rFonts w:ascii="Arial" w:cs="Arial" w:eastAsia="Arial" w:hAnsi="Arial"/>
          <w:sz w:val="16"/>
          <w:szCs w:val="16"/>
          <w:b w:val="1"/>
          <w:bCs w:val="1"/>
          <w:color w:val="144F82"/>
        </w:rPr>
        <w:t>Total change in other comprehensive income (loss) for unrealized gains (losses) on derivatives, before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-253365</wp:posOffset>
            </wp:positionV>
            <wp:extent cx="5494655"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94655"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9,412</w:t>
            </w:r>
          </w:p>
        </w:tc>
      </w:tr>
      <w:tr>
        <w:trPr>
          <w:trHeight w:val="217"/>
        </w:trPr>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5,919</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12,461</w:t>
            </w:r>
          </w:p>
        </w:tc>
      </w:tr>
      <w:tr>
        <w:trPr>
          <w:trHeight w:val="331"/>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(3,049)</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80" w:space="720"/>
            <w:col w:w="3640"/>
          </w:cols>
          <w:pgMar w:left="320" w:top="512" w:right="339" w:bottom="1440" w:gutter="0" w:footer="0" w:header="0"/>
          <w:type w:val="continuous"/>
        </w:sectPr>
      </w:pPr>
    </w:p>
    <w:p>
      <w:pPr>
        <w:spacing w:after="0" w:line="294" w:lineRule="exact"/>
        <w:rPr>
          <w:sz w:val="20"/>
          <w:szCs w:val="20"/>
          <w:color w:val="auto"/>
        </w:rPr>
      </w:pPr>
    </w:p>
    <w:p>
      <w:pPr>
        <w:ind w:right="140" w:firstLine="202"/>
        <w:spacing w:after="0" w:line="268" w:lineRule="auto"/>
        <w:rPr>
          <w:sz w:val="20"/>
          <w:szCs w:val="20"/>
          <w:color w:val="auto"/>
        </w:rPr>
      </w:pPr>
      <w:r>
        <w:rPr>
          <w:rFonts w:ascii="Arial" w:cs="Arial" w:eastAsia="Arial" w:hAnsi="Arial"/>
          <w:sz w:val="18"/>
          <w:szCs w:val="18"/>
          <w:color w:val="auto"/>
        </w:rPr>
        <w:t>Amounts reported in accumulated other comprehensive income related to derivatives will be reclassified to interest expense as interest payments are made on our variable-rate deposits. During the next twelve months, we estimate $16 million will be reclassified as a decrease to interest expense.</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Collateral</w:t>
      </w:r>
    </w:p>
    <w:p>
      <w:pPr>
        <w:spacing w:after="0" w:line="250" w:lineRule="exact"/>
        <w:rPr>
          <w:sz w:val="20"/>
          <w:szCs w:val="20"/>
          <w:color w:val="auto"/>
        </w:rPr>
      </w:pPr>
    </w:p>
    <w:p>
      <w:pPr>
        <w:ind w:firstLine="202"/>
        <w:spacing w:after="0" w:line="257" w:lineRule="auto"/>
        <w:rPr>
          <w:sz w:val="20"/>
          <w:szCs w:val="20"/>
          <w:color w:val="auto"/>
        </w:rPr>
      </w:pPr>
      <w:r>
        <w:rPr>
          <w:rFonts w:ascii="Arial" w:cs="Arial" w:eastAsia="Arial" w:hAnsi="Arial"/>
          <w:sz w:val="18"/>
          <w:szCs w:val="18"/>
          <w:color w:val="auto"/>
        </w:rPr>
        <w:t>As of March 31, 2025, cash collateral held and pledged excludes amounts that represent legal settlement of the derivative contracts held with the CME and LCH. There was no cash collateral held by us related to derivative exposure between us and our derivatives counterparties at March 31, 2025 and December 31, 2024, respectively. Collateral held is recorded in “Other Liabilities” on the consolidated balance sheets. Cash collateral pledged by us related to derivative exposure between us and our derivatives counterparties was $3 million and $5 million at March 31, 2025 and December 31, 2024, respectively. Collateral pledged is recorded in “Other interest-earning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34F82"/>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9. Stockholders’ Equity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common share repurchases and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240665</wp:posOffset>
            </wp:positionV>
            <wp:extent cx="49974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365"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144F82"/>
        </w:rPr>
        <w:t>Three Months Ended</w:t>
      </w:r>
    </w:p>
    <w:tbl>
      <w:tblPr>
        <w:tblLayout w:type="fixed"/>
        <w:tblInd w:w="170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44F82"/>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(Shares and per share amounts in actuals)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144F82"/>
              </w:rPr>
              <w:t>2025</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144F82"/>
              </w:rPr>
              <w:t>2024</w:t>
            </w:r>
          </w:p>
        </w:tc>
        <w:tc>
          <w:tcPr>
            <w:tcW w:w="0" w:type="dxa"/>
            <w:vAlign w:val="bottom"/>
          </w:tcPr>
          <w:p>
            <w:pPr>
              <w:spacing w:after="0"/>
              <w:rPr>
                <w:sz w:val="1"/>
                <w:szCs w:val="1"/>
                <w:color w:val="auto"/>
              </w:rPr>
            </w:pPr>
          </w:p>
        </w:tc>
      </w:tr>
      <w:tr>
        <w:trPr>
          <w:trHeight w:val="211"/>
        </w:trPr>
        <w:tc>
          <w:tcPr>
            <w:tcW w:w="5280" w:type="dxa"/>
            <w:vAlign w:val="bottom"/>
            <w:shd w:val="clear" w:color="auto" w:fill="EDEDEE"/>
          </w:tcPr>
          <w:p>
            <w:pPr>
              <w:ind w:left="20"/>
              <w:spacing w:after="0" w:line="211" w:lineRule="exact"/>
              <w:rPr>
                <w:sz w:val="20"/>
                <w:szCs w:val="20"/>
                <w:color w:val="auto"/>
              </w:rPr>
            </w:pPr>
            <w:r>
              <w:rPr>
                <w:rFonts w:ascii="Arial" w:cs="Arial" w:eastAsia="Arial" w:hAnsi="Arial"/>
                <w:sz w:val="16"/>
                <w:szCs w:val="16"/>
                <w:color w:val="auto"/>
              </w:rPr>
              <w:t>Common stock repurchased under repurchase programs</w:t>
            </w:r>
            <w:r>
              <w:rPr>
                <w:rFonts w:ascii="Arial" w:cs="Arial" w:eastAsia="Arial" w:hAnsi="Arial"/>
                <w:sz w:val="21"/>
                <w:szCs w:val="21"/>
                <w:color w:val="auto"/>
                <w:vertAlign w:val="superscript"/>
              </w:rPr>
              <w:t>(1)</w:t>
            </w:r>
          </w:p>
        </w:tc>
        <w:tc>
          <w:tcPr>
            <w:tcW w:w="280" w:type="dxa"/>
            <w:vAlign w:val="bottom"/>
            <w:shd w:val="clear" w:color="auto" w:fill="EDEDEE"/>
          </w:tcPr>
          <w:p>
            <w:pPr>
              <w:spacing w:after="0"/>
              <w:rPr>
                <w:sz w:val="18"/>
                <w:szCs w:val="18"/>
                <w:color w:val="auto"/>
              </w:rPr>
            </w:pPr>
          </w:p>
        </w:tc>
        <w:tc>
          <w:tcPr>
            <w:tcW w:w="980" w:type="dxa"/>
            <w:vAlign w:val="bottom"/>
            <w:shd w:val="clear" w:color="auto" w:fill="EDEDEE"/>
          </w:tcPr>
          <w:p>
            <w:pPr>
              <w:jc w:val="right"/>
              <w:ind w:right="22"/>
              <w:spacing w:after="0"/>
              <w:rPr>
                <w:sz w:val="20"/>
                <w:szCs w:val="20"/>
                <w:color w:val="auto"/>
              </w:rPr>
            </w:pPr>
            <w:r>
              <w:rPr>
                <w:rFonts w:ascii="Arial" w:cs="Arial" w:eastAsia="Arial" w:hAnsi="Arial"/>
                <w:sz w:val="16"/>
                <w:szCs w:val="16"/>
                <w:color w:val="auto"/>
              </w:rPr>
              <w:t>1,037,391</w:t>
            </w:r>
          </w:p>
        </w:tc>
        <w:tc>
          <w:tcPr>
            <w:tcW w:w="460" w:type="dxa"/>
            <w:vAlign w:val="bottom"/>
            <w:shd w:val="clear" w:color="auto" w:fill="EDEDEE"/>
          </w:tcPr>
          <w:p>
            <w:pPr>
              <w:spacing w:after="0"/>
              <w:rPr>
                <w:sz w:val="18"/>
                <w:szCs w:val="18"/>
                <w:color w:val="auto"/>
              </w:rPr>
            </w:pPr>
          </w:p>
        </w:tc>
        <w:tc>
          <w:tcPr>
            <w:tcW w:w="88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1,310,723</w:t>
            </w:r>
          </w:p>
        </w:tc>
        <w:tc>
          <w:tcPr>
            <w:tcW w:w="0" w:type="dxa"/>
            <w:vAlign w:val="bottom"/>
          </w:tcPr>
          <w:p>
            <w:pPr>
              <w:spacing w:after="0"/>
              <w:rPr>
                <w:sz w:val="1"/>
                <w:szCs w:val="1"/>
                <w:color w:val="auto"/>
              </w:rPr>
            </w:pPr>
          </w:p>
        </w:tc>
      </w:tr>
      <w:tr>
        <w:trPr>
          <w:trHeight w:val="216"/>
        </w:trPr>
        <w:tc>
          <w:tcPr>
            <w:tcW w:w="5280" w:type="dxa"/>
            <w:vAlign w:val="bottom"/>
          </w:tcPr>
          <w:p>
            <w:pPr>
              <w:ind w:left="160"/>
              <w:spacing w:after="0" w:line="216" w:lineRule="exact"/>
              <w:rPr>
                <w:sz w:val="20"/>
                <w:szCs w:val="20"/>
                <w:color w:val="auto"/>
              </w:rPr>
            </w:pPr>
            <w:r>
              <w:rPr>
                <w:rFonts w:ascii="Arial" w:cs="Arial" w:eastAsia="Arial" w:hAnsi="Arial"/>
                <w:sz w:val="16"/>
                <w:szCs w:val="16"/>
                <w:color w:val="auto"/>
              </w:rPr>
              <w:t>Average purchase price per share</w:t>
            </w:r>
            <w:r>
              <w:rPr>
                <w:rFonts w:ascii="Arial" w:cs="Arial" w:eastAsia="Arial" w:hAnsi="Arial"/>
                <w:sz w:val="21"/>
                <w:szCs w:val="21"/>
                <w:color w:val="auto"/>
                <w:vertAlign w:val="superscript"/>
              </w:rPr>
              <w:t>(2)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29.65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162"/>
        </w:trPr>
        <w:tc>
          <w:tcPr>
            <w:tcW w:w="5280" w:type="dxa"/>
            <w:vAlign w:val="bottom"/>
            <w:shd w:val="clear" w:color="auto" w:fill="EDEDEE"/>
          </w:tcPr>
          <w:p>
            <w:pPr>
              <w:ind w:left="20"/>
              <w:spacing w:after="0" w:line="162" w:lineRule="exact"/>
              <w:rPr>
                <w:sz w:val="20"/>
                <w:szCs w:val="20"/>
                <w:color w:val="auto"/>
              </w:rPr>
            </w:pPr>
            <w:r>
              <w:rPr>
                <w:rFonts w:ascii="Arial" w:cs="Arial" w:eastAsia="Arial" w:hAnsi="Arial"/>
                <w:sz w:val="16"/>
                <w:szCs w:val="16"/>
                <w:color w:val="auto"/>
              </w:rPr>
              <w:t>Shares repurchased related to employee stock-based compensation</w:t>
            </w:r>
          </w:p>
        </w:tc>
        <w:tc>
          <w:tcPr>
            <w:tcW w:w="280" w:type="dxa"/>
            <w:vAlign w:val="bottom"/>
            <w:shd w:val="clear" w:color="auto" w:fill="EDEDEE"/>
          </w:tcPr>
          <w:p>
            <w:pPr>
              <w:spacing w:after="0"/>
              <w:rPr>
                <w:sz w:val="14"/>
                <w:szCs w:val="14"/>
                <w:color w:val="auto"/>
              </w:rPr>
            </w:pPr>
          </w:p>
        </w:tc>
        <w:tc>
          <w:tcPr>
            <w:tcW w:w="980" w:type="dxa"/>
            <w:vAlign w:val="bottom"/>
            <w:vMerge w:val="restart"/>
            <w:shd w:val="clear" w:color="auto" w:fill="EDEDEE"/>
          </w:tcPr>
          <w:p>
            <w:pPr>
              <w:jc w:val="right"/>
              <w:ind w:right="22"/>
              <w:spacing w:after="0"/>
              <w:rPr>
                <w:sz w:val="20"/>
                <w:szCs w:val="20"/>
                <w:color w:val="auto"/>
              </w:rPr>
            </w:pPr>
            <w:r>
              <w:rPr>
                <w:rFonts w:ascii="Arial" w:cs="Arial" w:eastAsia="Arial" w:hAnsi="Arial"/>
                <w:sz w:val="16"/>
                <w:szCs w:val="16"/>
                <w:color w:val="auto"/>
              </w:rPr>
              <w:t>830,868</w:t>
            </w:r>
          </w:p>
        </w:tc>
        <w:tc>
          <w:tcPr>
            <w:tcW w:w="460" w:type="dxa"/>
            <w:vAlign w:val="bottom"/>
            <w:shd w:val="clear" w:color="auto" w:fill="EDEDEE"/>
          </w:tcPr>
          <w:p>
            <w:pPr>
              <w:spacing w:after="0"/>
              <w:rPr>
                <w:sz w:val="14"/>
                <w:szCs w:val="14"/>
                <w:color w:val="auto"/>
              </w:rPr>
            </w:pPr>
          </w:p>
        </w:tc>
        <w:tc>
          <w:tcPr>
            <w:tcW w:w="88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683,247</w:t>
            </w:r>
          </w:p>
        </w:tc>
        <w:tc>
          <w:tcPr>
            <w:tcW w:w="0" w:type="dxa"/>
            <w:vAlign w:val="bottom"/>
          </w:tcPr>
          <w:p>
            <w:pPr>
              <w:spacing w:after="0"/>
              <w:rPr>
                <w:sz w:val="1"/>
                <w:szCs w:val="1"/>
                <w:color w:val="auto"/>
              </w:rPr>
            </w:pPr>
          </w:p>
        </w:tc>
      </w:tr>
      <w:tr>
        <w:trPr>
          <w:trHeight w:val="216"/>
        </w:trPr>
        <w:tc>
          <w:tcPr>
            <w:tcW w:w="5280" w:type="dxa"/>
            <w:vAlign w:val="bottom"/>
            <w:shd w:val="clear" w:color="auto" w:fill="EDEDEE"/>
          </w:tcPr>
          <w:p>
            <w:pPr>
              <w:ind w:left="20"/>
              <w:spacing w:after="0" w:line="216" w:lineRule="exact"/>
              <w:rPr>
                <w:sz w:val="20"/>
                <w:szCs w:val="20"/>
                <w:color w:val="auto"/>
              </w:rPr>
            </w:pPr>
            <w:r>
              <w:rPr>
                <w:rFonts w:ascii="Arial" w:cs="Arial" w:eastAsia="Arial" w:hAnsi="Arial"/>
                <w:sz w:val="16"/>
                <w:szCs w:val="16"/>
                <w:color w:val="auto"/>
              </w:rPr>
              <w:t>plans</w:t>
            </w:r>
            <w:r>
              <w:rPr>
                <w:rFonts w:ascii="Arial" w:cs="Arial" w:eastAsia="Arial" w:hAnsi="Arial"/>
                <w:sz w:val="21"/>
                <w:szCs w:val="21"/>
                <w:color w:val="auto"/>
                <w:vertAlign w:val="superscript"/>
              </w:rPr>
              <w:t>(3)</w:t>
            </w:r>
          </w:p>
        </w:tc>
        <w:tc>
          <w:tcPr>
            <w:tcW w:w="280" w:type="dxa"/>
            <w:vAlign w:val="bottom"/>
            <w:shd w:val="clear" w:color="auto" w:fill="EDEDEE"/>
          </w:tcPr>
          <w:p>
            <w:pPr>
              <w:spacing w:after="0"/>
              <w:rPr>
                <w:sz w:val="18"/>
                <w:szCs w:val="18"/>
                <w:color w:val="auto"/>
              </w:rPr>
            </w:pPr>
          </w:p>
        </w:tc>
        <w:tc>
          <w:tcPr>
            <w:tcW w:w="980" w:type="dxa"/>
            <w:vAlign w:val="bottom"/>
            <w:vMerge w:val="continue"/>
            <w:shd w:val="clear" w:color="auto" w:fill="EDEDEE"/>
          </w:tcPr>
          <w:p>
            <w:pPr>
              <w:spacing w:after="0"/>
              <w:rPr>
                <w:sz w:val="18"/>
                <w:szCs w:val="18"/>
                <w:color w:val="auto"/>
              </w:rPr>
            </w:pPr>
          </w:p>
        </w:tc>
        <w:tc>
          <w:tcPr>
            <w:tcW w:w="460" w:type="dxa"/>
            <w:vAlign w:val="bottom"/>
            <w:shd w:val="clear" w:color="auto" w:fill="EDEDEE"/>
          </w:tcPr>
          <w:p>
            <w:pPr>
              <w:spacing w:after="0"/>
              <w:rPr>
                <w:sz w:val="18"/>
                <w:szCs w:val="18"/>
                <w:color w:val="auto"/>
              </w:rPr>
            </w:pPr>
          </w:p>
        </w:tc>
        <w:tc>
          <w:tcPr>
            <w:tcW w:w="88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160"/>
              <w:spacing w:after="0"/>
              <w:rPr>
                <w:sz w:val="20"/>
                <w:szCs w:val="20"/>
                <w:color w:val="auto"/>
              </w:rPr>
            </w:pPr>
            <w:r>
              <w:rPr>
                <w:rFonts w:ascii="Arial" w:cs="Arial" w:eastAsia="Arial" w:hAnsi="Arial"/>
                <w:sz w:val="16"/>
                <w:szCs w:val="16"/>
                <w:color w:val="auto"/>
              </w:rPr>
              <w:t>Average purchase price per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31.26</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217"/>
        </w:trPr>
        <w:tc>
          <w:tcPr>
            <w:tcW w:w="5280" w:type="dxa"/>
            <w:vAlign w:val="bottom"/>
            <w:shd w:val="clear" w:color="auto" w:fill="EDEDEE"/>
          </w:tcPr>
          <w:p>
            <w:pPr>
              <w:ind w:left="20"/>
              <w:spacing w:after="0" w:line="217" w:lineRule="exact"/>
              <w:rPr>
                <w:sz w:val="20"/>
                <w:szCs w:val="20"/>
                <w:color w:val="auto"/>
              </w:rPr>
            </w:pPr>
            <w:r>
              <w:rPr>
                <w:rFonts w:ascii="Arial" w:cs="Arial" w:eastAsia="Arial" w:hAnsi="Arial"/>
                <w:sz w:val="16"/>
                <w:szCs w:val="16"/>
                <w:color w:val="auto"/>
              </w:rPr>
              <w:t>Common shares issued</w:t>
            </w:r>
            <w:r>
              <w:rPr>
                <w:rFonts w:ascii="Arial" w:cs="Arial" w:eastAsia="Arial" w:hAnsi="Arial"/>
                <w:sz w:val="21"/>
                <w:szCs w:val="21"/>
                <w:color w:val="auto"/>
                <w:vertAlign w:val="superscript"/>
              </w:rPr>
              <w:t>(4)</w:t>
            </w:r>
          </w:p>
        </w:tc>
        <w:tc>
          <w:tcPr>
            <w:tcW w:w="280" w:type="dxa"/>
            <w:vAlign w:val="bottom"/>
            <w:shd w:val="clear" w:color="auto" w:fill="EDEDEE"/>
          </w:tcPr>
          <w:p>
            <w:pPr>
              <w:spacing w:after="0"/>
              <w:rPr>
                <w:sz w:val="18"/>
                <w:szCs w:val="18"/>
                <w:color w:val="auto"/>
              </w:rPr>
            </w:pPr>
          </w:p>
        </w:tc>
        <w:tc>
          <w:tcPr>
            <w:tcW w:w="980" w:type="dxa"/>
            <w:vAlign w:val="bottom"/>
            <w:shd w:val="clear" w:color="auto" w:fill="EDEDEE"/>
          </w:tcPr>
          <w:p>
            <w:pPr>
              <w:jc w:val="right"/>
              <w:ind w:right="22"/>
              <w:spacing w:after="0"/>
              <w:rPr>
                <w:sz w:val="20"/>
                <w:szCs w:val="20"/>
                <w:color w:val="auto"/>
              </w:rPr>
            </w:pPr>
            <w:r>
              <w:rPr>
                <w:rFonts w:ascii="Arial" w:cs="Arial" w:eastAsia="Arial" w:hAnsi="Arial"/>
                <w:sz w:val="16"/>
                <w:szCs w:val="16"/>
                <w:color w:val="auto"/>
              </w:rPr>
              <w:t>2,224,810</w:t>
            </w:r>
          </w:p>
        </w:tc>
        <w:tc>
          <w:tcPr>
            <w:tcW w:w="460" w:type="dxa"/>
            <w:vAlign w:val="bottom"/>
            <w:shd w:val="clear" w:color="auto" w:fill="EDEDEE"/>
          </w:tcPr>
          <w:p>
            <w:pPr>
              <w:spacing w:after="0"/>
              <w:rPr>
                <w:sz w:val="18"/>
                <w:szCs w:val="18"/>
                <w:color w:val="auto"/>
              </w:rPr>
            </w:pPr>
          </w:p>
        </w:tc>
        <w:tc>
          <w:tcPr>
            <w:tcW w:w="88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1,925,920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040" w:right="1460" w:hanging="250"/>
        <w:spacing w:after="0" w:line="238" w:lineRule="auto"/>
        <w:tabs>
          <w:tab w:leader="none" w:pos="193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Common shares purchased under our share repurchase programs. There was $372 million of capacity remaining under the 2024 Share Repurchase Program at March 31, 2025.</w:t>
      </w:r>
    </w:p>
    <w:p>
      <w:pPr>
        <w:spacing w:after="0" w:line="50" w:lineRule="exact"/>
        <w:rPr>
          <w:rFonts w:ascii="Arial" w:cs="Arial" w:eastAsia="Arial" w:hAnsi="Arial"/>
          <w:sz w:val="18"/>
          <w:szCs w:val="18"/>
          <w:color w:val="auto"/>
          <w:vertAlign w:val="superscript"/>
        </w:rPr>
      </w:pPr>
    </w:p>
    <w:p>
      <w:pPr>
        <w:ind w:left="1940" w:hanging="150"/>
        <w:spacing w:after="0"/>
        <w:tabs>
          <w:tab w:leader="none" w:pos="19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Average purchase price per share includes purchase commission costs and excise taxes.</w:t>
      </w:r>
    </w:p>
    <w:p>
      <w:pPr>
        <w:spacing w:after="0" w:line="57" w:lineRule="exact"/>
        <w:rPr>
          <w:rFonts w:ascii="Arial" w:cs="Arial" w:eastAsia="Arial" w:hAnsi="Arial"/>
          <w:sz w:val="18"/>
          <w:szCs w:val="18"/>
          <w:color w:val="auto"/>
          <w:vertAlign w:val="superscript"/>
        </w:rPr>
      </w:pPr>
    </w:p>
    <w:p>
      <w:pPr>
        <w:ind w:left="2040" w:right="1480" w:hanging="250"/>
        <w:spacing w:after="0" w:line="280" w:lineRule="auto"/>
        <w:tabs>
          <w:tab w:leader="none" w:pos="1937" w:val="left"/>
        </w:tabs>
        <w:numPr>
          <w:ilvl w:val="0"/>
          <w:numId w:val="45"/>
        </w:numPr>
        <w:rPr>
          <w:rFonts w:ascii="Arial" w:cs="Arial" w:eastAsia="Arial" w:hAnsi="Arial"/>
          <w:sz w:val="9"/>
          <w:szCs w:val="9"/>
          <w:color w:val="auto"/>
        </w:rPr>
      </w:pPr>
      <w:r>
        <w:rPr>
          <w:rFonts w:ascii="Arial" w:cs="Arial" w:eastAsia="Arial" w:hAnsi="Arial"/>
          <w:sz w:val="14"/>
          <w:szCs w:val="14"/>
          <w:color w:val="auto"/>
        </w:rPr>
        <w:t>Comprised of shares withheld from stock option exercises and the vesting of restricted stock, restricted stock units, performance stock units, and dividend equivalent units for employees’ tax withholding obligations and shares tendered by employees to satisfy option exercise costs.</w:t>
      </w:r>
    </w:p>
    <w:p>
      <w:pPr>
        <w:spacing w:after="0" w:line="11" w:lineRule="exact"/>
        <w:rPr>
          <w:rFonts w:ascii="Arial" w:cs="Arial" w:eastAsia="Arial" w:hAnsi="Arial"/>
          <w:sz w:val="9"/>
          <w:szCs w:val="9"/>
          <w:color w:val="auto"/>
        </w:rPr>
      </w:pPr>
    </w:p>
    <w:p>
      <w:pPr>
        <w:ind w:left="1980" w:hanging="190"/>
        <w:spacing w:after="0"/>
        <w:tabs>
          <w:tab w:leader="none" w:pos="198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Common shares issued under our various compensation and benefit plans.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closing price of our common stock on the NASDAQ Global Select Market on March 31, 2025 was $29.37.</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Dividend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2025 and March 2024, we paid a common stock dividend of $0.13 and $0.11 per common share, respectively.</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88"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In January 2022, we announced a share repurchase program of up to $1.25 billion of common stock that expired in January 2024. In January 2024, we announced a new share repurchase program of up to $650 million of common stock (the “2024 Share Repurchase Program”). The program expires in February 2026. We had $372 million of capacity remaining under the 2024 Share Repurchase Program at March 31, 2025.</w:t>
      </w:r>
    </w:p>
    <w:p>
      <w:pPr>
        <w:spacing w:after="0" w:line="41" w:lineRule="exact"/>
        <w:rPr>
          <w:sz w:val="20"/>
          <w:szCs w:val="20"/>
          <w:color w:val="auto"/>
        </w:rPr>
      </w:pPr>
    </w:p>
    <w:p>
      <w:pPr>
        <w:ind w:right="300" w:firstLine="445"/>
        <w:spacing w:after="0" w:line="262" w:lineRule="auto"/>
        <w:rPr>
          <w:sz w:val="20"/>
          <w:szCs w:val="20"/>
          <w:color w:val="auto"/>
        </w:rPr>
      </w:pPr>
      <w:r>
        <w:rPr>
          <w:rFonts w:ascii="Arial" w:cs="Arial" w:eastAsia="Arial" w:hAnsi="Arial"/>
          <w:sz w:val="18"/>
          <w:szCs w:val="18"/>
          <w:color w:val="auto"/>
        </w:rPr>
        <w:t>Under the 2024 Share Repurchase Program, repurchases could occur from time to time and through a variety of methods, including open market repurchases, repurchases effected through Rule 10b5-1 trading plans, negotiated block purchases, accelerated share repurchase programs, tender offers, or other similar transactions. The timing and volume of any repurchases are subject to market conditions, and there can be no guarantee that the Company will repurchase up to the limit of the 2024 Share Repurchase Program.</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Repurchases under Rule 10b5-1 trading plans</w:t>
      </w:r>
    </w:p>
    <w:p>
      <w:pPr>
        <w:spacing w:after="0" w:line="88" w:lineRule="exact"/>
        <w:rPr>
          <w:sz w:val="20"/>
          <w:szCs w:val="20"/>
          <w:color w:val="auto"/>
        </w:rPr>
      </w:pPr>
    </w:p>
    <w:p>
      <w:pPr>
        <w:jc w:val="both"/>
        <w:ind w:right="540" w:firstLine="445"/>
        <w:spacing w:after="0" w:line="268" w:lineRule="auto"/>
        <w:rPr>
          <w:sz w:val="20"/>
          <w:szCs w:val="20"/>
          <w:color w:val="auto"/>
        </w:rPr>
      </w:pPr>
      <w:r>
        <w:rPr>
          <w:rFonts w:ascii="Arial" w:cs="Arial" w:eastAsia="Arial" w:hAnsi="Arial"/>
          <w:sz w:val="18"/>
          <w:szCs w:val="18"/>
          <w:color w:val="auto"/>
        </w:rPr>
        <w:t>During the three months ended March 31, 2025 and 2024, we repurchased 1.0 million and 1.3 million shares, respectively, of our common stock at a total cost of $31 million and $27 million, respectively, under Rule 10b5-1 trading plans authorized under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34F82"/>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Basic earnings per common share (“EPS”) are calculated using the weighted average number of shares of common stock outstanding during each period. A reconciliation of the numerators and denominators of the basic and diluted EPS calculations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246380</wp:posOffset>
            </wp:positionV>
            <wp:extent cx="5109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374"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144F82"/>
        </w:rPr>
        <w:t>Three Months Ended</w:t>
      </w:r>
    </w:p>
    <w:tbl>
      <w:tblPr>
        <w:tblLayout w:type="fixed"/>
        <w:tblInd w:w="184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44F82"/>
              </w:rPr>
              <w:t>March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44F82"/>
              </w:rPr>
              <w:t>(Dollars in thousands, except per share data)</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144F82"/>
              </w:rPr>
              <w:t>2025</w:t>
            </w: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144F82"/>
              </w:rPr>
              <w:t>2024</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6"/>
                <w:szCs w:val="16"/>
                <w:b w:val="1"/>
                <w:bCs w:val="1"/>
                <w:color w:val="144F82"/>
              </w:rPr>
              <w:t>Numerator:</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DEDEE"/>
          </w:tcPr>
          <w:p>
            <w:pPr>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EDEDEE"/>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DEDEE"/>
          </w:tcPr>
          <w:p>
            <w:pPr>
              <w:jc w:val="right"/>
              <w:ind w:right="23"/>
              <w:spacing w:after="0"/>
              <w:rPr>
                <w:sz w:val="20"/>
                <w:szCs w:val="20"/>
                <w:color w:val="auto"/>
              </w:rPr>
            </w:pPr>
            <w:r>
              <w:rPr>
                <w:rFonts w:ascii="Arial" w:cs="Arial" w:eastAsia="Arial" w:hAnsi="Arial"/>
                <w:sz w:val="16"/>
                <w:szCs w:val="16"/>
                <w:color w:val="auto"/>
              </w:rPr>
              <w:t>304,540</w:t>
            </w:r>
          </w:p>
        </w:tc>
        <w:tc>
          <w:tcPr>
            <w:tcW w:w="460" w:type="dxa"/>
            <w:vAlign w:val="bottom"/>
            <w:shd w:val="clear" w:color="auto" w:fill="EDEDEE"/>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289,931</w:t>
            </w:r>
          </w:p>
        </w:tc>
        <w:tc>
          <w:tcPr>
            <w:tcW w:w="0" w:type="dxa"/>
            <w:vAlign w:val="bottom"/>
          </w:tcPr>
          <w:p>
            <w:pPr>
              <w:spacing w:after="0"/>
              <w:rPr>
                <w:sz w:val="1"/>
                <w:szCs w:val="1"/>
                <w:color w:val="auto"/>
              </w:rPr>
            </w:pPr>
          </w:p>
        </w:tc>
      </w:tr>
      <w:tr>
        <w:trPr>
          <w:trHeight w:val="215"/>
        </w:trPr>
        <w:tc>
          <w:tcPr>
            <w:tcW w:w="5560" w:type="dxa"/>
            <w:vAlign w:val="bottom"/>
            <w:tcBorders>
              <w:bottom w:val="single" w:sz="8" w:color="EDEDEE"/>
            </w:tcBorders>
          </w:tcPr>
          <w:p>
            <w:pPr>
              <w:spacing w:after="0"/>
              <w:rPr>
                <w:sz w:val="20"/>
                <w:szCs w:val="20"/>
                <w:color w:val="auto"/>
              </w:rPr>
            </w:pPr>
            <w:r>
              <w:rPr>
                <w:rFonts w:ascii="Arial" w:cs="Arial" w:eastAsia="Arial" w:hAnsi="Arial"/>
                <w:sz w:val="16"/>
                <w:szCs w:val="16"/>
                <w:color w:val="auto"/>
              </w:rPr>
              <w:t>Preferred stock dividends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3,956</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4,653</w:t>
            </w:r>
          </w:p>
        </w:tc>
        <w:tc>
          <w:tcPr>
            <w:tcW w:w="0" w:type="dxa"/>
            <w:vAlign w:val="bottom"/>
          </w:tcPr>
          <w:p>
            <w:pPr>
              <w:spacing w:after="0"/>
              <w:rPr>
                <w:sz w:val="1"/>
                <w:szCs w:val="1"/>
                <w:color w:val="auto"/>
              </w:rPr>
            </w:pPr>
          </w:p>
        </w:tc>
      </w:tr>
      <w:tr>
        <w:trPr>
          <w:trHeight w:val="235"/>
        </w:trPr>
        <w:tc>
          <w:tcPr>
            <w:tcW w:w="556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color w:val="auto"/>
              </w:rPr>
              <w:t>Net income attributable to SLM Corporation common stock</w:t>
            </w:r>
          </w:p>
        </w:tc>
        <w:tc>
          <w:tcPr>
            <w:tcW w:w="260" w:type="dxa"/>
            <w:vAlign w:val="bottom"/>
            <w:tcBorders>
              <w:bottom w:val="single" w:sz="8" w:color="auto"/>
            </w:tcBorders>
            <w:shd w:val="clear" w:color="auto" w:fill="EDEDEE"/>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EDEDEE"/>
          </w:tcPr>
          <w:p>
            <w:pPr>
              <w:jc w:val="right"/>
              <w:ind w:right="23"/>
              <w:spacing w:after="0"/>
              <w:rPr>
                <w:sz w:val="20"/>
                <w:szCs w:val="20"/>
                <w:color w:val="auto"/>
              </w:rPr>
            </w:pPr>
            <w:r>
              <w:rPr>
                <w:rFonts w:ascii="Arial" w:cs="Arial" w:eastAsia="Arial" w:hAnsi="Arial"/>
                <w:sz w:val="16"/>
                <w:szCs w:val="16"/>
                <w:color w:val="auto"/>
              </w:rPr>
              <w:t>300,584</w:t>
            </w:r>
          </w:p>
        </w:tc>
        <w:tc>
          <w:tcPr>
            <w:tcW w:w="460" w:type="dxa"/>
            <w:vAlign w:val="bottom"/>
            <w:tcBorders>
              <w:bottom w:val="single" w:sz="8" w:color="auto"/>
            </w:tcBorders>
            <w:shd w:val="clear" w:color="auto" w:fill="EDEDEE"/>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285,278</w:t>
            </w:r>
          </w:p>
        </w:tc>
        <w:tc>
          <w:tcPr>
            <w:tcW w:w="0" w:type="dxa"/>
            <w:vAlign w:val="bottom"/>
          </w:tcPr>
          <w:p>
            <w:pPr>
              <w:spacing w:after="0"/>
              <w:rPr>
                <w:sz w:val="1"/>
                <w:szCs w:val="1"/>
                <w:color w:val="auto"/>
              </w:rPr>
            </w:pPr>
          </w:p>
        </w:tc>
      </w:tr>
      <w:tr>
        <w:trPr>
          <w:trHeight w:val="20"/>
        </w:trPr>
        <w:tc>
          <w:tcPr>
            <w:tcW w:w="5560" w:type="dxa"/>
            <w:vAlign w:val="bottom"/>
            <w:tcBorders>
              <w:top w:val="single" w:sz="8" w:color="EDEDEE"/>
              <w:bottom w:val="single" w:sz="8" w:color="EDEDEE"/>
            </w:tcBorders>
            <w:vMerge w:val="restart"/>
          </w:tcPr>
          <w:p>
            <w:pPr>
              <w:spacing w:after="0"/>
              <w:rPr>
                <w:sz w:val="20"/>
                <w:szCs w:val="20"/>
                <w:color w:val="auto"/>
              </w:rPr>
            </w:pPr>
            <w:r>
              <w:rPr>
                <w:rFonts w:ascii="Arial" w:cs="Arial" w:eastAsia="Arial" w:hAnsi="Arial"/>
                <w:sz w:val="16"/>
                <w:szCs w:val="16"/>
                <w:b w:val="1"/>
                <w:bCs w:val="1"/>
                <w:color w:val="144F82"/>
              </w:rPr>
              <w:t>Denominator:</w:t>
            </w: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460" w:type="dxa"/>
            <w:vAlign w:val="bottom"/>
            <w:tcBorders>
              <w:top w:val="single" w:sz="8" w:color="EDEDEE"/>
              <w:bottom w:val="single" w:sz="8" w:color="auto"/>
            </w:tcBorders>
          </w:tcPr>
          <w:p>
            <w:pPr>
              <w:spacing w:after="0" w:line="20" w:lineRule="exact"/>
              <w:rPr>
                <w:sz w:val="1"/>
                <w:szCs w:val="1"/>
                <w:color w:val="auto"/>
              </w:rPr>
            </w:pPr>
          </w:p>
        </w:tc>
        <w:tc>
          <w:tcPr>
            <w:tcW w:w="8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-3810</wp:posOffset>
            </wp:positionV>
            <wp:extent cx="510921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09210" cy="137160"/>
                    </a:xfrm>
                    <a:prstGeom prst="rect">
                      <a:avLst/>
                    </a:prstGeom>
                    <a:noFill/>
                  </pic:spPr>
                </pic:pic>
              </a:graphicData>
            </a:graphic>
          </wp:anchor>
        </w:drawing>
      </w:r>
    </w:p>
    <w:p>
      <w:pPr>
        <w:sectPr>
          <w:pgSz w:w="11900" w:h="16838" w:orient="portrait"/>
          <w:cols w:equalWidth="0" w:num="1">
            <w:col w:w="11100"/>
          </w:cols>
          <w:pgMar w:left="320" w:top="1349" w:right="479" w:bottom="1440" w:gutter="0" w:footer="0" w:header="0"/>
        </w:sectPr>
      </w:pPr>
    </w:p>
    <w:p>
      <w:pPr>
        <w:ind w:left="1840"/>
        <w:spacing w:after="0"/>
        <w:rPr>
          <w:sz w:val="20"/>
          <w:szCs w:val="20"/>
          <w:color w:val="auto"/>
        </w:rPr>
      </w:pPr>
      <w:r>
        <w:rPr>
          <w:rFonts w:ascii="Arial" w:cs="Arial" w:eastAsia="Arial" w:hAnsi="Arial"/>
          <w:sz w:val="16"/>
          <w:szCs w:val="16"/>
          <w:color w:val="auto"/>
        </w:rPr>
        <w:t>Weighted average shares used to compute basic EPS</w:t>
      </w:r>
    </w:p>
    <w:p>
      <w:pPr>
        <w:spacing w:after="0" w:line="2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Effect of dilutive securities:</w:t>
      </w:r>
    </w:p>
    <w:p>
      <w:pPr>
        <w:spacing w:after="0" w:line="32" w:lineRule="exact"/>
        <w:rPr>
          <w:sz w:val="20"/>
          <w:szCs w:val="20"/>
          <w:color w:val="auto"/>
        </w:rPr>
      </w:pPr>
    </w:p>
    <w:p>
      <w:pPr>
        <w:ind w:left="2040" w:right="20"/>
        <w:spacing w:after="0" w:line="187" w:lineRule="auto"/>
        <w:rPr>
          <w:sz w:val="20"/>
          <w:szCs w:val="20"/>
          <w:color w:val="auto"/>
        </w:rPr>
      </w:pPr>
      <w:r>
        <w:rPr>
          <w:rFonts w:ascii="Arial" w:cs="Arial" w:eastAsia="Arial" w:hAnsi="Arial"/>
          <w:sz w:val="15"/>
          <w:szCs w:val="15"/>
          <w:color w:val="auto"/>
        </w:rPr>
        <w:t>Dilutive effect of stock options, restricted stock, restricted stock units, performance stock units, and Employee Stock Purchase Plan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-169545</wp:posOffset>
            </wp:positionV>
            <wp:extent cx="510921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09210" cy="30861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br w:type="column"/>
      </w:r>
    </w:p>
    <w:p>
      <w:pPr>
        <w:spacing w:after="0"/>
        <w:tabs>
          <w:tab w:leader="none" w:pos="1320" w:val="left"/>
        </w:tabs>
        <w:rPr>
          <w:sz w:val="20"/>
          <w:szCs w:val="20"/>
          <w:color w:val="auto"/>
        </w:rPr>
      </w:pPr>
      <w:r>
        <w:rPr>
          <w:rFonts w:ascii="Arial" w:cs="Arial" w:eastAsia="Arial" w:hAnsi="Arial"/>
          <w:sz w:val="16"/>
          <w:szCs w:val="16"/>
          <w:color w:val="auto"/>
        </w:rPr>
        <w:t>210,682</w:t>
      </w:r>
      <w:r>
        <w:rPr>
          <w:sz w:val="20"/>
          <w:szCs w:val="20"/>
          <w:color w:val="auto"/>
        </w:rPr>
        <w:tab/>
      </w:r>
      <w:r>
        <w:rPr>
          <w:rFonts w:ascii="Arial" w:cs="Arial" w:eastAsia="Arial" w:hAnsi="Arial"/>
          <w:sz w:val="16"/>
          <w:szCs w:val="16"/>
          <w:color w:val="auto"/>
        </w:rPr>
        <w:t>220,416</w:t>
      </w:r>
    </w:p>
    <w:p>
      <w:pPr>
        <w:spacing w:after="0" w:line="200" w:lineRule="exact"/>
        <w:rPr>
          <w:sz w:val="20"/>
          <w:szCs w:val="20"/>
          <w:color w:val="auto"/>
        </w:rPr>
      </w:pPr>
    </w:p>
    <w:p>
      <w:pPr>
        <w:spacing w:after="0" w:line="311"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15"/>
          <w:szCs w:val="15"/>
          <w:color w:val="auto"/>
        </w:rPr>
        <w:t>4,304</w:t>
      </w:r>
      <w:r>
        <w:rPr>
          <w:sz w:val="20"/>
          <w:szCs w:val="20"/>
          <w:color w:val="auto"/>
        </w:rPr>
        <w:tab/>
      </w:r>
      <w:r>
        <w:rPr>
          <w:rFonts w:ascii="Arial" w:cs="Arial" w:eastAsia="Arial" w:hAnsi="Arial"/>
          <w:sz w:val="15"/>
          <w:szCs w:val="15"/>
          <w:color w:val="auto"/>
        </w:rPr>
        <w:t>3,429</w:t>
      </w:r>
    </w:p>
    <w:p>
      <w:pPr>
        <w:spacing w:after="0" w:line="42" w:lineRule="exact"/>
        <w:rPr>
          <w:sz w:val="20"/>
          <w:szCs w:val="20"/>
          <w:color w:val="auto"/>
        </w:rPr>
      </w:pPr>
    </w:p>
    <w:p>
      <w:pPr>
        <w:sectPr>
          <w:pgSz w:w="11900" w:h="16838" w:orient="portrait"/>
          <w:cols w:equalWidth="0" w:num="2">
            <w:col w:w="7160" w:space="720"/>
            <w:col w:w="3220"/>
          </w:cols>
          <w:pgMar w:left="320" w:top="1349" w:right="479" w:bottom="1440" w:gutter="0" w:footer="0" w:header="0"/>
          <w:type w:val="continuous"/>
        </w:sectPr>
      </w:pPr>
    </w:p>
    <w:tbl>
      <w:tblPr>
        <w:tblLayout w:type="fixed"/>
        <w:tblInd w:w="1840" w:type="dxa"/>
        <w:tblCellMar>
          <w:top w:w="0" w:type="dxa"/>
          <w:left w:w="0" w:type="dxa"/>
          <w:bottom w:w="0" w:type="dxa"/>
          <w:right w:w="0" w:type="dxa"/>
        </w:tblCellMar>
      </w:tblPr>
      <w:tr>
        <w:trPr>
          <w:trHeight w:val="212"/>
        </w:trPr>
        <w:tc>
          <w:tcPr>
            <w:tcW w:w="5560" w:type="dxa"/>
            <w:vAlign w:val="bottom"/>
          </w:tcPr>
          <w:p>
            <w:pPr>
              <w:spacing w:after="0"/>
              <w:rPr>
                <w:sz w:val="20"/>
                <w:szCs w:val="20"/>
                <w:color w:val="auto"/>
              </w:rPr>
            </w:pPr>
            <w:r>
              <w:rPr>
                <w:rFonts w:ascii="Arial" w:cs="Arial" w:eastAsia="Arial" w:hAnsi="Arial"/>
                <w:sz w:val="16"/>
                <w:szCs w:val="16"/>
                <w:color w:val="auto"/>
              </w:rPr>
              <w:t>Weighted average shares used to compute diluted EPS</w:t>
            </w: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214,986</w:t>
            </w: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223,845</w:t>
            </w:r>
          </w:p>
        </w:tc>
      </w:tr>
      <w:tr>
        <w:trPr>
          <w:trHeight w:val="20"/>
        </w:trPr>
        <w:tc>
          <w:tcPr>
            <w:tcW w:w="5560" w:type="dxa"/>
            <w:vAlign w:val="bottom"/>
            <w:tcBorders>
              <w:bottom w:val="single" w:sz="8" w:color="EDEDE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5560" w:type="dxa"/>
            <w:vAlign w:val="bottom"/>
            <w:shd w:val="clear" w:color="auto" w:fill="EDEDEE"/>
          </w:tcPr>
          <w:p>
            <w:pPr>
              <w:spacing w:after="0"/>
              <w:rPr>
                <w:sz w:val="11"/>
                <w:szCs w:val="11"/>
                <w:color w:val="auto"/>
              </w:rPr>
            </w:pPr>
          </w:p>
        </w:tc>
        <w:tc>
          <w:tcPr>
            <w:tcW w:w="300" w:type="dxa"/>
            <w:vAlign w:val="bottom"/>
            <w:shd w:val="clear" w:color="auto" w:fill="EDEDEE"/>
          </w:tcPr>
          <w:p>
            <w:pPr>
              <w:spacing w:after="0"/>
              <w:rPr>
                <w:sz w:val="11"/>
                <w:szCs w:val="11"/>
                <w:color w:val="auto"/>
              </w:rPr>
            </w:pPr>
          </w:p>
        </w:tc>
        <w:tc>
          <w:tcPr>
            <w:tcW w:w="880" w:type="dxa"/>
            <w:vAlign w:val="bottom"/>
            <w:shd w:val="clear" w:color="auto" w:fill="EDEDEE"/>
          </w:tcPr>
          <w:p>
            <w:pPr>
              <w:spacing w:after="0"/>
              <w:rPr>
                <w:sz w:val="11"/>
                <w:szCs w:val="11"/>
                <w:color w:val="auto"/>
              </w:rPr>
            </w:pPr>
          </w:p>
        </w:tc>
        <w:tc>
          <w:tcPr>
            <w:tcW w:w="400" w:type="dxa"/>
            <w:vAlign w:val="bottom"/>
            <w:shd w:val="clear" w:color="auto" w:fill="EDEDEE"/>
          </w:tcPr>
          <w:p>
            <w:pPr>
              <w:spacing w:after="0"/>
              <w:rPr>
                <w:sz w:val="11"/>
                <w:szCs w:val="11"/>
                <w:color w:val="auto"/>
              </w:rPr>
            </w:pPr>
          </w:p>
        </w:tc>
        <w:tc>
          <w:tcPr>
            <w:tcW w:w="900" w:type="dxa"/>
            <w:vAlign w:val="bottom"/>
            <w:shd w:val="clear" w:color="auto" w:fill="EDEDEE"/>
          </w:tcPr>
          <w:p>
            <w:pPr>
              <w:spacing w:after="0"/>
              <w:rPr>
                <w:sz w:val="11"/>
                <w:szCs w:val="1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b w:val="1"/>
                <w:bCs w:val="1"/>
                <w:color w:val="144F82"/>
              </w:rPr>
              <w:t>Basic earnings per common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0"/>
        </w:trPr>
        <w:tc>
          <w:tcPr>
            <w:tcW w:w="5560" w:type="dxa"/>
            <w:vAlign w:val="bottom"/>
            <w:tcBorders>
              <w:bottom w:val="single" w:sz="8" w:color="EDEDE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5560" w:type="dxa"/>
            <w:vAlign w:val="bottom"/>
            <w:shd w:val="clear" w:color="auto" w:fill="EDEDEE"/>
          </w:tcPr>
          <w:p>
            <w:pPr>
              <w:spacing w:after="0"/>
              <w:rPr>
                <w:sz w:val="15"/>
                <w:szCs w:val="15"/>
                <w:color w:val="auto"/>
              </w:rPr>
            </w:pPr>
          </w:p>
        </w:tc>
        <w:tc>
          <w:tcPr>
            <w:tcW w:w="300" w:type="dxa"/>
            <w:vAlign w:val="bottom"/>
            <w:shd w:val="clear" w:color="auto" w:fill="EDEDEE"/>
          </w:tcPr>
          <w:p>
            <w:pPr>
              <w:spacing w:after="0"/>
              <w:rPr>
                <w:sz w:val="15"/>
                <w:szCs w:val="15"/>
                <w:color w:val="auto"/>
              </w:rPr>
            </w:pPr>
          </w:p>
        </w:tc>
        <w:tc>
          <w:tcPr>
            <w:tcW w:w="880" w:type="dxa"/>
            <w:vAlign w:val="bottom"/>
            <w:shd w:val="clear" w:color="auto" w:fill="EDEDEE"/>
          </w:tcPr>
          <w:p>
            <w:pPr>
              <w:spacing w:after="0"/>
              <w:rPr>
                <w:sz w:val="15"/>
                <w:szCs w:val="15"/>
                <w:color w:val="auto"/>
              </w:rPr>
            </w:pPr>
          </w:p>
        </w:tc>
        <w:tc>
          <w:tcPr>
            <w:tcW w:w="400" w:type="dxa"/>
            <w:vAlign w:val="bottom"/>
            <w:shd w:val="clear" w:color="auto" w:fill="EDEDEE"/>
          </w:tcPr>
          <w:p>
            <w:pPr>
              <w:spacing w:after="0"/>
              <w:rPr>
                <w:sz w:val="15"/>
                <w:szCs w:val="15"/>
                <w:color w:val="auto"/>
              </w:rPr>
            </w:pPr>
          </w:p>
        </w:tc>
        <w:tc>
          <w:tcPr>
            <w:tcW w:w="900" w:type="dxa"/>
            <w:vAlign w:val="bottom"/>
            <w:shd w:val="clear" w:color="auto" w:fill="EDEDEE"/>
          </w:tcPr>
          <w:p>
            <w:pPr>
              <w:spacing w:after="0"/>
              <w:rPr>
                <w:sz w:val="15"/>
                <w:szCs w:val="15"/>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b w:val="1"/>
                <w:bCs w:val="1"/>
                <w:color w:val="144F82"/>
              </w:rPr>
              <w:t>Diluted earnings per common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1"/>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0" w:right="1080" w:hanging="253"/>
        <w:spacing w:after="0" w:line="283" w:lineRule="auto"/>
        <w:tabs>
          <w:tab w:leader="none" w:pos="1871" w:val="left"/>
        </w:tabs>
        <w:numPr>
          <w:ilvl w:val="0"/>
          <w:numId w:val="46"/>
        </w:numPr>
        <w:rPr>
          <w:rFonts w:ascii="Arial" w:cs="Arial" w:eastAsia="Arial" w:hAnsi="Arial"/>
          <w:sz w:val="9"/>
          <w:szCs w:val="9"/>
          <w:color w:val="auto"/>
        </w:rPr>
      </w:pPr>
      <w:r>
        <w:rPr>
          <w:rFonts w:ascii="Arial" w:cs="Arial" w:eastAsia="Arial" w:hAnsi="Arial"/>
          <w:sz w:val="14"/>
          <w:szCs w:val="14"/>
          <w:color w:val="auto"/>
        </w:rPr>
        <w:t>Includes the potential dilutive effect of additional common shares that are issuable upon exercise of outstanding stock options, restricted stock, restricted stock units, performance stock units, and the outstanding commitment to issue shares under the ESPP, determined by the treasury stock method.</w:t>
      </w:r>
    </w:p>
    <w:p>
      <w:pPr>
        <w:spacing w:after="0" w:line="37" w:lineRule="exact"/>
        <w:rPr>
          <w:rFonts w:ascii="Arial" w:cs="Arial" w:eastAsia="Arial" w:hAnsi="Arial"/>
          <w:sz w:val="9"/>
          <w:szCs w:val="9"/>
          <w:color w:val="auto"/>
        </w:rPr>
      </w:pPr>
    </w:p>
    <w:p>
      <w:pPr>
        <w:ind w:left="1800" w:right="1140" w:hanging="253"/>
        <w:spacing w:after="0" w:line="231" w:lineRule="auto"/>
        <w:tabs>
          <w:tab w:leader="none" w:pos="1911"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2025 and 2024, securities covering approximately 1 million shares and 2 million shares, respectively, were outstanding but not included in the computation of diluted earnings per share because they were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144F82"/>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49" w:right="4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11. Fair Value Measurements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use estimates of fair value in applying various accounting standards for our consolidated financial statements.</w:t>
      </w:r>
    </w:p>
    <w:p>
      <w:pPr>
        <w:spacing w:after="0" w:line="252" w:lineRule="exact"/>
        <w:rPr>
          <w:sz w:val="20"/>
          <w:szCs w:val="20"/>
          <w:color w:val="auto"/>
        </w:rPr>
      </w:pPr>
    </w:p>
    <w:p>
      <w:pPr>
        <w:jc w:val="both"/>
        <w:ind w:right="120" w:firstLine="405"/>
        <w:spacing w:after="0" w:line="268" w:lineRule="auto"/>
        <w:rPr>
          <w:sz w:val="20"/>
          <w:szCs w:val="20"/>
          <w:color w:val="auto"/>
        </w:rPr>
      </w:pPr>
      <w:r>
        <w:rPr>
          <w:rFonts w:ascii="Arial" w:cs="Arial" w:eastAsia="Arial" w:hAnsi="Arial"/>
          <w:sz w:val="18"/>
          <w:szCs w:val="18"/>
          <w:color w:val="auto"/>
        </w:rPr>
        <w:t>We categorize our fair value estimates based on a hierarchical framework associated with three levels of price transparency utilized in measuring financial instruments at fair value. For additional information regarding our policies for determining fair value and the hierarchical framework, see Note 2, “Significant Accounting Policies - Fair Value Measurement” in our 2024 Form 10-K.</w:t>
      </w:r>
    </w:p>
    <w:p>
      <w:pPr>
        <w:spacing w:after="0" w:line="198" w:lineRule="exact"/>
        <w:rPr>
          <w:sz w:val="20"/>
          <w:szCs w:val="20"/>
          <w:color w:val="auto"/>
        </w:rPr>
      </w:pPr>
    </w:p>
    <w:p>
      <w:pPr>
        <w:jc w:val="both"/>
        <w:ind w:right="120" w:firstLine="405"/>
        <w:spacing w:after="0" w:line="287" w:lineRule="auto"/>
        <w:rPr>
          <w:sz w:val="20"/>
          <w:szCs w:val="20"/>
          <w:color w:val="auto"/>
        </w:rPr>
      </w:pPr>
      <w:r>
        <w:rPr>
          <w:rFonts w:ascii="Arial" w:cs="Arial" w:eastAsia="Arial" w:hAnsi="Arial"/>
          <w:sz w:val="18"/>
          <w:szCs w:val="18"/>
          <w:color w:val="auto"/>
        </w:rPr>
        <w:t>During the three months ended March 31, 2025, there were no significant transfers of financial instruments between levels or changes in our methodology or assumptions used to value our financial instruments.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valuation of our financial instruments that are marked-to-fair value on a recurring basis.</w:t>
      </w: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300" w:type="dxa"/>
            <w:vAlign w:val="bottom"/>
            <w:tcBorders>
              <w:top w:val="single" w:sz="8" w:color="auto"/>
              <w:bottom w:val="single" w:sz="8" w:color="auto"/>
            </w:tcBorders>
            <w:gridSpan w:val="8"/>
          </w:tcPr>
          <w:p>
            <w:pPr>
              <w:jc w:val="right"/>
              <w:ind w:right="319"/>
              <w:spacing w:after="0"/>
              <w:rPr>
                <w:sz w:val="20"/>
                <w:szCs w:val="20"/>
                <w:color w:val="auto"/>
              </w:rPr>
            </w:pPr>
            <w:r>
              <w:rPr>
                <w:rFonts w:ascii="Arial" w:cs="Arial" w:eastAsia="Arial" w:hAnsi="Arial"/>
                <w:sz w:val="16"/>
                <w:szCs w:val="16"/>
                <w:b w:val="1"/>
                <w:bCs w:val="1"/>
                <w:color w:val="144F82"/>
              </w:rPr>
              <w:t>Fair Value Measurements on a Recurring Basis</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144F82"/>
              </w:rPr>
              <w:t>March 31, 2025</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144F82"/>
              </w:rPr>
              <w:t>December 31, 2024</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144F82"/>
              </w:rPr>
              <w:t>Level 1</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144F82"/>
              </w:rPr>
              <w:t>Level 2</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144F82"/>
                <w:w w:val="99"/>
              </w:rPr>
              <w:t>Level 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144F82"/>
              </w:rPr>
              <w:t>Total</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144F82"/>
              </w:rPr>
              <w:t>Level 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144F82"/>
              </w:rPr>
              <w:t>Level 2</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144F82"/>
                <w:w w:val="99"/>
              </w:rPr>
              <w:t>Level 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144F82"/>
              </w:rPr>
              <w:t>Total</w:t>
            </w:r>
          </w:p>
        </w:tc>
        <w:tc>
          <w:tcPr>
            <w:tcW w:w="0" w:type="dxa"/>
            <w:vAlign w:val="bottom"/>
          </w:tcPr>
          <w:p>
            <w:pPr>
              <w:spacing w:after="0"/>
              <w:rPr>
                <w:sz w:val="1"/>
                <w:szCs w:val="1"/>
                <w:color w:val="auto"/>
              </w:rPr>
            </w:pPr>
          </w:p>
        </w:tc>
      </w:tr>
      <w:tr>
        <w:trPr>
          <w:trHeight w:val="250"/>
        </w:trPr>
        <w:tc>
          <w:tcPr>
            <w:tcW w:w="2220" w:type="dxa"/>
            <w:vAlign w:val="bottom"/>
          </w:tcPr>
          <w:p>
            <w:pPr>
              <w:ind w:left="20"/>
              <w:spacing w:after="0"/>
              <w:rPr>
                <w:sz w:val="20"/>
                <w:szCs w:val="20"/>
                <w:color w:val="auto"/>
              </w:rPr>
            </w:pPr>
            <w:r>
              <w:rPr>
                <w:rFonts w:ascii="Arial" w:cs="Arial" w:eastAsia="Arial" w:hAnsi="Arial"/>
                <w:sz w:val="16"/>
                <w:szCs w:val="16"/>
                <w:b w:val="1"/>
                <w:bCs w:val="1"/>
                <w:color w:val="144F82"/>
              </w:rPr>
              <w:t>Assets:</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EDEDEE"/>
          </w:tcPr>
          <w:p>
            <w:pPr>
              <w:ind w:left="140"/>
              <w:spacing w:after="0"/>
              <w:rPr>
                <w:sz w:val="20"/>
                <w:szCs w:val="20"/>
                <w:color w:val="auto"/>
              </w:rPr>
            </w:pPr>
            <w:r>
              <w:rPr>
                <w:rFonts w:ascii="Arial" w:cs="Arial" w:eastAsia="Arial" w:hAnsi="Arial"/>
                <w:sz w:val="16"/>
                <w:szCs w:val="16"/>
                <w:color w:val="auto"/>
              </w:rPr>
              <w:t>Trading investments</w:t>
            </w:r>
          </w:p>
        </w:tc>
        <w:tc>
          <w:tcPr>
            <w:tcW w:w="12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DEDEE"/>
          </w:tcPr>
          <w:p>
            <w:pPr>
              <w:ind w:left="520"/>
              <w:spacing w:after="0"/>
              <w:rPr>
                <w:sz w:val="20"/>
                <w:szCs w:val="20"/>
                <w:color w:val="auto"/>
              </w:rPr>
            </w:pPr>
            <w:r>
              <w:rPr>
                <w:rFonts w:ascii="Arial" w:cs="Arial" w:eastAsia="Arial" w:hAnsi="Arial"/>
                <w:sz w:val="16"/>
                <w:szCs w:val="16"/>
                <w:color w:val="auto"/>
              </w:rPr>
              <w:t>—</w:t>
            </w:r>
          </w:p>
        </w:tc>
        <w:tc>
          <w:tcPr>
            <w:tcW w:w="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2,436</w:t>
            </w:r>
          </w:p>
        </w:tc>
        <w:tc>
          <w:tcPr>
            <w:tcW w:w="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51,296</w:t>
            </w:r>
          </w:p>
        </w:tc>
        <w:tc>
          <w:tcPr>
            <w:tcW w:w="320" w:type="dxa"/>
            <w:vAlign w:val="bottom"/>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53,732</w:t>
            </w:r>
          </w:p>
        </w:tc>
        <w:tc>
          <w:tcPr>
            <w:tcW w:w="100" w:type="dxa"/>
            <w:vAlign w:val="bottom"/>
            <w:shd w:val="clear" w:color="auto" w:fill="EDEDEE"/>
          </w:tcPr>
          <w:p>
            <w:pPr>
              <w:spacing w:after="0"/>
              <w:rPr>
                <w:sz w:val="18"/>
                <w:szCs w:val="18"/>
                <w:color w:val="auto"/>
              </w:rPr>
            </w:pPr>
          </w:p>
        </w:tc>
        <w:tc>
          <w:tcPr>
            <w:tcW w:w="12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EDEDEE"/>
          </w:tcPr>
          <w:p>
            <w:pPr>
              <w:ind w:left="4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53,262</w:t>
            </w:r>
          </w:p>
        </w:tc>
        <w:tc>
          <w:tcPr>
            <w:tcW w:w="320" w:type="dxa"/>
            <w:vAlign w:val="bottom"/>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53,262</w:t>
            </w:r>
          </w:p>
        </w:tc>
        <w:tc>
          <w:tcPr>
            <w:tcW w:w="0" w:type="dxa"/>
            <w:vAlign w:val="bottom"/>
          </w:tcPr>
          <w:p>
            <w:pPr>
              <w:spacing w:after="0"/>
              <w:rPr>
                <w:sz w:val="1"/>
                <w:szCs w:val="1"/>
                <w:color w:val="auto"/>
              </w:rPr>
            </w:pPr>
          </w:p>
        </w:tc>
      </w:tr>
      <w:tr>
        <w:trPr>
          <w:trHeight w:val="162"/>
        </w:trPr>
        <w:tc>
          <w:tcPr>
            <w:tcW w:w="2220" w:type="dxa"/>
            <w:vAlign w:val="bottom"/>
          </w:tcPr>
          <w:p>
            <w:pPr>
              <w:ind w:left="140"/>
              <w:spacing w:after="0" w:line="162" w:lineRule="exact"/>
              <w:rPr>
                <w:sz w:val="20"/>
                <w:szCs w:val="20"/>
                <w:color w:val="auto"/>
              </w:rPr>
            </w:pPr>
            <w:r>
              <w:rPr>
                <w:rFonts w:ascii="Arial" w:cs="Arial" w:eastAsia="Arial" w:hAnsi="Arial"/>
                <w:sz w:val="16"/>
                <w:szCs w:val="16"/>
                <w:color w:val="auto"/>
              </w:rPr>
              <w:t>Available-for-sale</w:t>
            </w:r>
          </w:p>
        </w:tc>
        <w:tc>
          <w:tcPr>
            <w:tcW w:w="120" w:type="dxa"/>
            <w:vAlign w:val="bottom"/>
          </w:tcPr>
          <w:p>
            <w:pPr>
              <w:spacing w:after="0"/>
              <w:rPr>
                <w:sz w:val="14"/>
                <w:szCs w:val="14"/>
                <w:color w:val="auto"/>
              </w:rPr>
            </w:pPr>
          </w:p>
        </w:tc>
        <w:tc>
          <w:tcPr>
            <w:tcW w:w="78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1,654,505</w:t>
            </w:r>
          </w:p>
        </w:tc>
        <w:tc>
          <w:tcPr>
            <w:tcW w:w="180" w:type="dxa"/>
            <w:vAlign w:val="bottom"/>
          </w:tcPr>
          <w:p>
            <w:pPr>
              <w:spacing w:after="0"/>
              <w:rPr>
                <w:sz w:val="14"/>
                <w:szCs w:val="1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2,472</w:t>
            </w:r>
          </w:p>
        </w:tc>
        <w:tc>
          <w:tcPr>
            <w:tcW w:w="3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1,656,977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color w:val="auto"/>
              </w:rPr>
              <w:t>1,930,537</w:t>
            </w:r>
          </w:p>
        </w:tc>
        <w:tc>
          <w:tcPr>
            <w:tcW w:w="180" w:type="dxa"/>
            <w:vAlign w:val="bottom"/>
          </w:tcPr>
          <w:p>
            <w:pPr>
              <w:spacing w:after="0"/>
              <w:rPr>
                <w:sz w:val="14"/>
                <w:szCs w:val="14"/>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2,689</w:t>
            </w:r>
          </w:p>
        </w:tc>
        <w:tc>
          <w:tcPr>
            <w:tcW w:w="3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1,933,226</w:t>
            </w:r>
          </w:p>
        </w:tc>
        <w:tc>
          <w:tcPr>
            <w:tcW w:w="0" w:type="dxa"/>
            <w:vAlign w:val="bottom"/>
          </w:tcPr>
          <w:p>
            <w:pPr>
              <w:spacing w:after="0"/>
              <w:rPr>
                <w:sz w:val="1"/>
                <w:szCs w:val="1"/>
                <w:color w:val="auto"/>
              </w:rPr>
            </w:pPr>
          </w:p>
        </w:tc>
      </w:tr>
      <w:tr>
        <w:trPr>
          <w:trHeight w:val="215"/>
        </w:trPr>
        <w:tc>
          <w:tcPr>
            <w:tcW w:w="2220" w:type="dxa"/>
            <w:vAlign w:val="bottom"/>
          </w:tcPr>
          <w:p>
            <w:pPr>
              <w:ind w:left="14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20" w:type="dxa"/>
            <w:vAlign w:val="bottom"/>
            <w:shd w:val="clear" w:color="auto" w:fill="EDEDEE"/>
          </w:tcPr>
          <w:p>
            <w:pPr>
              <w:ind w:left="140"/>
              <w:spacing w:after="0"/>
              <w:rPr>
                <w:sz w:val="20"/>
                <w:szCs w:val="20"/>
                <w:color w:val="auto"/>
              </w:rPr>
            </w:pPr>
            <w:r>
              <w:rPr>
                <w:rFonts w:ascii="Arial" w:cs="Arial" w:eastAsia="Arial" w:hAnsi="Arial"/>
                <w:sz w:val="16"/>
                <w:szCs w:val="16"/>
                <w:color w:val="auto"/>
              </w:rPr>
              <w:t>Held for sale loans</w:t>
            </w:r>
          </w:p>
        </w:tc>
        <w:tc>
          <w:tcPr>
            <w:tcW w:w="120" w:type="dxa"/>
            <w:vAlign w:val="bottom"/>
            <w:shd w:val="clear" w:color="auto" w:fill="EDEDEE"/>
          </w:tcPr>
          <w:p>
            <w:pPr>
              <w:spacing w:after="0"/>
              <w:rPr>
                <w:sz w:val="18"/>
                <w:szCs w:val="18"/>
                <w:color w:val="auto"/>
              </w:rPr>
            </w:pPr>
          </w:p>
        </w:tc>
        <w:tc>
          <w:tcPr>
            <w:tcW w:w="780" w:type="dxa"/>
            <w:vAlign w:val="bottom"/>
            <w:shd w:val="clear" w:color="auto" w:fill="EDEDEE"/>
          </w:tcPr>
          <w:p>
            <w:pPr>
              <w:ind w:left="520"/>
              <w:spacing w:after="0"/>
              <w:rPr>
                <w:sz w:val="20"/>
                <w:szCs w:val="20"/>
                <w:color w:val="auto"/>
              </w:rPr>
            </w:pPr>
            <w:r>
              <w:rPr>
                <w:rFonts w:ascii="Arial" w:cs="Arial" w:eastAsia="Arial" w:hAnsi="Arial"/>
                <w:sz w:val="16"/>
                <w:szCs w:val="16"/>
                <w:color w:val="auto"/>
              </w:rPr>
              <w:t>—</w:t>
            </w: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EDEDEE"/>
          </w:tcPr>
          <w:p>
            <w:pPr>
              <w:spacing w:after="0"/>
              <w:rPr>
                <w:sz w:val="18"/>
                <w:szCs w:val="18"/>
                <w:color w:val="auto"/>
              </w:rPr>
            </w:pPr>
          </w:p>
        </w:tc>
        <w:tc>
          <w:tcPr>
            <w:tcW w:w="78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EDEDEE"/>
          </w:tcPr>
          <w:p>
            <w:pPr>
              <w:spacing w:after="0"/>
              <w:rPr>
                <w:sz w:val="18"/>
                <w:szCs w:val="18"/>
                <w:color w:val="auto"/>
              </w:rPr>
            </w:pPr>
          </w:p>
        </w:tc>
        <w:tc>
          <w:tcPr>
            <w:tcW w:w="1040" w:type="dxa"/>
            <w:vAlign w:val="bottom"/>
            <w:gridSpan w:val="2"/>
            <w:shd w:val="clear" w:color="auto" w:fill="EDEDEE"/>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DEDEE"/>
          </w:tcPr>
          <w:p>
            <w:pPr>
              <w:spacing w:after="0"/>
              <w:rPr>
                <w:sz w:val="18"/>
                <w:szCs w:val="18"/>
                <w:color w:val="auto"/>
              </w:rPr>
            </w:pPr>
          </w:p>
        </w:tc>
        <w:tc>
          <w:tcPr>
            <w:tcW w:w="740" w:type="dxa"/>
            <w:vAlign w:val="bottom"/>
            <w:shd w:val="clear" w:color="auto" w:fill="EDEDEE"/>
          </w:tcPr>
          <w:p>
            <w:pPr>
              <w:ind w:left="4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DEDEE"/>
          </w:tcPr>
          <w:p>
            <w:pPr>
              <w:spacing w:after="0"/>
              <w:rPr>
                <w:sz w:val="18"/>
                <w:szCs w:val="18"/>
                <w:color w:val="auto"/>
              </w:rPr>
            </w:pPr>
          </w:p>
        </w:tc>
        <w:tc>
          <w:tcPr>
            <w:tcW w:w="102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EDEDEE"/>
          </w:tcPr>
          <w:p>
            <w:pPr>
              <w:spacing w:after="0"/>
              <w:rPr>
                <w:sz w:val="18"/>
                <w:szCs w:val="18"/>
                <w:color w:val="auto"/>
              </w:rPr>
            </w:pPr>
          </w:p>
        </w:tc>
        <w:tc>
          <w:tcPr>
            <w:tcW w:w="80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EDEDEE"/>
          </w:tcPr>
          <w:p>
            <w:pPr>
              <w:spacing w:after="0"/>
              <w:rPr>
                <w:sz w:val="18"/>
                <w:szCs w:val="18"/>
                <w:color w:val="auto"/>
              </w:rPr>
            </w:pPr>
          </w:p>
        </w:tc>
        <w:tc>
          <w:tcPr>
            <w:tcW w:w="9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220" w:type="dxa"/>
            <w:vAlign w:val="bottom"/>
            <w:tcBorders>
              <w:bottom w:val="single" w:sz="8" w:color="EDEDEE"/>
            </w:tcBorders>
          </w:tcPr>
          <w:p>
            <w:pPr>
              <w:ind w:left="140"/>
              <w:spacing w:after="0"/>
              <w:rPr>
                <w:sz w:val="20"/>
                <w:szCs w:val="20"/>
                <w:color w:val="auto"/>
              </w:rPr>
            </w:pPr>
            <w:r>
              <w:rPr>
                <w:rFonts w:ascii="Arial" w:cs="Arial" w:eastAsia="Arial" w:hAnsi="Arial"/>
                <w:sz w:val="16"/>
                <w:szCs w:val="16"/>
                <w:color w:val="auto"/>
              </w:rPr>
              <w:t>Derivative instruments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2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w:t>
            </w: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EDEDEE"/>
          </w:tcPr>
          <w:p>
            <w:pPr>
              <w:ind w:left="5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1,656,941</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DEDEE"/>
          </w:tcPr>
          <w:p>
            <w:pPr>
              <w:jc w:val="right"/>
              <w:ind w:right="19"/>
              <w:spacing w:after="0"/>
              <w:rPr>
                <w:sz w:val="20"/>
                <w:szCs w:val="20"/>
                <w:color w:val="auto"/>
              </w:rPr>
            </w:pPr>
            <w:r>
              <w:rPr>
                <w:rFonts w:ascii="Arial" w:cs="Arial" w:eastAsia="Arial" w:hAnsi="Arial"/>
                <w:sz w:val="16"/>
                <w:szCs w:val="16"/>
                <w:color w:val="auto"/>
              </w:rPr>
              <w:t>53,768</w:t>
            </w:r>
          </w:p>
        </w:tc>
        <w:tc>
          <w:tcPr>
            <w:tcW w:w="32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1,710,709</w:t>
            </w:r>
          </w:p>
        </w:tc>
        <w:tc>
          <w:tcPr>
            <w:tcW w:w="100" w:type="dxa"/>
            <w:vAlign w:val="bottom"/>
            <w:tcBorders>
              <w:bottom w:val="single" w:sz="8" w:color="auto"/>
            </w:tcBorders>
            <w:shd w:val="clear" w:color="auto" w:fill="EDEDEE"/>
          </w:tcPr>
          <w:p>
            <w:pPr>
              <w:spacing w:after="0"/>
              <w:rPr>
                <w:sz w:val="20"/>
                <w:szCs w:val="20"/>
                <w:color w:val="auto"/>
              </w:rPr>
            </w:pP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EDEDEE"/>
          </w:tcPr>
          <w:p>
            <w:pPr>
              <w:ind w:left="4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1,930,537</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DEDEE"/>
          </w:tcPr>
          <w:p>
            <w:pPr>
              <w:jc w:val="right"/>
              <w:ind w:right="19"/>
              <w:spacing w:after="0"/>
              <w:rPr>
                <w:sz w:val="20"/>
                <w:szCs w:val="20"/>
                <w:color w:val="auto"/>
              </w:rPr>
            </w:pPr>
            <w:r>
              <w:rPr>
                <w:rFonts w:ascii="Arial" w:cs="Arial" w:eastAsia="Arial" w:hAnsi="Arial"/>
                <w:sz w:val="16"/>
                <w:szCs w:val="16"/>
                <w:color w:val="auto"/>
              </w:rPr>
              <w:t>55,951</w:t>
            </w:r>
          </w:p>
        </w:tc>
        <w:tc>
          <w:tcPr>
            <w:tcW w:w="32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1,986,488</w:t>
            </w:r>
          </w:p>
        </w:tc>
        <w:tc>
          <w:tcPr>
            <w:tcW w:w="0" w:type="dxa"/>
            <w:vAlign w:val="bottom"/>
          </w:tcPr>
          <w:p>
            <w:pPr>
              <w:spacing w:after="0"/>
              <w:rPr>
                <w:sz w:val="1"/>
                <w:szCs w:val="1"/>
                <w:color w:val="auto"/>
              </w:rPr>
            </w:pPr>
          </w:p>
        </w:tc>
      </w:tr>
      <w:tr>
        <w:trPr>
          <w:trHeight w:val="20"/>
        </w:trPr>
        <w:tc>
          <w:tcPr>
            <w:tcW w:w="222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10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74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102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Liabilities:</w:t>
            </w:r>
          </w:p>
        </w:tc>
        <w:tc>
          <w:tcPr>
            <w:tcW w:w="120" w:type="dxa"/>
            <w:vAlign w:val="bottom"/>
            <w:shd w:val="clear" w:color="auto" w:fill="EDEDEE"/>
          </w:tcPr>
          <w:p>
            <w:pPr>
              <w:spacing w:after="0"/>
              <w:rPr>
                <w:sz w:val="18"/>
                <w:szCs w:val="18"/>
                <w:color w:val="auto"/>
              </w:rPr>
            </w:pPr>
          </w:p>
        </w:tc>
        <w:tc>
          <w:tcPr>
            <w:tcW w:w="78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180" w:type="dxa"/>
            <w:vAlign w:val="bottom"/>
            <w:shd w:val="clear" w:color="auto" w:fill="EDEDEE"/>
          </w:tcPr>
          <w:p>
            <w:pPr>
              <w:spacing w:after="0"/>
              <w:rPr>
                <w:sz w:val="18"/>
                <w:szCs w:val="18"/>
                <w:color w:val="auto"/>
              </w:rPr>
            </w:pPr>
          </w:p>
        </w:tc>
        <w:tc>
          <w:tcPr>
            <w:tcW w:w="780" w:type="dxa"/>
            <w:vAlign w:val="bottom"/>
            <w:shd w:val="clear" w:color="auto" w:fill="EDEDEE"/>
          </w:tcPr>
          <w:p>
            <w:pPr>
              <w:spacing w:after="0"/>
              <w:rPr>
                <w:sz w:val="18"/>
                <w:szCs w:val="18"/>
                <w:color w:val="auto"/>
              </w:rPr>
            </w:pPr>
          </w:p>
        </w:tc>
        <w:tc>
          <w:tcPr>
            <w:tcW w:w="32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74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1020" w:type="dxa"/>
            <w:vAlign w:val="bottom"/>
            <w:shd w:val="clear" w:color="auto" w:fill="EDEDEE"/>
          </w:tcPr>
          <w:p>
            <w:pPr>
              <w:spacing w:after="0"/>
              <w:rPr>
                <w:sz w:val="18"/>
                <w:szCs w:val="18"/>
                <w:color w:val="auto"/>
              </w:rPr>
            </w:pPr>
          </w:p>
        </w:tc>
        <w:tc>
          <w:tcPr>
            <w:tcW w:w="180" w:type="dxa"/>
            <w:vAlign w:val="bottom"/>
            <w:shd w:val="clear" w:color="auto" w:fill="EDEDEE"/>
          </w:tcPr>
          <w:p>
            <w:pPr>
              <w:spacing w:after="0"/>
              <w:rPr>
                <w:sz w:val="18"/>
                <w:szCs w:val="18"/>
                <w:color w:val="auto"/>
              </w:rPr>
            </w:pPr>
          </w:p>
        </w:tc>
        <w:tc>
          <w:tcPr>
            <w:tcW w:w="800" w:type="dxa"/>
            <w:vAlign w:val="bottom"/>
            <w:shd w:val="clear" w:color="auto" w:fill="EDEDEE"/>
          </w:tcPr>
          <w:p>
            <w:pPr>
              <w:spacing w:after="0"/>
              <w:rPr>
                <w:sz w:val="18"/>
                <w:szCs w:val="18"/>
                <w:color w:val="auto"/>
              </w:rPr>
            </w:pPr>
          </w:p>
        </w:tc>
        <w:tc>
          <w:tcPr>
            <w:tcW w:w="32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20" w:type="dxa"/>
            <w:vAlign w:val="bottom"/>
            <w:tcBorders>
              <w:bottom w:val="single" w:sz="8" w:color="EDEDEE"/>
            </w:tcBorders>
          </w:tcPr>
          <w:p>
            <w:pPr>
              <w:ind w:left="140"/>
              <w:spacing w:after="0"/>
              <w:rPr>
                <w:sz w:val="20"/>
                <w:szCs w:val="20"/>
                <w:color w:val="auto"/>
              </w:rPr>
            </w:pPr>
            <w:r>
              <w:rPr>
                <w:rFonts w:ascii="Arial" w:cs="Arial" w:eastAsia="Arial" w:hAnsi="Arial"/>
                <w:sz w:val="16"/>
                <w:szCs w:val="16"/>
                <w:color w:val="auto"/>
              </w:rPr>
              <w:t>Derivative instruments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5"/>
        </w:trPr>
        <w:tc>
          <w:tcPr>
            <w:tcW w:w="22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w:t>
            </w: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EDEDEE"/>
          </w:tcPr>
          <w:p>
            <w:pPr>
              <w:ind w:left="5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(23)</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shd w:val="clear" w:color="auto" w:fill="EDEDEE"/>
          </w:tcPr>
          <w:p>
            <w:pPr>
              <w:spacing w:after="0"/>
              <w:rPr>
                <w:sz w:val="20"/>
                <w:szCs w:val="20"/>
                <w:color w:val="auto"/>
              </w:rPr>
            </w:pP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EDEDEE"/>
          </w:tcPr>
          <w:p>
            <w:pPr>
              <w:ind w:left="4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(40)</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222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10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74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1020" w:type="dxa"/>
            <w:vAlign w:val="bottom"/>
            <w:tcBorders>
              <w:top w:val="single" w:sz="8" w:color="EDEDEE"/>
              <w:bottom w:val="single" w:sz="8" w:color="auto"/>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34F82"/>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2" w:name="page43"/>
    <w:bookmarkEnd w:id="42"/>
    <w:p>
      <w:pPr>
        <w:ind w:left="540" w:hanging="514"/>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374"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 summarizes the change in balance sheet carrying value associated with level 3 financial instruments carried at fair value on a recurring basis.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5"/>
          </w:tcPr>
          <w:p>
            <w:pPr>
              <w:jc w:val="right"/>
              <w:ind w:right="2"/>
              <w:spacing w:after="0"/>
              <w:rPr>
                <w:sz w:val="20"/>
                <w:szCs w:val="20"/>
                <w:color w:val="auto"/>
              </w:rPr>
            </w:pPr>
            <w:r>
              <w:rPr>
                <w:rFonts w:ascii="Arial" w:cs="Arial" w:eastAsia="Arial" w:hAnsi="Arial"/>
                <w:sz w:val="15"/>
                <w:szCs w:val="15"/>
                <w:b w:val="1"/>
                <w:bCs w:val="1"/>
                <w:color w:val="144F82"/>
              </w:rPr>
              <w:t>Three Months Ended March 31,</w:t>
            </w: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144F82"/>
              </w:rPr>
              <w:t>2025</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144F82"/>
              </w:rPr>
              <w:t>2024</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144F82"/>
              </w:rPr>
              <w:t>Investments</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5"/>
                <w:szCs w:val="15"/>
                <w:b w:val="1"/>
                <w:bCs w:val="1"/>
                <w:color w:val="144F82"/>
              </w:rPr>
              <w:t>Investments</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1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144F82"/>
              </w:rPr>
              <w:t>Available For</w:t>
            </w:r>
          </w:p>
        </w:tc>
        <w:tc>
          <w:tcPr>
            <w:tcW w:w="240" w:type="dxa"/>
            <w:vAlign w:val="bottom"/>
          </w:tcPr>
          <w:p>
            <w:pPr>
              <w:spacing w:after="0"/>
              <w:rPr>
                <w:sz w:val="12"/>
                <w:szCs w:val="12"/>
                <w:color w:val="auto"/>
              </w:rPr>
            </w:pPr>
          </w:p>
        </w:tc>
        <w:tc>
          <w:tcPr>
            <w:tcW w:w="840" w:type="dxa"/>
            <w:vAlign w:val="bottom"/>
            <w:vMerge w:val="restart"/>
          </w:tcPr>
          <w:p>
            <w:pPr>
              <w:jc w:val="center"/>
              <w:ind w:right="43"/>
              <w:spacing w:after="0"/>
              <w:rPr>
                <w:sz w:val="20"/>
                <w:szCs w:val="20"/>
                <w:color w:val="auto"/>
              </w:rPr>
            </w:pPr>
            <w:r>
              <w:rPr>
                <w:rFonts w:ascii="Arial" w:cs="Arial" w:eastAsia="Arial" w:hAnsi="Arial"/>
                <w:sz w:val="15"/>
                <w:szCs w:val="15"/>
                <w:b w:val="1"/>
                <w:bCs w:val="1"/>
                <w:color w:val="144F82"/>
                <w:w w:val="99"/>
              </w:rPr>
              <w:t>Trading -</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144F82"/>
                <w:w w:val="99"/>
              </w:rPr>
              <w:t>Available For</w:t>
            </w:r>
          </w:p>
        </w:tc>
        <w:tc>
          <w:tcPr>
            <w:tcW w:w="240" w:type="dxa"/>
            <w:vAlign w:val="bottom"/>
          </w:tcPr>
          <w:p>
            <w:pPr>
              <w:spacing w:after="0"/>
              <w:rPr>
                <w:sz w:val="12"/>
                <w:szCs w:val="12"/>
                <w:color w:val="auto"/>
              </w:rPr>
            </w:pPr>
          </w:p>
        </w:tc>
        <w:tc>
          <w:tcPr>
            <w:tcW w:w="940" w:type="dxa"/>
            <w:vAlign w:val="bottom"/>
            <w:vMerge w:val="restart"/>
          </w:tcPr>
          <w:p>
            <w:pPr>
              <w:jc w:val="center"/>
              <w:ind w:right="123"/>
              <w:spacing w:after="0"/>
              <w:rPr>
                <w:sz w:val="20"/>
                <w:szCs w:val="20"/>
                <w:color w:val="auto"/>
              </w:rPr>
            </w:pPr>
            <w:r>
              <w:rPr>
                <w:rFonts w:ascii="Arial" w:cs="Arial" w:eastAsia="Arial" w:hAnsi="Arial"/>
                <w:sz w:val="15"/>
                <w:szCs w:val="15"/>
                <w:b w:val="1"/>
                <w:bCs w:val="1"/>
                <w:color w:val="144F82"/>
              </w:rPr>
              <w:t>Trading -</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42"/>
              <w:spacing w:after="0" w:line="149" w:lineRule="exact"/>
              <w:rPr>
                <w:sz w:val="20"/>
                <w:szCs w:val="20"/>
                <w:color w:val="auto"/>
              </w:rPr>
            </w:pPr>
            <w:r>
              <w:rPr>
                <w:rFonts w:ascii="Arial" w:cs="Arial" w:eastAsia="Arial" w:hAnsi="Arial"/>
                <w:sz w:val="15"/>
                <w:szCs w:val="15"/>
                <w:b w:val="1"/>
                <w:bCs w:val="1"/>
                <w:color w:val="144F82"/>
              </w:rPr>
              <w:t>Sale -</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2"/>
              <w:spacing w:after="0" w:line="149" w:lineRule="exact"/>
              <w:rPr>
                <w:sz w:val="20"/>
                <w:szCs w:val="20"/>
                <w:color w:val="auto"/>
              </w:rPr>
            </w:pPr>
            <w:r>
              <w:rPr>
                <w:rFonts w:ascii="Arial" w:cs="Arial" w:eastAsia="Arial" w:hAnsi="Arial"/>
                <w:sz w:val="15"/>
                <w:szCs w:val="15"/>
                <w:b w:val="1"/>
                <w:bCs w:val="1"/>
                <w:color w:val="144F82"/>
              </w:rPr>
              <w:t>Sale -</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vMerge w:val="restart"/>
          </w:tcPr>
          <w:p>
            <w:pPr>
              <w:ind w:left="20"/>
              <w:spacing w:after="0"/>
              <w:rPr>
                <w:sz w:val="20"/>
                <w:szCs w:val="20"/>
                <w:color w:val="auto"/>
              </w:rPr>
            </w:pPr>
            <w:r>
              <w:rPr>
                <w:rFonts w:ascii="Arial" w:cs="Arial" w:eastAsia="Arial" w:hAnsi="Arial"/>
                <w:sz w:val="15"/>
                <w:szCs w:val="15"/>
                <w:b w:val="1"/>
                <w:bCs w:val="1"/>
                <w:color w:val="144F82"/>
              </w:rPr>
              <w:t>(Dollars in thousands)</w:t>
            </w:r>
          </w:p>
        </w:tc>
        <w:tc>
          <w:tcPr>
            <w:tcW w:w="160" w:type="dxa"/>
            <w:vAlign w:val="bottom"/>
          </w:tcPr>
          <w:p>
            <w:pPr>
              <w:spacing w:after="0"/>
              <w:rPr>
                <w:sz w:val="14"/>
                <w:szCs w:val="14"/>
                <w:color w:val="auto"/>
              </w:rPr>
            </w:pPr>
          </w:p>
        </w:tc>
        <w:tc>
          <w:tcPr>
            <w:tcW w:w="1000" w:type="dxa"/>
            <w:vAlign w:val="bottom"/>
          </w:tcPr>
          <w:p>
            <w:pPr>
              <w:jc w:val="center"/>
              <w:ind w:right="102"/>
              <w:spacing w:after="0" w:line="162" w:lineRule="exact"/>
              <w:rPr>
                <w:sz w:val="20"/>
                <w:szCs w:val="20"/>
                <w:color w:val="auto"/>
              </w:rPr>
            </w:pPr>
            <w:r>
              <w:rPr>
                <w:rFonts w:ascii="Arial" w:cs="Arial" w:eastAsia="Arial" w:hAnsi="Arial"/>
                <w:sz w:val="15"/>
                <w:szCs w:val="15"/>
                <w:b w:val="1"/>
                <w:bCs w:val="1"/>
                <w:color w:val="144F82"/>
              </w:rPr>
              <w:t>Debt</w:t>
            </w:r>
          </w:p>
        </w:tc>
        <w:tc>
          <w:tcPr>
            <w:tcW w:w="240" w:type="dxa"/>
            <w:vAlign w:val="bottom"/>
          </w:tcPr>
          <w:p>
            <w:pPr>
              <w:spacing w:after="0"/>
              <w:rPr>
                <w:sz w:val="14"/>
                <w:szCs w:val="14"/>
                <w:color w:val="auto"/>
              </w:rPr>
            </w:pPr>
          </w:p>
        </w:tc>
        <w:tc>
          <w:tcPr>
            <w:tcW w:w="840" w:type="dxa"/>
            <w:vAlign w:val="bottom"/>
          </w:tcPr>
          <w:p>
            <w:pPr>
              <w:jc w:val="center"/>
              <w:ind w:right="3"/>
              <w:spacing w:after="0" w:line="162" w:lineRule="exact"/>
              <w:rPr>
                <w:sz w:val="20"/>
                <w:szCs w:val="20"/>
                <w:color w:val="auto"/>
              </w:rPr>
            </w:pPr>
            <w:r>
              <w:rPr>
                <w:rFonts w:ascii="Arial" w:cs="Arial" w:eastAsia="Arial" w:hAnsi="Arial"/>
                <w:sz w:val="15"/>
                <w:szCs w:val="15"/>
                <w:b w:val="1"/>
                <w:bCs w:val="1"/>
                <w:color w:val="144F82"/>
              </w:rPr>
              <w:t>Residual</w:t>
            </w:r>
          </w:p>
        </w:tc>
        <w:tc>
          <w:tcPr>
            <w:tcW w:w="38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144F82"/>
              </w:rPr>
              <w:t>Total</w:t>
            </w:r>
          </w:p>
        </w:tc>
        <w:tc>
          <w:tcPr>
            <w:tcW w:w="160" w:type="dxa"/>
            <w:vAlign w:val="bottom"/>
          </w:tcPr>
          <w:p>
            <w:pPr>
              <w:spacing w:after="0"/>
              <w:rPr>
                <w:sz w:val="14"/>
                <w:szCs w:val="14"/>
                <w:color w:val="auto"/>
              </w:rPr>
            </w:pPr>
          </w:p>
        </w:tc>
        <w:tc>
          <w:tcPr>
            <w:tcW w:w="980" w:type="dxa"/>
            <w:vAlign w:val="bottom"/>
          </w:tcPr>
          <w:p>
            <w:pPr>
              <w:jc w:val="center"/>
              <w:ind w:right="82"/>
              <w:spacing w:after="0" w:line="162" w:lineRule="exact"/>
              <w:rPr>
                <w:sz w:val="20"/>
                <w:szCs w:val="20"/>
                <w:color w:val="auto"/>
              </w:rPr>
            </w:pPr>
            <w:r>
              <w:rPr>
                <w:rFonts w:ascii="Arial" w:cs="Arial" w:eastAsia="Arial" w:hAnsi="Arial"/>
                <w:sz w:val="15"/>
                <w:szCs w:val="15"/>
                <w:b w:val="1"/>
                <w:bCs w:val="1"/>
                <w:color w:val="144F82"/>
              </w:rPr>
              <w:t>Debt</w:t>
            </w:r>
          </w:p>
        </w:tc>
        <w:tc>
          <w:tcPr>
            <w:tcW w:w="240" w:type="dxa"/>
            <w:vAlign w:val="bottom"/>
          </w:tcPr>
          <w:p>
            <w:pPr>
              <w:spacing w:after="0"/>
              <w:rPr>
                <w:sz w:val="14"/>
                <w:szCs w:val="14"/>
                <w:color w:val="auto"/>
              </w:rPr>
            </w:pPr>
          </w:p>
        </w:tc>
        <w:tc>
          <w:tcPr>
            <w:tcW w:w="940" w:type="dxa"/>
            <w:vAlign w:val="bottom"/>
          </w:tcPr>
          <w:p>
            <w:pPr>
              <w:jc w:val="center"/>
              <w:ind w:right="83"/>
              <w:spacing w:after="0" w:line="162" w:lineRule="exact"/>
              <w:rPr>
                <w:sz w:val="20"/>
                <w:szCs w:val="20"/>
                <w:color w:val="auto"/>
              </w:rPr>
            </w:pPr>
            <w:r>
              <w:rPr>
                <w:rFonts w:ascii="Arial" w:cs="Arial" w:eastAsia="Arial" w:hAnsi="Arial"/>
                <w:sz w:val="15"/>
                <w:szCs w:val="15"/>
                <w:b w:val="1"/>
                <w:bCs w:val="1"/>
                <w:color w:val="144F82"/>
                <w:w w:val="99"/>
              </w:rPr>
              <w:t>Residual</w:t>
            </w:r>
          </w:p>
        </w:tc>
        <w:tc>
          <w:tcPr>
            <w:tcW w:w="260" w:type="dxa"/>
            <w:vAlign w:val="bottom"/>
          </w:tcPr>
          <w:p>
            <w:pPr>
              <w:spacing w:after="0"/>
              <w:rPr>
                <w:sz w:val="14"/>
                <w:szCs w:val="14"/>
                <w:color w:val="auto"/>
              </w:rPr>
            </w:pPr>
          </w:p>
        </w:tc>
        <w:tc>
          <w:tcPr>
            <w:tcW w:w="740" w:type="dxa"/>
            <w:vAlign w:val="bottom"/>
            <w:vMerge w:val="restart"/>
          </w:tcPr>
          <w:p>
            <w:pPr>
              <w:jc w:val="right"/>
              <w:ind w:right="221"/>
              <w:spacing w:after="0"/>
              <w:rPr>
                <w:sz w:val="20"/>
                <w:szCs w:val="20"/>
                <w:color w:val="auto"/>
              </w:rPr>
            </w:pPr>
            <w:r>
              <w:rPr>
                <w:rFonts w:ascii="Arial" w:cs="Arial" w:eastAsia="Arial" w:hAnsi="Arial"/>
                <w:sz w:val="15"/>
                <w:szCs w:val="15"/>
                <w:b w:val="1"/>
                <w:bCs w:val="1"/>
                <w:color w:val="144F82"/>
              </w:rPr>
              <w:t>Total</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2"/>
              <w:spacing w:after="0"/>
              <w:rPr>
                <w:sz w:val="20"/>
                <w:szCs w:val="20"/>
                <w:color w:val="auto"/>
              </w:rPr>
            </w:pPr>
            <w:r>
              <w:rPr>
                <w:rFonts w:ascii="Arial" w:cs="Arial" w:eastAsia="Arial" w:hAnsi="Arial"/>
                <w:sz w:val="15"/>
                <w:szCs w:val="15"/>
                <w:b w:val="1"/>
                <w:bCs w:val="1"/>
                <w:color w:val="144F82"/>
              </w:rPr>
              <w:t>Securities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144F82"/>
              </w:rPr>
              <w:t>Interests</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5"/>
                <w:szCs w:val="15"/>
                <w:b w:val="1"/>
                <w:bCs w:val="1"/>
                <w:color w:val="144F82"/>
              </w:rPr>
              <w:t>Securities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144F82"/>
                <w:w w:val="99"/>
              </w:rPr>
              <w:t>Interests</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EDEDED"/>
          </w:tcPr>
          <w:p>
            <w:pPr>
              <w:ind w:left="20"/>
              <w:spacing w:after="0"/>
              <w:rPr>
                <w:sz w:val="20"/>
                <w:szCs w:val="20"/>
                <w:color w:val="auto"/>
              </w:rPr>
            </w:pPr>
            <w:r>
              <w:rPr>
                <w:rFonts w:ascii="Arial" w:cs="Arial" w:eastAsia="Arial" w:hAnsi="Arial"/>
                <w:sz w:val="16"/>
                <w:szCs w:val="16"/>
                <w:b w:val="1"/>
                <w:bCs w:val="1"/>
                <w:color w:val="144F82"/>
              </w:rPr>
              <w:t>Balance, beginning of period</w:t>
            </w:r>
          </w:p>
        </w:tc>
        <w:tc>
          <w:tcPr>
            <w:tcW w:w="1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DEDED"/>
          </w:tcPr>
          <w:p>
            <w:pPr>
              <w:jc w:val="right"/>
              <w:ind w:right="22"/>
              <w:spacing w:after="0"/>
              <w:rPr>
                <w:sz w:val="20"/>
                <w:szCs w:val="20"/>
                <w:color w:val="auto"/>
              </w:rPr>
            </w:pPr>
            <w:r>
              <w:rPr>
                <w:rFonts w:ascii="Arial" w:cs="Arial" w:eastAsia="Arial" w:hAnsi="Arial"/>
                <w:sz w:val="16"/>
                <w:szCs w:val="16"/>
                <w:color w:val="auto"/>
              </w:rPr>
              <w:t>2,689</w:t>
            </w:r>
          </w:p>
        </w:tc>
        <w:tc>
          <w:tcPr>
            <w:tcW w:w="2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53,262</w:t>
            </w:r>
          </w:p>
        </w:tc>
        <w:tc>
          <w:tcPr>
            <w:tcW w:w="380" w:type="dxa"/>
            <w:vAlign w:val="bottom"/>
            <w:shd w:val="clear" w:color="auto" w:fill="EDEDED"/>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auto"/>
              </w:rPr>
              <w:t>55,951</w:t>
            </w:r>
          </w:p>
        </w:tc>
        <w:tc>
          <w:tcPr>
            <w:tcW w:w="100" w:type="dxa"/>
            <w:vAlign w:val="bottom"/>
            <w:shd w:val="clear" w:color="auto" w:fill="EDEDED"/>
          </w:tcPr>
          <w:p>
            <w:pPr>
              <w:spacing w:after="0"/>
              <w:rPr>
                <w:sz w:val="18"/>
                <w:szCs w:val="18"/>
                <w:color w:val="auto"/>
              </w:rPr>
            </w:pPr>
          </w:p>
        </w:tc>
        <w:tc>
          <w:tcPr>
            <w:tcW w:w="1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DEDED"/>
          </w:tcPr>
          <w:p>
            <w:pPr>
              <w:jc w:val="right"/>
              <w:ind w:right="23"/>
              <w:spacing w:after="0"/>
              <w:rPr>
                <w:sz w:val="20"/>
                <w:szCs w:val="20"/>
                <w:color w:val="auto"/>
              </w:rPr>
            </w:pPr>
            <w:r>
              <w:rPr>
                <w:rFonts w:ascii="Arial" w:cs="Arial" w:eastAsia="Arial" w:hAnsi="Arial"/>
                <w:sz w:val="16"/>
                <w:szCs w:val="16"/>
                <w:color w:val="auto"/>
              </w:rPr>
              <w:t>54,481</w:t>
            </w:r>
          </w:p>
        </w:tc>
        <w:tc>
          <w:tcPr>
            <w:tcW w:w="260" w:type="dxa"/>
            <w:vAlign w:val="bottom"/>
            <w:shd w:val="clear" w:color="auto" w:fill="EDEDED"/>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54,481</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Total gains/(losses):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40"/>
          </w:cols>
          <w:pgMar w:left="320" w:top="512" w:right="539" w:bottom="1440" w:gutter="0" w:footer="0" w:header="0"/>
        </w:sectPr>
      </w:pPr>
    </w:p>
    <w:p>
      <w:pPr>
        <w:ind w:left="160"/>
        <w:spacing w:after="0" w:line="231" w:lineRule="auto"/>
        <w:rPr>
          <w:sz w:val="20"/>
          <w:szCs w:val="20"/>
          <w:color w:val="auto"/>
        </w:rPr>
      </w:pPr>
      <w:r>
        <w:rPr>
          <w:rFonts w:ascii="Arial" w:cs="Arial" w:eastAsia="Arial" w:hAnsi="Arial"/>
          <w:sz w:val="16"/>
          <w:szCs w:val="16"/>
          <w:color w:val="auto"/>
        </w:rPr>
        <w:t>Included in earnings (or changes in net assets)</w:t>
      </w:r>
      <w:r>
        <w:rPr>
          <w:rFonts w:ascii="Arial" w:cs="Arial" w:eastAsia="Arial" w:hAnsi="Arial"/>
          <w:sz w:val="21"/>
          <w:szCs w:val="21"/>
          <w:color w:val="auto"/>
          <w:vertAlign w:val="superscript"/>
        </w:rPr>
        <w:t>(1)</w:t>
      </w:r>
    </w:p>
    <w:p>
      <w:pPr>
        <w:ind w:left="160"/>
        <w:spacing w:after="0"/>
        <w:rPr>
          <w:sz w:val="20"/>
          <w:szCs w:val="20"/>
          <w:color w:val="auto"/>
        </w:rPr>
      </w:pPr>
      <w:r>
        <w:rPr>
          <w:rFonts w:ascii="Arial" w:cs="Arial" w:eastAsia="Arial" w:hAnsi="Arial"/>
          <w:sz w:val="16"/>
          <w:szCs w:val="16"/>
          <w:color w:val="auto"/>
        </w:rPr>
        <w:t>Included in other comprehensive income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Transfers into level 3</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Transfers out of level 3</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44F82"/>
        </w:rPr>
        <w:t>Balance, end of period</w:t>
      </w:r>
    </w:p>
    <w:p>
      <w:pPr>
        <w:spacing w:after="0" w:line="235" w:lineRule="exact"/>
        <w:rPr>
          <w:sz w:val="20"/>
          <w:szCs w:val="20"/>
          <w:color w:val="auto"/>
        </w:rPr>
      </w:pPr>
    </w:p>
    <w:p>
      <w:pPr>
        <w:ind w:left="20"/>
        <w:spacing w:after="0" w:line="234" w:lineRule="auto"/>
        <w:rPr>
          <w:sz w:val="20"/>
          <w:szCs w:val="20"/>
          <w:color w:val="auto"/>
        </w:rPr>
      </w:pPr>
      <w:r>
        <w:rPr>
          <w:rFonts w:ascii="Arial" w:cs="Arial" w:eastAsia="Arial" w:hAnsi="Arial"/>
          <w:sz w:val="16"/>
          <w:szCs w:val="16"/>
          <w:color w:val="auto"/>
        </w:rPr>
        <w:t>Change in unrealized gains or losses for the period included in other comprehensive income for assets held at the end of the reporting period</w:t>
      </w:r>
    </w:p>
    <w:p>
      <w:pPr>
        <w:spacing w:after="0" w:line="2" w:lineRule="exact"/>
        <w:rPr>
          <w:sz w:val="20"/>
          <w:szCs w:val="20"/>
          <w:color w:val="auto"/>
        </w:rPr>
      </w:pPr>
    </w:p>
    <w:p>
      <w:pPr>
        <w:jc w:val="both"/>
        <w:ind w:left="20" w:right="340"/>
        <w:spacing w:after="0"/>
        <w:rPr>
          <w:sz w:val="20"/>
          <w:szCs w:val="20"/>
          <w:color w:val="auto"/>
        </w:rPr>
      </w:pPr>
      <w:r>
        <w:rPr>
          <w:rFonts w:ascii="Arial" w:cs="Arial" w:eastAsia="Arial" w:hAnsi="Arial"/>
          <w:sz w:val="16"/>
          <w:szCs w:val="16"/>
          <w:color w:val="auto"/>
        </w:rPr>
        <w:t>Change in unrealized gains or losses for the period included in earnings (or changes in net assets) for assets held at the end of the reporting period</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(515)</w:t>
            </w:r>
          </w:p>
        </w:tc>
        <w:tc>
          <w:tcPr>
            <w:tcW w:w="5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2,119</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2,119</w:t>
            </w:r>
          </w:p>
        </w:tc>
      </w:tr>
      <w:tr>
        <w:trPr>
          <w:trHeight w:val="216"/>
        </w:trPr>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(226)</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(1,445)</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(1,671)</w:t>
            </w:r>
          </w:p>
        </w:tc>
        <w:tc>
          <w:tcPr>
            <w:tcW w:w="5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1,566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1,566</w:t>
            </w:r>
          </w:p>
        </w:tc>
      </w:tr>
      <w:tr>
        <w:trPr>
          <w:trHeight w:val="216"/>
        </w:trPr>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2,472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51,296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53,768</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58,166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58,166</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66"/>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400"/>
              <w:spacing w:after="0"/>
              <w:rPr>
                <w:sz w:val="20"/>
                <w:szCs w:val="20"/>
                <w:color w:val="auto"/>
              </w:rPr>
            </w:pPr>
            <w:r>
              <w:rPr>
                <w:rFonts w:ascii="Arial" w:cs="Arial" w:eastAsia="Arial" w:hAnsi="Arial"/>
                <w:sz w:val="16"/>
                <w:szCs w:val="16"/>
                <w:color w:val="auto"/>
              </w:rPr>
              <w:t>—   $</w:t>
            </w: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40"/>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(521)</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2,119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-1635125</wp:posOffset>
            </wp:positionV>
            <wp:extent cx="696912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69125"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-1360805</wp:posOffset>
            </wp:positionV>
            <wp:extent cx="696912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9125"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-1086485</wp:posOffset>
            </wp:positionV>
            <wp:extent cx="696912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69125"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-786765</wp:posOffset>
            </wp:positionV>
            <wp:extent cx="6969125"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69125" cy="1028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-340995</wp:posOffset>
            </wp:positionV>
            <wp:extent cx="6969125"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9125" cy="34290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4020" w:space="180"/>
            <w:col w:w="6840"/>
          </w:cols>
          <w:pgMar w:left="320" w:top="512" w:right="539" w:bottom="1440" w:gutter="0" w:footer="0" w:header="0"/>
          <w:type w:val="continuous"/>
        </w:sectPr>
      </w:pPr>
    </w:p>
    <w:p>
      <w:pPr>
        <w:spacing w:after="0" w:line="54" w:lineRule="exact"/>
        <w:rPr>
          <w:sz w:val="20"/>
          <w:szCs w:val="20"/>
          <w:color w:val="auto"/>
        </w:rPr>
      </w:pPr>
    </w:p>
    <w:p>
      <w:pPr>
        <w:ind w:left="640" w:hanging="146"/>
        <w:spacing w:after="0"/>
        <w:tabs>
          <w:tab w:leader="none" w:pos="640" w:val="left"/>
        </w:tabs>
        <w:numPr>
          <w:ilvl w:val="0"/>
          <w:numId w:val="48"/>
        </w:numPr>
        <w:rPr>
          <w:rFonts w:ascii="Arial" w:cs="Arial" w:eastAsia="Arial" w:hAnsi="Arial"/>
          <w:sz w:val="17"/>
          <w:szCs w:val="17"/>
          <w:color w:val="auto"/>
          <w:vertAlign w:val="superscript"/>
        </w:rPr>
      </w:pPr>
      <w:r>
        <w:rPr>
          <w:rFonts w:ascii="Arial" w:cs="Arial" w:eastAsia="Arial" w:hAnsi="Arial"/>
          <w:sz w:val="13"/>
          <w:szCs w:val="13"/>
          <w:color w:val="auto"/>
        </w:rPr>
        <w:t>Included in earnings (or changes in net assets) is comprised of the amounts recorded in the specified line item in the consolidated statements of income:</w:t>
      </w:r>
    </w:p>
    <w:p>
      <w:pPr>
        <w:spacing w:after="0" w:line="231" w:lineRule="exact"/>
        <w:rPr>
          <w:sz w:val="20"/>
          <w:szCs w:val="20"/>
          <w:color w:val="auto"/>
        </w:rPr>
      </w:pPr>
    </w:p>
    <w:tbl>
      <w:tblPr>
        <w:tblLayout w:type="fixed"/>
        <w:tblInd w:w="740" w:type="dxa"/>
        <w:tblCellMar>
          <w:top w:w="0" w:type="dxa"/>
          <w:left w:w="0" w:type="dxa"/>
          <w:bottom w:w="0" w:type="dxa"/>
          <w:right w:w="0" w:type="dxa"/>
        </w:tblCellMar>
      </w:tblPr>
      <w:tr>
        <w:trPr>
          <w:trHeight w:val="214"/>
        </w:trPr>
        <w:tc>
          <w:tcPr>
            <w:tcW w:w="24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144F82"/>
              </w:rPr>
              <w:t>Three Months Ended March 31,</w:t>
            </w:r>
          </w:p>
        </w:tc>
      </w:tr>
      <w:tr>
        <w:trPr>
          <w:trHeight w:val="197"/>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144F82"/>
              </w:rPr>
              <w:t>2025</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144F82"/>
              </w:rPr>
              <w:t>2024</w:t>
            </w:r>
          </w:p>
        </w:tc>
      </w:tr>
      <w:tr>
        <w:trPr>
          <w:trHeight w:val="197"/>
        </w:trPr>
        <w:tc>
          <w:tcPr>
            <w:tcW w:w="2480" w:type="dxa"/>
            <w:vAlign w:val="bottom"/>
            <w:shd w:val="clear" w:color="auto" w:fill="EDEDED"/>
          </w:tcPr>
          <w:p>
            <w:pPr>
              <w:ind w:left="20"/>
              <w:spacing w:after="0"/>
              <w:rPr>
                <w:sz w:val="20"/>
                <w:szCs w:val="20"/>
                <w:color w:val="auto"/>
              </w:rPr>
            </w:pPr>
            <w:r>
              <w:rPr>
                <w:rFonts w:ascii="Arial" w:cs="Arial" w:eastAsia="Arial" w:hAnsi="Arial"/>
                <w:sz w:val="14"/>
                <w:szCs w:val="14"/>
                <w:color w:val="auto"/>
              </w:rPr>
              <w:t>Interest Income - Investments</w:t>
            </w:r>
          </w:p>
        </w:tc>
        <w:tc>
          <w:tcPr>
            <w:tcW w:w="28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6</w:t>
            </w:r>
          </w:p>
        </w:tc>
        <w:tc>
          <w:tcPr>
            <w:tcW w:w="380" w:type="dxa"/>
            <w:vAlign w:val="bottom"/>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480" w:type="dxa"/>
            <w:vAlign w:val="bottom"/>
            <w:tcBorders>
              <w:bottom w:val="single" w:sz="8" w:color="EDEDED"/>
            </w:tcBorders>
          </w:tcPr>
          <w:p>
            <w:pPr>
              <w:ind w:left="20"/>
              <w:spacing w:after="0"/>
              <w:rPr>
                <w:sz w:val="20"/>
                <w:szCs w:val="20"/>
                <w:color w:val="auto"/>
              </w:rPr>
            </w:pPr>
            <w:r>
              <w:rPr>
                <w:rFonts w:ascii="Arial" w:cs="Arial" w:eastAsia="Arial" w:hAnsi="Arial"/>
                <w:sz w:val="14"/>
                <w:szCs w:val="14"/>
                <w:color w:val="auto"/>
              </w:rPr>
              <w:t>Gains (losses) on securities, net</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(521)</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2,119</w:t>
            </w:r>
          </w:p>
        </w:tc>
      </w:tr>
      <w:tr>
        <w:trPr>
          <w:trHeight w:val="225"/>
        </w:trPr>
        <w:tc>
          <w:tcPr>
            <w:tcW w:w="2480" w:type="dxa"/>
            <w:vAlign w:val="bottom"/>
            <w:tcBorders>
              <w:bottom w:val="single" w:sz="8" w:color="EDEDED"/>
            </w:tcBorders>
            <w:shd w:val="clear" w:color="auto" w:fill="EDEDED"/>
          </w:tcPr>
          <w:p>
            <w:pPr>
              <w:ind w:left="20"/>
              <w:spacing w:after="0"/>
              <w:rPr>
                <w:sz w:val="20"/>
                <w:szCs w:val="20"/>
                <w:color w:val="auto"/>
              </w:rPr>
            </w:pPr>
            <w:r>
              <w:rPr>
                <w:rFonts w:ascii="Arial" w:cs="Arial" w:eastAsia="Arial" w:hAnsi="Arial"/>
                <w:sz w:val="14"/>
                <w:szCs w:val="14"/>
                <w:b w:val="1"/>
                <w:bCs w:val="1"/>
                <w:color w:val="144F82"/>
              </w:rPr>
              <w:t>Total</w:t>
            </w:r>
          </w:p>
        </w:tc>
        <w:tc>
          <w:tcPr>
            <w:tcW w:w="280" w:type="dxa"/>
            <w:vAlign w:val="bottom"/>
            <w:tcBorders>
              <w:bottom w:val="single" w:sz="8" w:color="auto"/>
            </w:tcBorders>
            <w:shd w:val="clear" w:color="auto" w:fill="EDEDED"/>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DEDED"/>
          </w:tcPr>
          <w:p>
            <w:pPr>
              <w:jc w:val="right"/>
              <w:ind w:right="8"/>
              <w:spacing w:after="0"/>
              <w:rPr>
                <w:sz w:val="20"/>
                <w:szCs w:val="20"/>
                <w:color w:val="auto"/>
              </w:rPr>
            </w:pPr>
            <w:r>
              <w:rPr>
                <w:rFonts w:ascii="Arial" w:cs="Arial" w:eastAsia="Arial" w:hAnsi="Arial"/>
                <w:sz w:val="14"/>
                <w:szCs w:val="14"/>
                <w:color w:val="auto"/>
              </w:rPr>
              <w:t>(515)</w:t>
            </w:r>
          </w:p>
        </w:tc>
        <w:tc>
          <w:tcPr>
            <w:tcW w:w="380" w:type="dxa"/>
            <w:vAlign w:val="bottom"/>
            <w:tcBorders>
              <w:bottom w:val="single" w:sz="8" w:color="auto"/>
            </w:tcBorders>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DEDED"/>
          </w:tcPr>
          <w:p>
            <w:pPr>
              <w:jc w:val="right"/>
              <w:ind w:right="8"/>
              <w:spacing w:after="0"/>
              <w:rPr>
                <w:sz w:val="20"/>
                <w:szCs w:val="20"/>
                <w:color w:val="auto"/>
              </w:rPr>
            </w:pPr>
            <w:r>
              <w:rPr>
                <w:rFonts w:ascii="Arial" w:cs="Arial" w:eastAsia="Arial" w:hAnsi="Arial"/>
                <w:sz w:val="14"/>
                <w:szCs w:val="14"/>
                <w:color w:val="auto"/>
              </w:rPr>
              <w:t>2,119</w:t>
            </w:r>
          </w:p>
        </w:tc>
      </w:tr>
      <w:tr>
        <w:trPr>
          <w:trHeight w:val="20"/>
        </w:trPr>
        <w:tc>
          <w:tcPr>
            <w:tcW w:w="2480" w:type="dxa"/>
            <w:vAlign w:val="bottom"/>
            <w:tcBorders>
              <w:top w:val="single" w:sz="8" w:color="EDEDED"/>
            </w:tcBorders>
          </w:tcPr>
          <w:p>
            <w:pPr>
              <w:spacing w:after="0" w:line="20" w:lineRule="exact"/>
              <w:rPr>
                <w:sz w:val="1"/>
                <w:szCs w:val="1"/>
                <w:color w:val="auto"/>
              </w:rPr>
            </w:pPr>
          </w:p>
        </w:tc>
        <w:tc>
          <w:tcPr>
            <w:tcW w:w="280" w:type="dxa"/>
            <w:vAlign w:val="bottom"/>
            <w:tcBorders>
              <w:top w:val="single" w:sz="8" w:color="EDEDED"/>
              <w:bottom w:val="single" w:sz="8" w:color="auto"/>
            </w:tcBorders>
          </w:tcPr>
          <w:p>
            <w:pPr>
              <w:spacing w:after="0" w:line="20" w:lineRule="exact"/>
              <w:rPr>
                <w:sz w:val="1"/>
                <w:szCs w:val="1"/>
                <w:color w:val="auto"/>
              </w:rPr>
            </w:pPr>
          </w:p>
        </w:tc>
        <w:tc>
          <w:tcPr>
            <w:tcW w:w="1220" w:type="dxa"/>
            <w:vAlign w:val="bottom"/>
            <w:tcBorders>
              <w:top w:val="single" w:sz="8" w:color="EDEDED"/>
              <w:bottom w:val="single" w:sz="8" w:color="auto"/>
            </w:tcBorders>
          </w:tcPr>
          <w:p>
            <w:pPr>
              <w:spacing w:after="0" w:line="20" w:lineRule="exact"/>
              <w:rPr>
                <w:sz w:val="1"/>
                <w:szCs w:val="1"/>
                <w:color w:val="auto"/>
              </w:rPr>
            </w:pPr>
          </w:p>
        </w:tc>
        <w:tc>
          <w:tcPr>
            <w:tcW w:w="380" w:type="dxa"/>
            <w:vAlign w:val="bottom"/>
            <w:tcBorders>
              <w:top w:val="single" w:sz="8" w:color="EDEDED"/>
              <w:bottom w:val="single" w:sz="8" w:color="auto"/>
            </w:tcBorders>
          </w:tcPr>
          <w:p>
            <w:pPr>
              <w:spacing w:after="0" w:line="20" w:lineRule="exact"/>
              <w:rPr>
                <w:sz w:val="1"/>
                <w:szCs w:val="1"/>
                <w:color w:val="auto"/>
              </w:rPr>
            </w:pPr>
          </w:p>
        </w:tc>
        <w:tc>
          <w:tcPr>
            <w:tcW w:w="1140" w:type="dxa"/>
            <w:vAlign w:val="bottom"/>
            <w:tcBorders>
              <w:top w:val="single" w:sz="8" w:color="EDEDED"/>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40" w:hanging="146"/>
        <w:spacing w:after="0"/>
        <w:tabs>
          <w:tab w:leader="none" w:pos="640" w:val="left"/>
        </w:tabs>
        <w:numPr>
          <w:ilvl w:val="0"/>
          <w:numId w:val="49"/>
        </w:numPr>
        <w:rPr>
          <w:rFonts w:ascii="Arial" w:cs="Arial" w:eastAsia="Arial" w:hAnsi="Arial"/>
          <w:sz w:val="17"/>
          <w:szCs w:val="17"/>
          <w:color w:val="auto"/>
          <w:vertAlign w:val="superscript"/>
        </w:rPr>
      </w:pPr>
      <w:r>
        <w:rPr>
          <w:rFonts w:ascii="Arial" w:cs="Arial" w:eastAsia="Arial" w:hAnsi="Arial"/>
          <w:sz w:val="13"/>
          <w:szCs w:val="13"/>
          <w:color w:val="auto"/>
        </w:rPr>
        <w:t>Recorded in "gains (losses) on securities, net" in the consolidated statements of income.</w:t>
      </w:r>
    </w:p>
    <w:p>
      <w:pPr>
        <w:spacing w:after="0" w:line="200" w:lineRule="exact"/>
        <w:rPr>
          <w:sz w:val="20"/>
          <w:szCs w:val="20"/>
          <w:color w:val="auto"/>
        </w:rPr>
      </w:pPr>
    </w:p>
    <w:p>
      <w:pPr>
        <w:spacing w:after="0" w:line="262"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The following table presents the significant unobservable inputs used in the recurring valuations of the level 3 financial instruments detailed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143510</wp:posOffset>
            </wp:positionV>
            <wp:extent cx="60432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357" w:lineRule="exact"/>
        <w:rPr>
          <w:sz w:val="20"/>
          <w:szCs w:val="20"/>
          <w:color w:val="auto"/>
        </w:rPr>
      </w:pPr>
    </w:p>
    <w:tbl>
      <w:tblPr>
        <w:tblLayout w:type="fixed"/>
        <w:tblInd w:w="880" w:type="dxa"/>
        <w:tblCellMar>
          <w:top w:w="0" w:type="dxa"/>
          <w:left w:w="0" w:type="dxa"/>
          <w:bottom w:w="0" w:type="dxa"/>
          <w:right w:w="0" w:type="dxa"/>
        </w:tblCellMar>
      </w:tblPr>
      <w:tr>
        <w:trPr>
          <w:trHeight w:val="172"/>
        </w:trPr>
        <w:tc>
          <w:tcPr>
            <w:tcW w:w="1980" w:type="dxa"/>
            <w:vAlign w:val="bottom"/>
          </w:tcPr>
          <w:p>
            <w:pPr>
              <w:spacing w:after="0"/>
              <w:rPr>
                <w:sz w:val="20"/>
                <w:szCs w:val="20"/>
                <w:color w:val="auto"/>
              </w:rPr>
            </w:pPr>
            <w:r>
              <w:rPr>
                <w:rFonts w:ascii="Arial" w:cs="Arial" w:eastAsia="Arial" w:hAnsi="Arial"/>
                <w:sz w:val="15"/>
                <w:szCs w:val="15"/>
                <w:b w:val="1"/>
                <w:bCs w:val="1"/>
                <w:color w:val="144F82"/>
              </w:rPr>
              <w:t>As of March 31, 2025</w:t>
            </w:r>
          </w:p>
        </w:tc>
        <w:tc>
          <w:tcPr>
            <w:tcW w:w="180" w:type="dxa"/>
            <w:vAlign w:val="bottom"/>
          </w:tcPr>
          <w:p>
            <w:pPr>
              <w:spacing w:after="0"/>
              <w:rPr>
                <w:sz w:val="15"/>
                <w:szCs w:val="15"/>
                <w:color w:val="auto"/>
              </w:rPr>
            </w:pPr>
          </w:p>
        </w:tc>
        <w:tc>
          <w:tcPr>
            <w:tcW w:w="1080" w:type="dxa"/>
            <w:vAlign w:val="bottom"/>
            <w:vMerge w:val="restart"/>
          </w:tcPr>
          <w:p>
            <w:pPr>
              <w:jc w:val="right"/>
              <w:ind w:right="200"/>
              <w:spacing w:after="0"/>
              <w:rPr>
                <w:sz w:val="20"/>
                <w:szCs w:val="20"/>
                <w:color w:val="auto"/>
              </w:rPr>
            </w:pPr>
            <w:r>
              <w:rPr>
                <w:rFonts w:ascii="Arial" w:cs="Arial" w:eastAsia="Arial" w:hAnsi="Arial"/>
                <w:sz w:val="15"/>
                <w:szCs w:val="15"/>
                <w:b w:val="1"/>
                <w:bCs w:val="1"/>
                <w:color w:val="144F82"/>
              </w:rPr>
              <w:t>Fair Value</w:t>
            </w:r>
          </w:p>
        </w:tc>
        <w:tc>
          <w:tcPr>
            <w:tcW w:w="1920" w:type="dxa"/>
            <w:vAlign w:val="bottom"/>
            <w:vMerge w:val="restart"/>
          </w:tcPr>
          <w:p>
            <w:pPr>
              <w:jc w:val="center"/>
              <w:spacing w:after="0"/>
              <w:rPr>
                <w:sz w:val="20"/>
                <w:szCs w:val="20"/>
                <w:color w:val="auto"/>
              </w:rPr>
            </w:pPr>
            <w:r>
              <w:rPr>
                <w:rFonts w:ascii="Arial" w:cs="Arial" w:eastAsia="Arial" w:hAnsi="Arial"/>
                <w:sz w:val="15"/>
                <w:szCs w:val="15"/>
                <w:b w:val="1"/>
                <w:bCs w:val="1"/>
                <w:color w:val="144F82"/>
              </w:rPr>
              <w:t>Valuation Technique</w:t>
            </w:r>
          </w:p>
        </w:tc>
        <w:tc>
          <w:tcPr>
            <w:tcW w:w="2440" w:type="dxa"/>
            <w:vAlign w:val="bottom"/>
            <w:vMerge w:val="restart"/>
          </w:tcPr>
          <w:p>
            <w:pPr>
              <w:jc w:val="center"/>
              <w:ind w:right="40"/>
              <w:spacing w:after="0"/>
              <w:rPr>
                <w:sz w:val="20"/>
                <w:szCs w:val="20"/>
                <w:color w:val="auto"/>
              </w:rPr>
            </w:pPr>
            <w:r>
              <w:rPr>
                <w:rFonts w:ascii="Arial" w:cs="Arial" w:eastAsia="Arial" w:hAnsi="Arial"/>
                <w:sz w:val="15"/>
                <w:szCs w:val="15"/>
                <w:b w:val="1"/>
                <w:bCs w:val="1"/>
                <w:color w:val="144F82"/>
              </w:rPr>
              <w:t>Unobservable Input</w:t>
            </w:r>
          </w:p>
        </w:tc>
        <w:tc>
          <w:tcPr>
            <w:tcW w:w="1900" w:type="dxa"/>
            <w:vAlign w:val="bottom"/>
            <w:vMerge w:val="restart"/>
          </w:tcPr>
          <w:p>
            <w:pPr>
              <w:ind w:left="340"/>
              <w:spacing w:after="0"/>
              <w:rPr>
                <w:sz w:val="20"/>
                <w:szCs w:val="20"/>
                <w:color w:val="auto"/>
              </w:rPr>
            </w:pPr>
            <w:r>
              <w:rPr>
                <w:rFonts w:ascii="Arial" w:cs="Arial" w:eastAsia="Arial" w:hAnsi="Arial"/>
                <w:sz w:val="15"/>
                <w:szCs w:val="15"/>
                <w:b w:val="1"/>
                <w:bCs w:val="1"/>
                <w:color w:val="144F82"/>
              </w:rPr>
              <w:t>Range (Average)</w:t>
            </w:r>
          </w:p>
        </w:tc>
        <w:tc>
          <w:tcPr>
            <w:tcW w:w="0" w:type="dxa"/>
            <w:vAlign w:val="bottom"/>
          </w:tcPr>
          <w:p>
            <w:pPr>
              <w:spacing w:after="0"/>
              <w:rPr>
                <w:sz w:val="1"/>
                <w:szCs w:val="1"/>
                <w:color w:val="auto"/>
              </w:rPr>
            </w:pPr>
          </w:p>
        </w:tc>
      </w:tr>
      <w:tr>
        <w:trPr>
          <w:trHeight w:val="216"/>
        </w:trPr>
        <w:tc>
          <w:tcPr>
            <w:tcW w:w="1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144F82"/>
              </w:rPr>
              <w:t>(dollars in thousands)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80" w:type="dxa"/>
            <w:vAlign w:val="bottom"/>
            <w:shd w:val="clear" w:color="auto" w:fill="EDEDEE"/>
          </w:tcPr>
          <w:p>
            <w:pPr>
              <w:spacing w:after="0"/>
              <w:rPr>
                <w:sz w:val="20"/>
                <w:szCs w:val="20"/>
                <w:color w:val="auto"/>
              </w:rPr>
            </w:pPr>
            <w:r>
              <w:rPr>
                <w:rFonts w:ascii="Arial" w:cs="Arial" w:eastAsia="Arial" w:hAnsi="Arial"/>
                <w:sz w:val="16"/>
                <w:szCs w:val="16"/>
                <w:color w:val="auto"/>
              </w:rPr>
              <w:t>Debt Securities</w:t>
            </w:r>
          </w:p>
        </w:tc>
        <w:tc>
          <w:tcPr>
            <w:tcW w:w="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2,472</w:t>
            </w:r>
          </w:p>
        </w:tc>
        <w:tc>
          <w:tcPr>
            <w:tcW w:w="1920" w:type="dxa"/>
            <w:vAlign w:val="bottom"/>
            <w:shd w:val="clear" w:color="auto" w:fill="EDEDEE"/>
          </w:tcPr>
          <w:p>
            <w:pPr>
              <w:jc w:val="center"/>
              <w:spacing w:after="0"/>
              <w:rPr>
                <w:sz w:val="20"/>
                <w:szCs w:val="20"/>
                <w:color w:val="auto"/>
              </w:rPr>
            </w:pPr>
            <w:r>
              <w:rPr>
                <w:rFonts w:ascii="Arial" w:cs="Arial" w:eastAsia="Arial" w:hAnsi="Arial"/>
                <w:sz w:val="16"/>
                <w:szCs w:val="16"/>
                <w:color w:val="auto"/>
              </w:rPr>
              <w:t>Discounted cash flow</w:t>
            </w:r>
          </w:p>
        </w:tc>
        <w:tc>
          <w:tcPr>
            <w:tcW w:w="2440" w:type="dxa"/>
            <w:vAlign w:val="bottom"/>
            <w:shd w:val="clear" w:color="auto" w:fill="EDEDEE"/>
          </w:tcPr>
          <w:p>
            <w:pPr>
              <w:jc w:val="center"/>
              <w:ind w:right="40"/>
              <w:spacing w:after="0"/>
              <w:rPr>
                <w:sz w:val="20"/>
                <w:szCs w:val="20"/>
                <w:color w:val="auto"/>
              </w:rPr>
            </w:pPr>
            <w:r>
              <w:rPr>
                <w:rFonts w:ascii="Arial" w:cs="Arial" w:eastAsia="Arial" w:hAnsi="Arial"/>
                <w:sz w:val="16"/>
                <w:szCs w:val="16"/>
                <w:color w:val="auto"/>
              </w:rPr>
              <w:t>Constant Prepayment Rate</w:t>
            </w:r>
          </w:p>
        </w:tc>
        <w:tc>
          <w:tcPr>
            <w:tcW w:w="1900" w:type="dxa"/>
            <w:vAlign w:val="bottom"/>
            <w:shd w:val="clear" w:color="auto" w:fill="EDEDEE"/>
          </w:tcPr>
          <w:p>
            <w:pPr>
              <w:ind w:left="300"/>
              <w:spacing w:after="0"/>
              <w:rPr>
                <w:sz w:val="20"/>
                <w:szCs w:val="20"/>
                <w:color w:val="auto"/>
              </w:rPr>
            </w:pPr>
            <w:r>
              <w:rPr>
                <w:rFonts w:ascii="Arial" w:cs="Arial" w:eastAsia="Arial" w:hAnsi="Arial"/>
                <w:sz w:val="16"/>
                <w:szCs w:val="16"/>
                <w:color w:val="auto"/>
              </w:rPr>
              <w:t>6.9%-11.0% (8.3%)</w:t>
            </w:r>
          </w:p>
        </w:tc>
        <w:tc>
          <w:tcPr>
            <w:tcW w:w="0" w:type="dxa"/>
            <w:vAlign w:val="bottom"/>
          </w:tcPr>
          <w:p>
            <w:pPr>
              <w:spacing w:after="0"/>
              <w:rPr>
                <w:sz w:val="1"/>
                <w:szCs w:val="1"/>
                <w:color w:val="auto"/>
              </w:rPr>
            </w:pPr>
          </w:p>
        </w:tc>
      </w:tr>
      <w:tr>
        <w:trPr>
          <w:trHeight w:val="269"/>
        </w:trPr>
        <w:tc>
          <w:tcPr>
            <w:tcW w:w="1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440" w:type="dxa"/>
            <w:vAlign w:val="bottom"/>
          </w:tcPr>
          <w:p>
            <w:pPr>
              <w:jc w:val="center"/>
              <w:ind w:right="40"/>
              <w:spacing w:after="0"/>
              <w:rPr>
                <w:sz w:val="20"/>
                <w:szCs w:val="20"/>
                <w:color w:val="auto"/>
              </w:rPr>
            </w:pPr>
            <w:r>
              <w:rPr>
                <w:rFonts w:ascii="Arial" w:cs="Arial" w:eastAsia="Arial" w:hAnsi="Arial"/>
                <w:sz w:val="16"/>
                <w:szCs w:val="16"/>
                <w:color w:val="auto"/>
              </w:rPr>
              <w:t>Probability of default</w:t>
            </w:r>
          </w:p>
        </w:tc>
        <w:tc>
          <w:tcPr>
            <w:tcW w:w="1900" w:type="dxa"/>
            <w:vAlign w:val="bottom"/>
          </w:tcPr>
          <w:p>
            <w:pPr>
              <w:ind w:left="320"/>
              <w:spacing w:after="0"/>
              <w:rPr>
                <w:sz w:val="20"/>
                <w:szCs w:val="20"/>
                <w:color w:val="auto"/>
              </w:rPr>
            </w:pPr>
            <w:r>
              <w:rPr>
                <w:rFonts w:ascii="Arial" w:cs="Arial" w:eastAsia="Arial" w:hAnsi="Arial"/>
                <w:sz w:val="16"/>
                <w:szCs w:val="16"/>
                <w:color w:val="auto"/>
              </w:rPr>
              <w:t>4.0%-17.0% (11.5%)</w:t>
            </w:r>
          </w:p>
        </w:tc>
        <w:tc>
          <w:tcPr>
            <w:tcW w:w="0" w:type="dxa"/>
            <w:vAlign w:val="bottom"/>
          </w:tcPr>
          <w:p>
            <w:pPr>
              <w:spacing w:after="0"/>
              <w:rPr>
                <w:sz w:val="1"/>
                <w:szCs w:val="1"/>
                <w:color w:val="auto"/>
              </w:rPr>
            </w:pPr>
          </w:p>
        </w:tc>
      </w:tr>
      <w:tr>
        <w:trPr>
          <w:trHeight w:val="271"/>
        </w:trPr>
        <w:tc>
          <w:tcPr>
            <w:tcW w:w="1980" w:type="dxa"/>
            <w:vAlign w:val="bottom"/>
            <w:shd w:val="clear" w:color="auto" w:fill="EDEDEE"/>
          </w:tcPr>
          <w:p>
            <w:pPr>
              <w:spacing w:after="0"/>
              <w:rPr>
                <w:sz w:val="20"/>
                <w:szCs w:val="20"/>
                <w:color w:val="auto"/>
              </w:rPr>
            </w:pPr>
            <w:r>
              <w:rPr>
                <w:rFonts w:ascii="Arial" w:cs="Arial" w:eastAsia="Arial" w:hAnsi="Arial"/>
                <w:sz w:val="16"/>
                <w:szCs w:val="16"/>
                <w:color w:val="auto"/>
              </w:rPr>
              <w:t>Residual Interests</w:t>
            </w:r>
          </w:p>
        </w:tc>
        <w:tc>
          <w:tcPr>
            <w:tcW w:w="180" w:type="dxa"/>
            <w:vAlign w:val="bottom"/>
            <w:shd w:val="clear" w:color="auto" w:fill="EDEDEE"/>
          </w:tcPr>
          <w:p>
            <w:pPr>
              <w:spacing w:after="0"/>
              <w:rPr>
                <w:sz w:val="23"/>
                <w:szCs w:val="23"/>
                <w:color w:val="auto"/>
              </w:rPr>
            </w:pPr>
          </w:p>
        </w:tc>
        <w:tc>
          <w:tcPr>
            <w:tcW w:w="10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51,296</w:t>
            </w:r>
          </w:p>
        </w:tc>
        <w:tc>
          <w:tcPr>
            <w:tcW w:w="1920" w:type="dxa"/>
            <w:vAlign w:val="bottom"/>
            <w:shd w:val="clear" w:color="auto" w:fill="EDEDEE"/>
          </w:tcPr>
          <w:p>
            <w:pPr>
              <w:jc w:val="center"/>
              <w:spacing w:after="0"/>
              <w:rPr>
                <w:sz w:val="20"/>
                <w:szCs w:val="20"/>
                <w:color w:val="auto"/>
              </w:rPr>
            </w:pPr>
            <w:r>
              <w:rPr>
                <w:rFonts w:ascii="Arial" w:cs="Arial" w:eastAsia="Arial" w:hAnsi="Arial"/>
                <w:sz w:val="16"/>
                <w:szCs w:val="16"/>
                <w:color w:val="auto"/>
              </w:rPr>
              <w:t>Discounted cash flow</w:t>
            </w:r>
          </w:p>
        </w:tc>
        <w:tc>
          <w:tcPr>
            <w:tcW w:w="2440" w:type="dxa"/>
            <w:vAlign w:val="bottom"/>
            <w:shd w:val="clear" w:color="auto" w:fill="EDEDEE"/>
          </w:tcPr>
          <w:p>
            <w:pPr>
              <w:jc w:val="center"/>
              <w:ind w:right="40"/>
              <w:spacing w:after="0"/>
              <w:rPr>
                <w:sz w:val="20"/>
                <w:szCs w:val="20"/>
                <w:color w:val="auto"/>
              </w:rPr>
            </w:pPr>
            <w:r>
              <w:rPr>
                <w:rFonts w:ascii="Arial" w:cs="Arial" w:eastAsia="Arial" w:hAnsi="Arial"/>
                <w:sz w:val="16"/>
                <w:szCs w:val="16"/>
                <w:color w:val="auto"/>
              </w:rPr>
              <w:t>Constant Prepayment Rate</w:t>
            </w:r>
          </w:p>
        </w:tc>
        <w:tc>
          <w:tcPr>
            <w:tcW w:w="1900" w:type="dxa"/>
            <w:vAlign w:val="bottom"/>
            <w:shd w:val="clear" w:color="auto" w:fill="EDEDEE"/>
          </w:tcPr>
          <w:p>
            <w:pPr>
              <w:ind w:left="300"/>
              <w:spacing w:after="0"/>
              <w:rPr>
                <w:sz w:val="20"/>
                <w:szCs w:val="20"/>
                <w:color w:val="auto"/>
              </w:rPr>
            </w:pPr>
            <w:r>
              <w:rPr>
                <w:rFonts w:ascii="Arial" w:cs="Arial" w:eastAsia="Arial" w:hAnsi="Arial"/>
                <w:sz w:val="16"/>
                <w:szCs w:val="16"/>
                <w:color w:val="auto"/>
              </w:rPr>
              <w:t>6.9%-11.0% (8.3%)</w:t>
            </w:r>
          </w:p>
        </w:tc>
        <w:tc>
          <w:tcPr>
            <w:tcW w:w="0" w:type="dxa"/>
            <w:vAlign w:val="bottom"/>
          </w:tcPr>
          <w:p>
            <w:pPr>
              <w:spacing w:after="0"/>
              <w:rPr>
                <w:sz w:val="1"/>
                <w:szCs w:val="1"/>
                <w:color w:val="auto"/>
              </w:rPr>
            </w:pPr>
          </w:p>
        </w:tc>
      </w:tr>
      <w:tr>
        <w:trPr>
          <w:trHeight w:val="269"/>
        </w:trPr>
        <w:tc>
          <w:tcPr>
            <w:tcW w:w="1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color w:val="auto"/>
              </w:rPr>
              <w:t>Probability of default</w:t>
            </w:r>
          </w:p>
        </w:tc>
        <w:tc>
          <w:tcPr>
            <w:tcW w:w="19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4.0%-17.0% (11.5%)</w:t>
            </w:r>
          </w:p>
        </w:tc>
        <w:tc>
          <w:tcPr>
            <w:tcW w:w="0" w:type="dxa"/>
            <w:vAlign w:val="bottom"/>
          </w:tcPr>
          <w:p>
            <w:pPr>
              <w:spacing w:after="0"/>
              <w:rPr>
                <w:sz w:val="1"/>
                <w:szCs w:val="1"/>
                <w:color w:val="auto"/>
              </w:rPr>
            </w:pPr>
          </w:p>
        </w:tc>
      </w:tr>
      <w:tr>
        <w:trPr>
          <w:trHeight w:val="249"/>
        </w:trPr>
        <w:tc>
          <w:tcPr>
            <w:tcW w:w="198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DEDEE"/>
          </w:tcPr>
          <w:p>
            <w:pPr>
              <w:jc w:val="right"/>
              <w:ind w:right="20"/>
              <w:spacing w:after="0"/>
              <w:rPr>
                <w:sz w:val="20"/>
                <w:szCs w:val="20"/>
                <w:color w:val="auto"/>
              </w:rPr>
            </w:pPr>
            <w:r>
              <w:rPr>
                <w:rFonts w:ascii="Arial" w:cs="Arial" w:eastAsia="Arial" w:hAnsi="Arial"/>
                <w:sz w:val="16"/>
                <w:szCs w:val="16"/>
                <w:color w:val="auto"/>
              </w:rPr>
              <w:t>53,768</w:t>
            </w:r>
          </w:p>
        </w:tc>
        <w:tc>
          <w:tcPr>
            <w:tcW w:w="1920" w:type="dxa"/>
            <w:vAlign w:val="bottom"/>
            <w:tcBorders>
              <w:bottom w:val="single" w:sz="8" w:color="EDEDEE"/>
            </w:tcBorders>
            <w:shd w:val="clear" w:color="auto" w:fill="EDEDEE"/>
          </w:tcPr>
          <w:p>
            <w:pPr>
              <w:spacing w:after="0"/>
              <w:rPr>
                <w:sz w:val="21"/>
                <w:szCs w:val="21"/>
                <w:color w:val="auto"/>
              </w:rPr>
            </w:pPr>
          </w:p>
        </w:tc>
        <w:tc>
          <w:tcPr>
            <w:tcW w:w="2440" w:type="dxa"/>
            <w:vAlign w:val="bottom"/>
            <w:tcBorders>
              <w:bottom w:val="single" w:sz="8" w:color="EDEDEE"/>
            </w:tcBorders>
            <w:shd w:val="clear" w:color="auto" w:fill="EDEDEE"/>
          </w:tcPr>
          <w:p>
            <w:pPr>
              <w:spacing w:after="0"/>
              <w:rPr>
                <w:sz w:val="21"/>
                <w:szCs w:val="21"/>
                <w:color w:val="auto"/>
              </w:rPr>
            </w:pPr>
          </w:p>
        </w:tc>
        <w:tc>
          <w:tcPr>
            <w:tcW w:w="1900" w:type="dxa"/>
            <w:vAlign w:val="bottom"/>
            <w:tcBorders>
              <w:bottom w:val="single" w:sz="8" w:color="EDEDEE"/>
            </w:tcBorders>
            <w:shd w:val="clear" w:color="auto" w:fill="EDED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EDEDEE"/>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1080" w:type="dxa"/>
            <w:vAlign w:val="bottom"/>
            <w:tcBorders>
              <w:top w:val="single" w:sz="8" w:color="EDEDEE"/>
              <w:bottom w:val="single" w:sz="8" w:color="auto"/>
            </w:tcBorders>
          </w:tcPr>
          <w:p>
            <w:pPr>
              <w:spacing w:after="0" w:line="20" w:lineRule="exact"/>
              <w:rPr>
                <w:sz w:val="1"/>
                <w:szCs w:val="1"/>
                <w:color w:val="auto"/>
              </w:rPr>
            </w:pPr>
          </w:p>
        </w:tc>
        <w:tc>
          <w:tcPr>
            <w:tcW w:w="1920" w:type="dxa"/>
            <w:vAlign w:val="bottom"/>
            <w:tcBorders>
              <w:top w:val="single" w:sz="8" w:color="EDEDEE"/>
            </w:tcBorders>
          </w:tcPr>
          <w:p>
            <w:pPr>
              <w:spacing w:after="0" w:line="20" w:lineRule="exact"/>
              <w:rPr>
                <w:sz w:val="1"/>
                <w:szCs w:val="1"/>
                <w:color w:val="auto"/>
              </w:rPr>
            </w:pPr>
          </w:p>
        </w:tc>
        <w:tc>
          <w:tcPr>
            <w:tcW w:w="2440" w:type="dxa"/>
            <w:vAlign w:val="bottom"/>
            <w:tcBorders>
              <w:top w:val="single" w:sz="8" w:color="EDEDEE"/>
            </w:tcBorders>
          </w:tcPr>
          <w:p>
            <w:pPr>
              <w:spacing w:after="0" w:line="20" w:lineRule="exact"/>
              <w:rPr>
                <w:sz w:val="1"/>
                <w:szCs w:val="1"/>
                <w:color w:val="auto"/>
              </w:rPr>
            </w:pPr>
          </w:p>
        </w:tc>
        <w:tc>
          <w:tcPr>
            <w:tcW w:w="1900" w:type="dxa"/>
            <w:vAlign w:val="bottom"/>
            <w:tcBorders>
              <w:top w:val="single" w:sz="8" w:color="EDED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144F82"/>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2" w:right="539" w:bottom="1440" w:gutter="0" w:footer="0" w:header="0"/>
          <w:type w:val="continuous"/>
        </w:sectPr>
      </w:pPr>
    </w:p>
    <w:bookmarkStart w:id="43" w:name="page44"/>
    <w:bookmarkEnd w:id="43"/>
    <w:p>
      <w:pPr>
        <w:ind w:left="540" w:hanging="51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inputs detailed in the above table would be expected to have the following impacts to the valuations:</w:t>
      </w:r>
    </w:p>
    <w:p>
      <w:pPr>
        <w:spacing w:after="0" w:line="117" w:lineRule="exact"/>
        <w:rPr>
          <w:sz w:val="20"/>
          <w:szCs w:val="20"/>
          <w:color w:val="auto"/>
        </w:rPr>
      </w:pPr>
    </w:p>
    <w:p>
      <w:pPr>
        <w:ind w:left="660" w:right="460" w:hanging="166"/>
        <w:spacing w:after="0" w:line="28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decrease in CPR would result in a longer weighted average life of the trust, resulting in a decrease to the valuation due to the delay in residual cash flows with the increased term. The opposite is true for an increase in the CPR.</w:t>
      </w:r>
    </w:p>
    <w:p>
      <w:pPr>
        <w:spacing w:after="0" w:line="44" w:lineRule="exact"/>
        <w:rPr>
          <w:rFonts w:ascii="Arial" w:cs="Arial" w:eastAsia="Arial" w:hAnsi="Arial"/>
          <w:sz w:val="18"/>
          <w:szCs w:val="18"/>
          <w:color w:val="auto"/>
        </w:rPr>
      </w:pPr>
    </w:p>
    <w:p>
      <w:pPr>
        <w:ind w:left="660" w:right="520" w:hanging="166"/>
        <w:spacing w:after="0" w:line="28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decrease in the probability of defaults means increased principal receipts, resulting in an increase to the valuation due to the increase in residual cash flow.</w:t>
      </w:r>
    </w:p>
    <w:p>
      <w:pPr>
        <w:spacing w:after="0" w:line="44" w:lineRule="exact"/>
        <w:rPr>
          <w:rFonts w:ascii="Arial" w:cs="Arial" w:eastAsia="Arial" w:hAnsi="Arial"/>
          <w:sz w:val="18"/>
          <w:szCs w:val="18"/>
          <w:color w:val="auto"/>
        </w:rPr>
      </w:pPr>
    </w:p>
    <w:p>
      <w:pPr>
        <w:ind w:left="660" w:hanging="166"/>
        <w:spacing w:after="0" w:line="28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Conversely, an increase in the probability of defaults means decreased principal receipts, resulting in a decrease to the valuation due to the decrease in residual cash flow.</w:t>
      </w:r>
    </w:p>
    <w:p>
      <w:pPr>
        <w:spacing w:after="0" w:line="17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fair values of our financial assets and liabilities, including derivative financial instruments.</w:t>
      </w:r>
    </w:p>
    <w:p>
      <w:pPr>
        <w:spacing w:after="0" w:line="27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7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144F82"/>
              </w:rPr>
              <w:t>March 31, 2025</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144F82"/>
              </w:rPr>
              <w:t>December 31, 2024</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379"/>
              <w:spacing w:after="0" w:line="155" w:lineRule="exact"/>
              <w:rPr>
                <w:sz w:val="20"/>
                <w:szCs w:val="20"/>
                <w:color w:val="auto"/>
              </w:rPr>
            </w:pPr>
            <w:r>
              <w:rPr>
                <w:rFonts w:ascii="Arial" w:cs="Arial" w:eastAsia="Arial" w:hAnsi="Arial"/>
                <w:sz w:val="16"/>
                <w:szCs w:val="16"/>
                <w:b w:val="1"/>
                <w:bCs w:val="1"/>
                <w:color w:val="144F82"/>
              </w:rPr>
              <w:t>Fair</w:t>
            </w:r>
          </w:p>
        </w:tc>
        <w:tc>
          <w:tcPr>
            <w:tcW w:w="280" w:type="dxa"/>
            <w:vAlign w:val="bottom"/>
          </w:tcPr>
          <w:p>
            <w:pPr>
              <w:spacing w:after="0"/>
              <w:rPr>
                <w:sz w:val="13"/>
                <w:szCs w:val="13"/>
                <w:color w:val="auto"/>
              </w:rPr>
            </w:pPr>
          </w:p>
        </w:tc>
        <w:tc>
          <w:tcPr>
            <w:tcW w:w="1120" w:type="dxa"/>
            <w:vAlign w:val="bottom"/>
          </w:tcPr>
          <w:p>
            <w:pPr>
              <w:jc w:val="right"/>
              <w:ind w:right="299"/>
              <w:spacing w:after="0" w:line="155" w:lineRule="exact"/>
              <w:rPr>
                <w:sz w:val="20"/>
                <w:szCs w:val="20"/>
                <w:color w:val="auto"/>
              </w:rPr>
            </w:pPr>
            <w:r>
              <w:rPr>
                <w:rFonts w:ascii="Arial" w:cs="Arial" w:eastAsia="Arial" w:hAnsi="Arial"/>
                <w:sz w:val="16"/>
                <w:szCs w:val="16"/>
                <w:b w:val="1"/>
                <w:bCs w:val="1"/>
                <w:color w:val="144F82"/>
              </w:rPr>
              <w:t>Carrying</w:t>
            </w:r>
          </w:p>
        </w:tc>
        <w:tc>
          <w:tcPr>
            <w:tcW w:w="140" w:type="dxa"/>
            <w:vAlign w:val="bottom"/>
          </w:tcPr>
          <w:p>
            <w:pPr>
              <w:spacing w:after="0"/>
              <w:rPr>
                <w:sz w:val="13"/>
                <w:szCs w:val="13"/>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144F82"/>
              </w:rPr>
              <w:t>Difference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99"/>
              <w:spacing w:after="0" w:line="155" w:lineRule="exact"/>
              <w:rPr>
                <w:sz w:val="20"/>
                <w:szCs w:val="20"/>
                <w:color w:val="auto"/>
              </w:rPr>
            </w:pPr>
            <w:r>
              <w:rPr>
                <w:rFonts w:ascii="Arial" w:cs="Arial" w:eastAsia="Arial" w:hAnsi="Arial"/>
                <w:sz w:val="16"/>
                <w:szCs w:val="16"/>
                <w:b w:val="1"/>
                <w:bCs w:val="1"/>
                <w:color w:val="144F82"/>
              </w:rPr>
              <w:t>Fair</w:t>
            </w:r>
          </w:p>
        </w:tc>
        <w:tc>
          <w:tcPr>
            <w:tcW w:w="360" w:type="dxa"/>
            <w:vAlign w:val="bottom"/>
          </w:tcPr>
          <w:p>
            <w:pPr>
              <w:spacing w:after="0"/>
              <w:rPr>
                <w:sz w:val="13"/>
                <w:szCs w:val="13"/>
                <w:color w:val="auto"/>
              </w:rPr>
            </w:pPr>
          </w:p>
        </w:tc>
        <w:tc>
          <w:tcPr>
            <w:tcW w:w="1120" w:type="dxa"/>
            <w:vAlign w:val="bottom"/>
          </w:tcPr>
          <w:p>
            <w:pPr>
              <w:jc w:val="right"/>
              <w:ind w:right="299"/>
              <w:spacing w:after="0" w:line="155" w:lineRule="exact"/>
              <w:rPr>
                <w:sz w:val="20"/>
                <w:szCs w:val="20"/>
                <w:color w:val="auto"/>
              </w:rPr>
            </w:pPr>
            <w:r>
              <w:rPr>
                <w:rFonts w:ascii="Arial" w:cs="Arial" w:eastAsia="Arial" w:hAnsi="Arial"/>
                <w:sz w:val="16"/>
                <w:szCs w:val="16"/>
                <w:b w:val="1"/>
                <w:bCs w:val="1"/>
                <w:color w:val="144F82"/>
              </w:rPr>
              <w:t>Carrying</w:t>
            </w:r>
          </w:p>
        </w:tc>
        <w:tc>
          <w:tcPr>
            <w:tcW w:w="140" w:type="dxa"/>
            <w:vAlign w:val="bottom"/>
          </w:tcPr>
          <w:p>
            <w:pPr>
              <w:spacing w:after="0"/>
              <w:rPr>
                <w:sz w:val="13"/>
                <w:szCs w:val="13"/>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144F82"/>
              </w:rPr>
              <w:t>Difference</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144F82"/>
              </w:rPr>
              <w:t>Value</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144F82"/>
              </w:rPr>
              <w:t>Value</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144F82"/>
              </w:rPr>
              <w:t>Value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144F82"/>
              </w:rPr>
              <w:t>Value</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Arial" w:cs="Arial" w:eastAsia="Arial" w:hAnsi="Arial"/>
                <w:sz w:val="16"/>
                <w:szCs w:val="16"/>
                <w:b w:val="1"/>
                <w:bCs w:val="1"/>
                <w:color w:val="144F82"/>
              </w:rPr>
              <w:t>Earning assets: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EDEDEE"/>
          </w:tcPr>
          <w:p>
            <w:pPr>
              <w:ind w:left="20"/>
              <w:spacing w:after="0"/>
              <w:rPr>
                <w:sz w:val="20"/>
                <w:szCs w:val="20"/>
                <w:color w:val="auto"/>
              </w:rPr>
            </w:pPr>
            <w:r>
              <w:rPr>
                <w:rFonts w:ascii="Arial" w:cs="Arial" w:eastAsia="Arial" w:hAnsi="Arial"/>
                <w:sz w:val="16"/>
                <w:szCs w:val="16"/>
                <w:color w:val="auto"/>
              </w:rPr>
              <w:t>Loans held for investment, net:</w:t>
            </w:r>
          </w:p>
        </w:tc>
        <w:tc>
          <w:tcPr>
            <w:tcW w:w="22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1120" w:type="dxa"/>
            <w:vAlign w:val="bottom"/>
            <w:shd w:val="clear" w:color="auto" w:fill="EDEDEE"/>
          </w:tcPr>
          <w:p>
            <w:pPr>
              <w:spacing w:after="0"/>
              <w:rPr>
                <w:sz w:val="18"/>
                <w:szCs w:val="18"/>
                <w:color w:val="auto"/>
              </w:rPr>
            </w:pPr>
          </w:p>
        </w:tc>
        <w:tc>
          <w:tcPr>
            <w:tcW w:w="14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360" w:type="dxa"/>
            <w:vAlign w:val="bottom"/>
            <w:shd w:val="clear" w:color="auto" w:fill="EDEDEE"/>
          </w:tcPr>
          <w:p>
            <w:pPr>
              <w:spacing w:after="0"/>
              <w:rPr>
                <w:sz w:val="18"/>
                <w:szCs w:val="18"/>
                <w:color w:val="auto"/>
              </w:rPr>
            </w:pPr>
          </w:p>
        </w:tc>
        <w:tc>
          <w:tcPr>
            <w:tcW w:w="1120" w:type="dxa"/>
            <w:vAlign w:val="bottom"/>
            <w:shd w:val="clear" w:color="auto" w:fill="EDEDEE"/>
          </w:tcPr>
          <w:p>
            <w:pPr>
              <w:spacing w:after="0"/>
              <w:rPr>
                <w:sz w:val="18"/>
                <w:szCs w:val="18"/>
                <w:color w:val="auto"/>
              </w:rPr>
            </w:pPr>
          </w:p>
        </w:tc>
        <w:tc>
          <w:tcPr>
            <w:tcW w:w="14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tcPr>
          <w:p>
            <w:pPr>
              <w:ind w:left="140"/>
              <w:spacing w:after="0"/>
              <w:rPr>
                <w:sz w:val="20"/>
                <w:szCs w:val="20"/>
                <w:color w:val="auto"/>
              </w:rPr>
            </w:pPr>
            <w:r>
              <w:rPr>
                <w:rFonts w:ascii="Arial" w:cs="Arial" w:eastAsia="Arial" w:hAnsi="Arial"/>
                <w:sz w:val="16"/>
                <w:szCs w:val="16"/>
                <w:color w:val="auto"/>
              </w:rPr>
              <w:t>Private Education Loans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24,368,095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21,091,204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3,276,891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24,110,381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20,902,158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3,208,223</w:t>
            </w:r>
          </w:p>
        </w:tc>
        <w:tc>
          <w:tcPr>
            <w:tcW w:w="0" w:type="dxa"/>
            <w:vAlign w:val="bottom"/>
          </w:tcPr>
          <w:p>
            <w:pPr>
              <w:spacing w:after="0"/>
              <w:rPr>
                <w:sz w:val="1"/>
                <w:szCs w:val="1"/>
                <w:color w:val="auto"/>
              </w:rPr>
            </w:pPr>
          </w:p>
        </w:tc>
      </w:tr>
      <w:tr>
        <w:trPr>
          <w:trHeight w:val="217"/>
        </w:trPr>
        <w:tc>
          <w:tcPr>
            <w:tcW w:w="2760" w:type="dxa"/>
            <w:vAlign w:val="bottom"/>
            <w:shd w:val="clear" w:color="auto" w:fill="EDEDEE"/>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3,695,076</w:t>
            </w:r>
          </w:p>
        </w:tc>
        <w:tc>
          <w:tcPr>
            <w:tcW w:w="28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3,695,076</w:t>
            </w:r>
          </w:p>
        </w:tc>
        <w:tc>
          <w:tcPr>
            <w:tcW w:w="14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4,700,366</w:t>
            </w:r>
          </w:p>
        </w:tc>
        <w:tc>
          <w:tcPr>
            <w:tcW w:w="36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4,700,366</w:t>
            </w:r>
          </w:p>
        </w:tc>
        <w:tc>
          <w:tcPr>
            <w:tcW w:w="14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Trading investments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53,732</w:t>
            </w:r>
          </w:p>
        </w:tc>
        <w:tc>
          <w:tcPr>
            <w:tcW w:w="28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53,732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53,262</w:t>
            </w:r>
          </w:p>
        </w:tc>
        <w:tc>
          <w:tcPr>
            <w:tcW w:w="36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53,262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60" w:type="dxa"/>
            <w:vAlign w:val="bottom"/>
            <w:shd w:val="clear" w:color="auto" w:fill="EDEDEE"/>
          </w:tcPr>
          <w:p>
            <w:pPr>
              <w:ind w:left="20"/>
              <w:spacing w:after="0"/>
              <w:rPr>
                <w:sz w:val="20"/>
                <w:szCs w:val="20"/>
                <w:color w:val="auto"/>
              </w:rPr>
            </w:pPr>
            <w:r>
              <w:rPr>
                <w:rFonts w:ascii="Arial" w:cs="Arial" w:eastAsia="Arial" w:hAnsi="Arial"/>
                <w:sz w:val="16"/>
                <w:szCs w:val="16"/>
                <w:color w:val="auto"/>
              </w:rPr>
              <w:t>Available-for-sale investments</w:t>
            </w:r>
          </w:p>
        </w:tc>
        <w:tc>
          <w:tcPr>
            <w:tcW w:w="22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1,656,977</w:t>
            </w:r>
          </w:p>
        </w:tc>
        <w:tc>
          <w:tcPr>
            <w:tcW w:w="28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1,656,977</w:t>
            </w:r>
          </w:p>
        </w:tc>
        <w:tc>
          <w:tcPr>
            <w:tcW w:w="14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1,933,226</w:t>
            </w:r>
          </w:p>
        </w:tc>
        <w:tc>
          <w:tcPr>
            <w:tcW w:w="36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1,933,226</w:t>
            </w:r>
          </w:p>
        </w:tc>
        <w:tc>
          <w:tcPr>
            <w:tcW w:w="14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Accrued interest receivable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1,675,035</w:t>
            </w:r>
          </w:p>
        </w:tc>
        <w:tc>
          <w:tcPr>
            <w:tcW w:w="28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1,553,979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121,056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1,663,474</w:t>
            </w:r>
          </w:p>
        </w:tc>
        <w:tc>
          <w:tcPr>
            <w:tcW w:w="36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1,546,590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116,884</w:t>
            </w:r>
          </w:p>
        </w:tc>
        <w:tc>
          <w:tcPr>
            <w:tcW w:w="0" w:type="dxa"/>
            <w:vAlign w:val="bottom"/>
          </w:tcPr>
          <w:p>
            <w:pPr>
              <w:spacing w:after="0"/>
              <w:rPr>
                <w:sz w:val="1"/>
                <w:szCs w:val="1"/>
                <w:color w:val="auto"/>
              </w:rPr>
            </w:pPr>
          </w:p>
        </w:tc>
      </w:tr>
      <w:tr>
        <w:trPr>
          <w:trHeight w:val="217"/>
        </w:trPr>
        <w:tc>
          <w:tcPr>
            <w:tcW w:w="2760" w:type="dxa"/>
            <w:vAlign w:val="bottom"/>
            <w:shd w:val="clear" w:color="auto" w:fill="EDEDEE"/>
          </w:tcPr>
          <w:p>
            <w:pPr>
              <w:ind w:left="20"/>
              <w:spacing w:after="0"/>
              <w:rPr>
                <w:sz w:val="20"/>
                <w:szCs w:val="20"/>
                <w:color w:val="auto"/>
              </w:rPr>
            </w:pPr>
            <w:r>
              <w:rPr>
                <w:rFonts w:ascii="Arial" w:cs="Arial" w:eastAsia="Arial" w:hAnsi="Arial"/>
                <w:sz w:val="16"/>
                <w:szCs w:val="16"/>
                <w:color w:val="auto"/>
              </w:rPr>
              <w:t>Derivative instruments</w:t>
            </w:r>
          </w:p>
        </w:tc>
        <w:tc>
          <w:tcPr>
            <w:tcW w:w="22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DEDEE"/>
          </w:tcPr>
          <w:p>
            <w:pPr>
              <w:spacing w:after="0"/>
              <w:rPr>
                <w:sz w:val="18"/>
                <w:szCs w:val="18"/>
                <w:color w:val="auto"/>
              </w:rPr>
            </w:pPr>
          </w:p>
        </w:tc>
        <w:tc>
          <w:tcPr>
            <w:tcW w:w="112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DEDEE"/>
          </w:tcPr>
          <w:p>
            <w:pPr>
              <w:spacing w:after="0"/>
              <w:rPr>
                <w:sz w:val="18"/>
                <w:szCs w:val="18"/>
                <w:color w:val="auto"/>
              </w:rPr>
            </w:pPr>
          </w:p>
        </w:tc>
        <w:tc>
          <w:tcPr>
            <w:tcW w:w="22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DEDEE"/>
          </w:tcPr>
          <w:p>
            <w:pPr>
              <w:spacing w:after="0"/>
              <w:rPr>
                <w:sz w:val="18"/>
                <w:szCs w:val="18"/>
                <w:color w:val="auto"/>
              </w:rPr>
            </w:pPr>
          </w:p>
        </w:tc>
        <w:tc>
          <w:tcPr>
            <w:tcW w:w="112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DEDEE"/>
          </w:tcPr>
          <w:p>
            <w:pPr>
              <w:spacing w:after="0"/>
              <w:rPr>
                <w:sz w:val="18"/>
                <w:szCs w:val="18"/>
                <w:color w:val="auto"/>
              </w:rPr>
            </w:pP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Total earning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31,448,915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28,050,968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3,397,947</w:t>
            </w: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32,460,709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29,135,602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3,325,107</w:t>
            </w:r>
          </w:p>
        </w:tc>
        <w:tc>
          <w:tcPr>
            <w:tcW w:w="0" w:type="dxa"/>
            <w:vAlign w:val="bottom"/>
          </w:tcPr>
          <w:p>
            <w:pPr>
              <w:spacing w:after="0"/>
              <w:rPr>
                <w:sz w:val="1"/>
                <w:szCs w:val="1"/>
                <w:color w:val="auto"/>
              </w:rPr>
            </w:pPr>
          </w:p>
        </w:tc>
      </w:tr>
      <w:tr>
        <w:trPr>
          <w:trHeight w:val="197"/>
        </w:trPr>
        <w:tc>
          <w:tcPr>
            <w:tcW w:w="276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Interest-bearing liabilities:</w:t>
            </w:r>
          </w:p>
        </w:tc>
        <w:tc>
          <w:tcPr>
            <w:tcW w:w="220" w:type="dxa"/>
            <w:vAlign w:val="bottom"/>
            <w:shd w:val="clear" w:color="auto" w:fill="EDEDEE"/>
          </w:tcPr>
          <w:p>
            <w:pPr>
              <w:spacing w:after="0"/>
              <w:rPr>
                <w:sz w:val="17"/>
                <w:szCs w:val="17"/>
                <w:color w:val="auto"/>
              </w:rPr>
            </w:pPr>
          </w:p>
        </w:tc>
        <w:tc>
          <w:tcPr>
            <w:tcW w:w="1000" w:type="dxa"/>
            <w:vAlign w:val="bottom"/>
            <w:shd w:val="clear" w:color="auto" w:fill="EDEDEE"/>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120" w:type="dxa"/>
            <w:vAlign w:val="bottom"/>
            <w:shd w:val="clear" w:color="auto" w:fill="EDEDEE"/>
          </w:tcPr>
          <w:p>
            <w:pPr>
              <w:spacing w:after="0"/>
              <w:rPr>
                <w:sz w:val="17"/>
                <w:szCs w:val="17"/>
                <w:color w:val="auto"/>
              </w:rPr>
            </w:pPr>
          </w:p>
        </w:tc>
        <w:tc>
          <w:tcPr>
            <w:tcW w:w="140" w:type="dxa"/>
            <w:vAlign w:val="bottom"/>
            <w:shd w:val="clear" w:color="auto" w:fill="EDEDEE"/>
          </w:tcPr>
          <w:p>
            <w:pPr>
              <w:spacing w:after="0"/>
              <w:rPr>
                <w:sz w:val="17"/>
                <w:szCs w:val="17"/>
                <w:color w:val="auto"/>
              </w:rPr>
            </w:pPr>
          </w:p>
        </w:tc>
        <w:tc>
          <w:tcPr>
            <w:tcW w:w="1000" w:type="dxa"/>
            <w:vAlign w:val="bottom"/>
            <w:shd w:val="clear" w:color="auto" w:fill="EDEDEE"/>
          </w:tcPr>
          <w:p>
            <w:pPr>
              <w:spacing w:after="0"/>
              <w:rPr>
                <w:sz w:val="17"/>
                <w:szCs w:val="17"/>
                <w:color w:val="auto"/>
              </w:rPr>
            </w:pPr>
          </w:p>
        </w:tc>
        <w:tc>
          <w:tcPr>
            <w:tcW w:w="100" w:type="dxa"/>
            <w:vAlign w:val="bottom"/>
            <w:shd w:val="clear" w:color="auto" w:fill="EDEDEE"/>
          </w:tcPr>
          <w:p>
            <w:pPr>
              <w:spacing w:after="0"/>
              <w:rPr>
                <w:sz w:val="17"/>
                <w:szCs w:val="17"/>
                <w:color w:val="auto"/>
              </w:rPr>
            </w:pPr>
          </w:p>
        </w:tc>
        <w:tc>
          <w:tcPr>
            <w:tcW w:w="220" w:type="dxa"/>
            <w:vAlign w:val="bottom"/>
            <w:shd w:val="clear" w:color="auto" w:fill="EDEDEE"/>
          </w:tcPr>
          <w:p>
            <w:pPr>
              <w:spacing w:after="0"/>
              <w:rPr>
                <w:sz w:val="17"/>
                <w:szCs w:val="17"/>
                <w:color w:val="auto"/>
              </w:rPr>
            </w:pPr>
          </w:p>
        </w:tc>
        <w:tc>
          <w:tcPr>
            <w:tcW w:w="920" w:type="dxa"/>
            <w:vAlign w:val="bottom"/>
            <w:shd w:val="clear" w:color="auto" w:fill="EDEDEE"/>
          </w:tcPr>
          <w:p>
            <w:pPr>
              <w:spacing w:after="0"/>
              <w:rPr>
                <w:sz w:val="17"/>
                <w:szCs w:val="17"/>
                <w:color w:val="auto"/>
              </w:rPr>
            </w:pPr>
          </w:p>
        </w:tc>
        <w:tc>
          <w:tcPr>
            <w:tcW w:w="360" w:type="dxa"/>
            <w:vAlign w:val="bottom"/>
            <w:shd w:val="clear" w:color="auto" w:fill="EDEDEE"/>
          </w:tcPr>
          <w:p>
            <w:pPr>
              <w:spacing w:after="0"/>
              <w:rPr>
                <w:sz w:val="17"/>
                <w:szCs w:val="17"/>
                <w:color w:val="auto"/>
              </w:rPr>
            </w:pPr>
          </w:p>
        </w:tc>
        <w:tc>
          <w:tcPr>
            <w:tcW w:w="1120" w:type="dxa"/>
            <w:vAlign w:val="bottom"/>
            <w:shd w:val="clear" w:color="auto" w:fill="EDEDEE"/>
          </w:tcPr>
          <w:p>
            <w:pPr>
              <w:spacing w:after="0"/>
              <w:rPr>
                <w:sz w:val="17"/>
                <w:szCs w:val="17"/>
                <w:color w:val="auto"/>
              </w:rPr>
            </w:pPr>
          </w:p>
        </w:tc>
        <w:tc>
          <w:tcPr>
            <w:tcW w:w="140" w:type="dxa"/>
            <w:vAlign w:val="bottom"/>
            <w:shd w:val="clear" w:color="auto" w:fill="EDEDEE"/>
          </w:tcPr>
          <w:p>
            <w:pPr>
              <w:spacing w:after="0"/>
              <w:rPr>
                <w:sz w:val="17"/>
                <w:szCs w:val="17"/>
                <w:color w:val="auto"/>
              </w:rPr>
            </w:pPr>
          </w:p>
        </w:tc>
        <w:tc>
          <w:tcPr>
            <w:tcW w:w="1000" w:type="dxa"/>
            <w:vAlign w:val="bottom"/>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line="162" w:lineRule="exact"/>
              <w:rPr>
                <w:sz w:val="20"/>
                <w:szCs w:val="20"/>
                <w:color w:val="auto"/>
              </w:rPr>
            </w:pPr>
            <w:r>
              <w:rPr>
                <w:rFonts w:ascii="Arial" w:cs="Arial" w:eastAsia="Arial" w:hAnsi="Arial"/>
                <w:sz w:val="16"/>
                <w:szCs w:val="16"/>
                <w:color w:val="auto"/>
              </w:rPr>
              <w:t>Money-market and savings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10,396,823</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color w:val="auto"/>
              </w:rPr>
              <w:t>10,417,024</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20,201</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10,503,731</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color w:val="auto"/>
              </w:rPr>
              <w:t>10,526,324</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22,593</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accounts</w:t>
            </w:r>
          </w:p>
        </w:tc>
        <w:tc>
          <w:tcPr>
            <w:tcW w:w="2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EDEDEE"/>
          </w:tcPr>
          <w:p>
            <w:pPr>
              <w:ind w:left="20"/>
              <w:spacing w:after="0"/>
              <w:rPr>
                <w:sz w:val="20"/>
                <w:szCs w:val="20"/>
                <w:color w:val="auto"/>
              </w:rPr>
            </w:pPr>
            <w:r>
              <w:rPr>
                <w:rFonts w:ascii="Arial" w:cs="Arial" w:eastAsia="Arial" w:hAnsi="Arial"/>
                <w:sz w:val="16"/>
                <w:szCs w:val="16"/>
                <w:color w:val="auto"/>
              </w:rPr>
              <w:t>Certificates of deposit</w:t>
            </w:r>
          </w:p>
        </w:tc>
        <w:tc>
          <w:tcPr>
            <w:tcW w:w="22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9,682,121</w:t>
            </w:r>
          </w:p>
        </w:tc>
        <w:tc>
          <w:tcPr>
            <w:tcW w:w="28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9,653,528</w:t>
            </w:r>
          </w:p>
        </w:tc>
        <w:tc>
          <w:tcPr>
            <w:tcW w:w="14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(28,593)</w:t>
            </w:r>
          </w:p>
        </w:tc>
        <w:tc>
          <w:tcPr>
            <w:tcW w:w="10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10,593,666</w:t>
            </w:r>
          </w:p>
        </w:tc>
        <w:tc>
          <w:tcPr>
            <w:tcW w:w="36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10,540,428</w:t>
            </w:r>
          </w:p>
        </w:tc>
        <w:tc>
          <w:tcPr>
            <w:tcW w:w="14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(53,238)</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Long-term borrowings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6,078,223</w:t>
            </w:r>
          </w:p>
        </w:tc>
        <w:tc>
          <w:tcPr>
            <w:tcW w:w="28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6,147,473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6,323,384</w:t>
            </w:r>
          </w:p>
        </w:tc>
        <w:tc>
          <w:tcPr>
            <w:tcW w:w="36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6,440,345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116,961</w:t>
            </w:r>
          </w:p>
        </w:tc>
        <w:tc>
          <w:tcPr>
            <w:tcW w:w="0" w:type="dxa"/>
            <w:vAlign w:val="bottom"/>
          </w:tcPr>
          <w:p>
            <w:pPr>
              <w:spacing w:after="0"/>
              <w:rPr>
                <w:sz w:val="1"/>
                <w:szCs w:val="1"/>
                <w:color w:val="auto"/>
              </w:rPr>
            </w:pPr>
          </w:p>
        </w:tc>
      </w:tr>
      <w:tr>
        <w:trPr>
          <w:trHeight w:val="217"/>
        </w:trPr>
        <w:tc>
          <w:tcPr>
            <w:tcW w:w="2760" w:type="dxa"/>
            <w:vAlign w:val="bottom"/>
            <w:shd w:val="clear" w:color="auto" w:fill="EDEDEE"/>
          </w:tcPr>
          <w:p>
            <w:pPr>
              <w:ind w:left="20"/>
              <w:spacing w:after="0"/>
              <w:rPr>
                <w:sz w:val="20"/>
                <w:szCs w:val="20"/>
                <w:color w:val="auto"/>
              </w:rPr>
            </w:pPr>
            <w:r>
              <w:rPr>
                <w:rFonts w:ascii="Arial" w:cs="Arial" w:eastAsia="Arial" w:hAnsi="Arial"/>
                <w:sz w:val="16"/>
                <w:szCs w:val="16"/>
                <w:color w:val="auto"/>
              </w:rPr>
              <w:t>Accrued interest payable</w:t>
            </w:r>
          </w:p>
        </w:tc>
        <w:tc>
          <w:tcPr>
            <w:tcW w:w="22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81,504</w:t>
            </w:r>
          </w:p>
        </w:tc>
        <w:tc>
          <w:tcPr>
            <w:tcW w:w="28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81,504</w:t>
            </w:r>
          </w:p>
        </w:tc>
        <w:tc>
          <w:tcPr>
            <w:tcW w:w="14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108,488</w:t>
            </w:r>
          </w:p>
        </w:tc>
        <w:tc>
          <w:tcPr>
            <w:tcW w:w="36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108,488</w:t>
            </w:r>
          </w:p>
        </w:tc>
        <w:tc>
          <w:tcPr>
            <w:tcW w:w="140" w:type="dxa"/>
            <w:vAlign w:val="bottom"/>
            <w:shd w:val="clear" w:color="auto" w:fill="EDEDEE"/>
          </w:tcPr>
          <w:p>
            <w:pPr>
              <w:spacing w:after="0"/>
              <w:rPr>
                <w:sz w:val="18"/>
                <w:szCs w:val="18"/>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6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Derivative instruments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760" w:type="dxa"/>
            <w:vAlign w:val="bottom"/>
            <w:shd w:val="clear" w:color="auto" w:fill="EDEDEE"/>
          </w:tcPr>
          <w:p>
            <w:pPr>
              <w:ind w:left="20"/>
              <w:spacing w:after="0"/>
              <w:rPr>
                <w:sz w:val="20"/>
                <w:szCs w:val="20"/>
                <w:color w:val="auto"/>
              </w:rPr>
            </w:pPr>
            <w:r>
              <w:rPr>
                <w:rFonts w:ascii="Arial" w:cs="Arial" w:eastAsia="Arial" w:hAnsi="Arial"/>
                <w:sz w:val="16"/>
                <w:szCs w:val="16"/>
                <w:color w:val="auto"/>
              </w:rPr>
              <w:t>Total interest-bearing liabilities</w:t>
            </w:r>
          </w:p>
        </w:tc>
        <w:tc>
          <w:tcPr>
            <w:tcW w:w="220" w:type="dxa"/>
            <w:vAlign w:val="bottom"/>
            <w:tcBorders>
              <w:bottom w:val="single" w:sz="8" w:color="auto"/>
            </w:tcBorders>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26,238,694</w:t>
            </w:r>
          </w:p>
        </w:tc>
        <w:tc>
          <w:tcPr>
            <w:tcW w:w="2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rPr>
              <w:t>26,299,552</w:t>
            </w:r>
          </w:p>
        </w:tc>
        <w:tc>
          <w:tcPr>
            <w:tcW w:w="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60,858</w:t>
            </w:r>
          </w:p>
        </w:tc>
        <w:tc>
          <w:tcPr>
            <w:tcW w:w="320" w:type="dxa"/>
            <w:vAlign w:val="bottom"/>
            <w:tcBorders>
              <w:bottom w:val="single" w:sz="8" w:color="auto"/>
            </w:tcBorders>
            <w:gridSpan w:val="2"/>
            <w:shd w:val="clear" w:color="auto" w:fill="EDEDEE"/>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27,529,309</w:t>
            </w:r>
          </w:p>
        </w:tc>
        <w:tc>
          <w:tcPr>
            <w:tcW w:w="3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rPr>
              <w:t>27,615,625</w:t>
            </w:r>
          </w:p>
        </w:tc>
        <w:tc>
          <w:tcPr>
            <w:tcW w:w="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86,316</w:t>
            </w:r>
          </w:p>
        </w:tc>
        <w:tc>
          <w:tcPr>
            <w:tcW w:w="0" w:type="dxa"/>
            <w:vAlign w:val="bottom"/>
          </w:tcPr>
          <w:p>
            <w:pPr>
              <w:spacing w:after="0"/>
              <w:rPr>
                <w:sz w:val="1"/>
                <w:szCs w:val="1"/>
                <w:color w:val="auto"/>
              </w:rPr>
            </w:pPr>
          </w:p>
        </w:tc>
      </w:tr>
      <w:tr>
        <w:trPr>
          <w:trHeight w:val="251"/>
        </w:trPr>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EDEDEE"/>
          </w:tcPr>
          <w:p>
            <w:pPr>
              <w:ind w:left="20"/>
              <w:spacing w:after="0" w:line="162" w:lineRule="exact"/>
              <w:rPr>
                <w:sz w:val="20"/>
                <w:szCs w:val="20"/>
                <w:color w:val="auto"/>
              </w:rPr>
            </w:pPr>
            <w:r>
              <w:rPr>
                <w:rFonts w:ascii="Arial" w:cs="Arial" w:eastAsia="Arial" w:hAnsi="Arial"/>
                <w:sz w:val="16"/>
                <w:szCs w:val="16"/>
                <w:b w:val="1"/>
                <w:bCs w:val="1"/>
                <w:color w:val="144F82"/>
              </w:rPr>
              <w:t>Excess of net asset fair value</w:t>
            </w:r>
          </w:p>
        </w:tc>
        <w:tc>
          <w:tcPr>
            <w:tcW w:w="220" w:type="dxa"/>
            <w:vAlign w:val="bottom"/>
            <w:shd w:val="clear" w:color="auto" w:fill="EDEDEE"/>
          </w:tcPr>
          <w:p>
            <w:pPr>
              <w:spacing w:after="0"/>
              <w:rPr>
                <w:sz w:val="14"/>
                <w:szCs w:val="14"/>
                <w:color w:val="auto"/>
              </w:rPr>
            </w:pPr>
          </w:p>
        </w:tc>
        <w:tc>
          <w:tcPr>
            <w:tcW w:w="1000" w:type="dxa"/>
            <w:vAlign w:val="bottom"/>
            <w:shd w:val="clear" w:color="auto" w:fill="EDEDEE"/>
          </w:tcPr>
          <w:p>
            <w:pPr>
              <w:spacing w:after="0"/>
              <w:rPr>
                <w:sz w:val="14"/>
                <w:szCs w:val="14"/>
                <w:color w:val="auto"/>
              </w:rPr>
            </w:pPr>
          </w:p>
        </w:tc>
        <w:tc>
          <w:tcPr>
            <w:tcW w:w="280" w:type="dxa"/>
            <w:vAlign w:val="bottom"/>
            <w:shd w:val="clear" w:color="auto" w:fill="EDEDEE"/>
          </w:tcPr>
          <w:p>
            <w:pPr>
              <w:spacing w:after="0"/>
              <w:rPr>
                <w:sz w:val="14"/>
                <w:szCs w:val="14"/>
                <w:color w:val="auto"/>
              </w:rPr>
            </w:pPr>
          </w:p>
        </w:tc>
        <w:tc>
          <w:tcPr>
            <w:tcW w:w="1120" w:type="dxa"/>
            <w:vAlign w:val="bottom"/>
            <w:shd w:val="clear" w:color="auto" w:fill="EDEDEE"/>
          </w:tcPr>
          <w:p>
            <w:pPr>
              <w:spacing w:after="0"/>
              <w:rPr>
                <w:sz w:val="14"/>
                <w:szCs w:val="14"/>
                <w:color w:val="auto"/>
              </w:rPr>
            </w:pPr>
          </w:p>
        </w:tc>
        <w:tc>
          <w:tcPr>
            <w:tcW w:w="1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3,458,805</w:t>
            </w:r>
          </w:p>
        </w:tc>
        <w:tc>
          <w:tcPr>
            <w:tcW w:w="10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920" w:type="dxa"/>
            <w:vAlign w:val="bottom"/>
            <w:shd w:val="clear" w:color="auto" w:fill="EDEDEE"/>
          </w:tcPr>
          <w:p>
            <w:pPr>
              <w:spacing w:after="0"/>
              <w:rPr>
                <w:sz w:val="14"/>
                <w:szCs w:val="14"/>
                <w:color w:val="auto"/>
              </w:rPr>
            </w:pPr>
          </w:p>
        </w:tc>
        <w:tc>
          <w:tcPr>
            <w:tcW w:w="360" w:type="dxa"/>
            <w:vAlign w:val="bottom"/>
            <w:shd w:val="clear" w:color="auto" w:fill="EDEDEE"/>
          </w:tcPr>
          <w:p>
            <w:pPr>
              <w:spacing w:after="0"/>
              <w:rPr>
                <w:sz w:val="14"/>
                <w:szCs w:val="14"/>
                <w:color w:val="auto"/>
              </w:rPr>
            </w:pPr>
          </w:p>
        </w:tc>
        <w:tc>
          <w:tcPr>
            <w:tcW w:w="1120" w:type="dxa"/>
            <w:vAlign w:val="bottom"/>
            <w:shd w:val="clear" w:color="auto" w:fill="EDEDEE"/>
          </w:tcPr>
          <w:p>
            <w:pPr>
              <w:spacing w:after="0"/>
              <w:rPr>
                <w:sz w:val="14"/>
                <w:szCs w:val="14"/>
                <w:color w:val="auto"/>
              </w:rPr>
            </w:pPr>
          </w:p>
        </w:tc>
        <w:tc>
          <w:tcPr>
            <w:tcW w:w="1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3,411,423</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over carrying value</w:t>
            </w:r>
          </w:p>
        </w:tc>
        <w:tc>
          <w:tcPr>
            <w:tcW w:w="220" w:type="dxa"/>
            <w:vAlign w:val="bottom"/>
            <w:tcBorders>
              <w:bottom w:val="single" w:sz="8" w:color="EDEDEE"/>
            </w:tcBorders>
            <w:shd w:val="clear" w:color="auto" w:fill="EDEDEE"/>
          </w:tcPr>
          <w:p>
            <w:pPr>
              <w:spacing w:after="0"/>
              <w:rPr>
                <w:sz w:val="18"/>
                <w:szCs w:val="18"/>
                <w:color w:val="auto"/>
              </w:rPr>
            </w:pPr>
          </w:p>
        </w:tc>
        <w:tc>
          <w:tcPr>
            <w:tcW w:w="1000" w:type="dxa"/>
            <w:vAlign w:val="bottom"/>
            <w:tcBorders>
              <w:bottom w:val="single" w:sz="8" w:color="EDEDEE"/>
            </w:tcBorders>
            <w:shd w:val="clear" w:color="auto" w:fill="EDEDEE"/>
          </w:tcPr>
          <w:p>
            <w:pPr>
              <w:spacing w:after="0"/>
              <w:rPr>
                <w:sz w:val="18"/>
                <w:szCs w:val="18"/>
                <w:color w:val="auto"/>
              </w:rPr>
            </w:pPr>
          </w:p>
        </w:tc>
        <w:tc>
          <w:tcPr>
            <w:tcW w:w="280" w:type="dxa"/>
            <w:vAlign w:val="bottom"/>
            <w:tcBorders>
              <w:bottom w:val="single" w:sz="8" w:color="EDEDEE"/>
            </w:tcBorders>
            <w:shd w:val="clear" w:color="auto" w:fill="EDEDEE"/>
          </w:tcPr>
          <w:p>
            <w:pPr>
              <w:spacing w:after="0"/>
              <w:rPr>
                <w:sz w:val="18"/>
                <w:szCs w:val="18"/>
                <w:color w:val="auto"/>
              </w:rPr>
            </w:pPr>
          </w:p>
        </w:tc>
        <w:tc>
          <w:tcPr>
            <w:tcW w:w="1120" w:type="dxa"/>
            <w:vAlign w:val="bottom"/>
            <w:tcBorders>
              <w:bottom w:val="single" w:sz="8" w:color="EDEDEE"/>
            </w:tcBorders>
            <w:shd w:val="clear" w:color="auto" w:fill="EDEDEE"/>
          </w:tcPr>
          <w:p>
            <w:pPr>
              <w:spacing w:after="0"/>
              <w:rPr>
                <w:sz w:val="18"/>
                <w:szCs w:val="18"/>
                <w:color w:val="auto"/>
              </w:rPr>
            </w:pPr>
          </w:p>
        </w:tc>
        <w:tc>
          <w:tcPr>
            <w:tcW w:w="140" w:type="dxa"/>
            <w:vAlign w:val="bottom"/>
            <w:tcBorders>
              <w:bottom w:val="single" w:sz="8" w:color="auto"/>
            </w:tcBorders>
            <w:vMerge w:val="continue"/>
            <w:shd w:val="clear" w:color="auto" w:fill="EDEDEE"/>
          </w:tcPr>
          <w:p>
            <w:pPr>
              <w:spacing w:after="0"/>
              <w:rPr>
                <w:sz w:val="18"/>
                <w:szCs w:val="18"/>
                <w:color w:val="auto"/>
              </w:rPr>
            </w:pPr>
          </w:p>
        </w:tc>
        <w:tc>
          <w:tcPr>
            <w:tcW w:w="1000" w:type="dxa"/>
            <w:vAlign w:val="bottom"/>
            <w:tcBorders>
              <w:bottom w:val="single" w:sz="8" w:color="auto"/>
            </w:tcBorders>
            <w:vMerge w:val="continue"/>
            <w:shd w:val="clear" w:color="auto" w:fill="EDEDEE"/>
          </w:tcPr>
          <w:p>
            <w:pPr>
              <w:spacing w:after="0"/>
              <w:rPr>
                <w:sz w:val="18"/>
                <w:szCs w:val="18"/>
                <w:color w:val="auto"/>
              </w:rPr>
            </w:pPr>
          </w:p>
        </w:tc>
        <w:tc>
          <w:tcPr>
            <w:tcW w:w="100" w:type="dxa"/>
            <w:vAlign w:val="bottom"/>
            <w:tcBorders>
              <w:bottom w:val="single" w:sz="8" w:color="EDEDEE"/>
            </w:tcBorders>
            <w:shd w:val="clear" w:color="auto" w:fill="EDEDEE"/>
          </w:tcPr>
          <w:p>
            <w:pPr>
              <w:spacing w:after="0"/>
              <w:rPr>
                <w:sz w:val="18"/>
                <w:szCs w:val="18"/>
                <w:color w:val="auto"/>
              </w:rPr>
            </w:pPr>
          </w:p>
        </w:tc>
        <w:tc>
          <w:tcPr>
            <w:tcW w:w="220" w:type="dxa"/>
            <w:vAlign w:val="bottom"/>
            <w:tcBorders>
              <w:bottom w:val="single" w:sz="8" w:color="EDEDEE"/>
            </w:tcBorders>
            <w:shd w:val="clear" w:color="auto" w:fill="EDEDEE"/>
          </w:tcPr>
          <w:p>
            <w:pPr>
              <w:spacing w:after="0"/>
              <w:rPr>
                <w:sz w:val="18"/>
                <w:szCs w:val="18"/>
                <w:color w:val="auto"/>
              </w:rPr>
            </w:pPr>
          </w:p>
        </w:tc>
        <w:tc>
          <w:tcPr>
            <w:tcW w:w="920" w:type="dxa"/>
            <w:vAlign w:val="bottom"/>
            <w:tcBorders>
              <w:bottom w:val="single" w:sz="8" w:color="EDEDEE"/>
            </w:tcBorders>
            <w:shd w:val="clear" w:color="auto" w:fill="EDEDEE"/>
          </w:tcPr>
          <w:p>
            <w:pPr>
              <w:spacing w:after="0"/>
              <w:rPr>
                <w:sz w:val="18"/>
                <w:szCs w:val="18"/>
                <w:color w:val="auto"/>
              </w:rPr>
            </w:pPr>
          </w:p>
        </w:tc>
        <w:tc>
          <w:tcPr>
            <w:tcW w:w="360" w:type="dxa"/>
            <w:vAlign w:val="bottom"/>
            <w:tcBorders>
              <w:bottom w:val="single" w:sz="8" w:color="EDEDEE"/>
            </w:tcBorders>
            <w:shd w:val="clear" w:color="auto" w:fill="EDEDEE"/>
          </w:tcPr>
          <w:p>
            <w:pPr>
              <w:spacing w:after="0"/>
              <w:rPr>
                <w:sz w:val="18"/>
                <w:szCs w:val="18"/>
                <w:color w:val="auto"/>
              </w:rPr>
            </w:pPr>
          </w:p>
        </w:tc>
        <w:tc>
          <w:tcPr>
            <w:tcW w:w="1120" w:type="dxa"/>
            <w:vAlign w:val="bottom"/>
            <w:tcBorders>
              <w:bottom w:val="single" w:sz="8" w:color="EDEDEE"/>
            </w:tcBorders>
            <w:shd w:val="clear" w:color="auto" w:fill="EDEDEE"/>
          </w:tcPr>
          <w:p>
            <w:pPr>
              <w:spacing w:after="0"/>
              <w:rPr>
                <w:sz w:val="18"/>
                <w:szCs w:val="18"/>
                <w:color w:val="auto"/>
              </w:rPr>
            </w:pPr>
          </w:p>
        </w:tc>
        <w:tc>
          <w:tcPr>
            <w:tcW w:w="140" w:type="dxa"/>
            <w:vAlign w:val="bottom"/>
            <w:tcBorders>
              <w:bottom w:val="single" w:sz="8" w:color="auto"/>
            </w:tcBorders>
            <w:vMerge w:val="continue"/>
            <w:shd w:val="clear" w:color="auto" w:fill="EDEDEE"/>
          </w:tcPr>
          <w:p>
            <w:pPr>
              <w:spacing w:after="0"/>
              <w:rPr>
                <w:sz w:val="18"/>
                <w:szCs w:val="18"/>
                <w:color w:val="auto"/>
              </w:rPr>
            </w:pPr>
          </w:p>
        </w:tc>
        <w:tc>
          <w:tcPr>
            <w:tcW w:w="1000" w:type="dxa"/>
            <w:vAlign w:val="bottom"/>
            <w:tcBorders>
              <w:bottom w:val="single" w:sz="8" w:color="auto"/>
            </w:tcBorders>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EDEDEE"/>
            </w:tcBorders>
          </w:tcPr>
          <w:p>
            <w:pPr>
              <w:spacing w:after="0" w:line="20" w:lineRule="exact"/>
              <w:rPr>
                <w:sz w:val="1"/>
                <w:szCs w:val="1"/>
                <w:color w:val="auto"/>
              </w:rPr>
            </w:pPr>
          </w:p>
        </w:tc>
        <w:tc>
          <w:tcPr>
            <w:tcW w:w="220" w:type="dxa"/>
            <w:vAlign w:val="bottom"/>
            <w:tcBorders>
              <w:top w:val="single" w:sz="8" w:color="EDEDEE"/>
            </w:tcBorders>
          </w:tcPr>
          <w:p>
            <w:pPr>
              <w:spacing w:after="0" w:line="20" w:lineRule="exact"/>
              <w:rPr>
                <w:sz w:val="1"/>
                <w:szCs w:val="1"/>
                <w:color w:val="auto"/>
              </w:rPr>
            </w:pPr>
          </w:p>
        </w:tc>
        <w:tc>
          <w:tcPr>
            <w:tcW w:w="100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tcBorders>
          </w:tcPr>
          <w:p>
            <w:pPr>
              <w:spacing w:after="0" w:line="20" w:lineRule="exact"/>
              <w:rPr>
                <w:sz w:val="1"/>
                <w:szCs w:val="1"/>
                <w:color w:val="auto"/>
              </w:rPr>
            </w:pPr>
          </w:p>
        </w:tc>
        <w:tc>
          <w:tcPr>
            <w:tcW w:w="1120" w:type="dxa"/>
            <w:vAlign w:val="bottom"/>
            <w:tcBorders>
              <w:top w:val="single" w:sz="8" w:color="EDEDEE"/>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22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EDEDEE"/>
            </w:tcBorders>
          </w:tcPr>
          <w:p>
            <w:pPr>
              <w:spacing w:after="0" w:line="20" w:lineRule="exact"/>
              <w:rPr>
                <w:sz w:val="1"/>
                <w:szCs w:val="1"/>
                <w:color w:val="auto"/>
              </w:rPr>
            </w:pPr>
          </w:p>
        </w:tc>
        <w:tc>
          <w:tcPr>
            <w:tcW w:w="360" w:type="dxa"/>
            <w:vAlign w:val="bottom"/>
            <w:tcBorders>
              <w:top w:val="single" w:sz="8" w:color="EDEDEE"/>
            </w:tcBorders>
          </w:tcPr>
          <w:p>
            <w:pPr>
              <w:spacing w:after="0" w:line="20" w:lineRule="exact"/>
              <w:rPr>
                <w:sz w:val="1"/>
                <w:szCs w:val="1"/>
                <w:color w:val="auto"/>
              </w:rPr>
            </w:pPr>
          </w:p>
        </w:tc>
        <w:tc>
          <w:tcPr>
            <w:tcW w:w="1120" w:type="dxa"/>
            <w:vAlign w:val="bottom"/>
            <w:tcBorders>
              <w:top w:val="single" w:sz="8" w:color="EDEDEE"/>
            </w:tcBorders>
          </w:tcPr>
          <w:p>
            <w:pPr>
              <w:spacing w:after="0" w:line="20" w:lineRule="exact"/>
              <w:rPr>
                <w:sz w:val="1"/>
                <w:szCs w:val="1"/>
                <w:color w:val="auto"/>
              </w:rPr>
            </w:pPr>
          </w:p>
        </w:tc>
        <w:tc>
          <w:tcPr>
            <w:tcW w:w="14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Please refer to Note 15, “Fair Value Measurements” in our 2024 Form 10-K for a full discussion of the methods and assumptions used to estimate the fair value of each class of financial instruments.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12. Regulatory Capital</w:t>
      </w:r>
    </w:p>
    <w:p>
      <w:pPr>
        <w:spacing w:after="0" w:line="17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Sallie Mae Bank (the “Bank”) is subject to various regulatory capital requirements administered by the FDIC and the Utah Department of Financial Institutions. Failure to meet minimum capital requirements can initiate certain mandatory and possibly additional discretionary actions by regulators that, if undertaken, could have a direct material adverse effect on our business, results of operations, and financial position. Under the FDIC’s regulations implementing the Basel III capital framework (“U.S. Basel III”) and the regulatory framework for prompt corrective action, the Bank must meet specific capital standards that involve quantitative measures of its assets, liabilities, and certain off-balance sheet items as calculated under regulatory accounting practices. The Bank’s capital amounts and its classification under the prompt corrective action framework are also subject to qualitative judgments by the regulators about components of capital, risk weightings, and other factors.</w:t>
      </w:r>
    </w:p>
    <w:p>
      <w:pPr>
        <w:spacing w:after="0" w:line="7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Bank is subject to the following minimum capital ratios under U.S. Basel III: a Common Equity Tier 1 risk-based capital ratio of 4.5 percent, a Tier 1 risk-based capital ratio of 6.0 percent, a Total risk-based capital ratio of 8.0 percent, and a Tier 1 leverage ratio of 4.0 percent. In addition, the Bank is subject to a Common Equity Tier 1 capital conservation buffer of greater than 2.5 percent. Failure to maintain the buffer will result in restrictions on the Bank’s ability to make capital distributions, including the payment of dividends, and to pay discretionary bonuses to executive officers. Including the buffer, the Bank is required to maintain the following capital ratios under U.S. Basel</w:t>
      </w:r>
    </w:p>
    <w:p>
      <w:pPr>
        <w:spacing w:after="0" w:line="3" w:lineRule="exact"/>
        <w:rPr>
          <w:sz w:val="20"/>
          <w:szCs w:val="20"/>
          <w:color w:val="auto"/>
        </w:rPr>
      </w:pPr>
    </w:p>
    <w:p>
      <w:pPr>
        <w:ind w:right="160" w:firstLine="8"/>
        <w:spacing w:after="0" w:line="266" w:lineRule="auto"/>
        <w:tabs>
          <w:tab w:leader="none" w:pos="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order to avoid such restrictions: a Common Equity Tier 1 risk-based capital ratio of greater than 7.0 percent, a Tier 1 risk-based capital ratio of greater than 8.5 percent, and a Total risk-based capital ratio of greater than 10.5 percent.</w:t>
      </w:r>
    </w:p>
    <w:p>
      <w:pPr>
        <w:spacing w:after="0" w:line="63"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To qualify as “well capitalized” under the prompt corrective action framework for insured depository institutions, the Bank must maintain a Common Equity Tier 1 risk-based capital ratio of at least 6.5 percent, a Tier 1 risk-based capital ratio of at least 8.0 percent, a Total risk-based capital ratio of at least 10.0 percent, and a Tier 1 leverage ratio of at least 5.0 percent.</w:t>
      </w:r>
    </w:p>
    <w:p>
      <w:pPr>
        <w:spacing w:after="0" w:line="36"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In July 2023, the federal banking agencies proposed a rule to implement significant changes to the U.S. Basel Ill regulatory capital requirements. The proposed changes to the regulatory capital requirements generally would amend or introduce approaches and methodologies that would apply to banking organizations with total consolidated assets of $100 billion or more or to banking organizations with significant trading activity. The proposed rule therefore would not affect the Bank's capital requirements or the calculation of its capital ratios.</w:t>
      </w:r>
    </w:p>
    <w:p>
      <w:pPr>
        <w:spacing w:after="0" w:line="11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Under regulations issued by the FDIC and other federal banking agencies, banking organizations that adopted CECL during the 2020 calendar year, including the Bank, could elect to delay for two years, and then phase in over the following three years, the effects on regulatory capital of CECL relative to the incurred loss methodology. The Bank elected to use this option. Therefore, the regulatory capital impact of the Bank’s transition adjustments recorded on January 1, 2020 from the adoption of CECL, and 25 percent of the ongoing impact of CECL on the Bank’s allowance for credit losses, retained earnings, and average total consolidated assets, each as reported for regulatory capital purposes (collectively, the “adjusted transition amounts”), were deferred for the two-year period ending January 1, 2022. On each of January 1, 2022, 2023, 2024, and 2025, 25 percent of the adjusted transition amounts were phased in for regulatory capital purposes. As of January 1, 2025, all adjusted transition amounts have been phased in for regulatory capital purposes. The Bank’s January 1, 2020 CECL transition amounts increased our allowance for credit losses by $1.1 billion, increased the liability representing our off-balance sheet exposure for unfunded commitments by $116 million, and increased our deferred tax asset by $306 million, resulting in a cumulative effect adjustment that reduced retained earnings by $953 million. This transition adjustment was inclusive of qualitative adjustments incorporated into our CECL allowance as necessary, to address any limitations in the models used.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“Regulatory Capital” in our 2024 Form 10-K for additional information regarding the adjusted transition amounts.</w:t>
      </w:r>
    </w:p>
    <w:p>
      <w:pPr>
        <w:spacing w:after="0" w:line="117"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The Bank’s required and actual regulatory capital amounts and ratios, including applicable capital conservation buffers, under U.S. Basel III are shown in the following table. The following capital amounts and ratios are based upon the Bank’s average assets and risk-weighted assets, as indicated. The Bank has elected to exclude accumulated other comprehensive income related to both available-for-sale investments and swap valuations from Common Equity Tier 1 Capital. At March 31, 2025 and December 31, 2024, the unrealized loss on available-for-sale investments included in other comprehensive income totaled $68 million and $83 million, net of tax of $22 million and $27 million, respectively. The capital ratios would remain above the well capitalized thresholds, including applicable capital conservation buffers, if the unrealized loss became fully recognized into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44F82"/>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left="20"/>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Regulatory Capital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266065</wp:posOffset>
            </wp:positionV>
            <wp:extent cx="64465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144F82"/>
              </w:rPr>
              <w:t>Actual</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3"/>
          </w:tcPr>
          <w:p>
            <w:pPr>
              <w:ind w:left="360"/>
              <w:spacing w:after="0"/>
              <w:rPr>
                <w:sz w:val="20"/>
                <w:szCs w:val="20"/>
                <w:color w:val="auto"/>
              </w:rPr>
            </w:pPr>
            <w:r>
              <w:rPr>
                <w:rFonts w:ascii="Arial" w:cs="Arial" w:eastAsia="Arial" w:hAnsi="Arial"/>
                <w:sz w:val="16"/>
                <w:szCs w:val="16"/>
                <w:b w:val="1"/>
                <w:bCs w:val="1"/>
                <w:color w:val="144F82"/>
              </w:rPr>
              <w:t>U.S. Basel III Minimum</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ind w:left="100"/>
              <w:spacing w:after="0" w:line="216" w:lineRule="exact"/>
              <w:rPr>
                <w:sz w:val="20"/>
                <w:szCs w:val="20"/>
                <w:color w:val="auto"/>
              </w:rPr>
            </w:pPr>
            <w:r>
              <w:rPr>
                <w:rFonts w:ascii="Arial" w:cs="Arial" w:eastAsia="Arial" w:hAnsi="Arial"/>
                <w:sz w:val="16"/>
                <w:szCs w:val="16"/>
                <w:b w:val="1"/>
                <w:bCs w:val="1"/>
                <w:color w:val="144F82"/>
              </w:rPr>
              <w:t>Requirements Plus Buffer</w:t>
            </w:r>
            <w:r>
              <w:rPr>
                <w:rFonts w:ascii="Arial" w:cs="Arial" w:eastAsia="Arial" w:hAnsi="Arial"/>
                <w:sz w:val="21"/>
                <w:szCs w:val="21"/>
                <w:b w:val="1"/>
                <w:bCs w:val="1"/>
                <w:color w:val="144F82"/>
                <w:vertAlign w:val="superscript"/>
              </w:rPr>
              <w:t>(1)(2)</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44F82"/>
              </w:rPr>
              <w:t>(Dollars in thousands)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144F82"/>
              </w:rPr>
              <w:t>Amount</w:t>
            </w: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144F82"/>
              </w:rPr>
              <w:t>Ratio</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144F82"/>
              </w:rPr>
              <w:t>Amount</w:t>
            </w: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144F82"/>
              </w:rPr>
              <w:t>Ratio</w:t>
            </w:r>
          </w:p>
        </w:tc>
        <w:tc>
          <w:tcPr>
            <w:tcW w:w="0" w:type="dxa"/>
            <w:vAlign w:val="bottom"/>
          </w:tcPr>
          <w:p>
            <w:pPr>
              <w:spacing w:after="0"/>
              <w:rPr>
                <w:sz w:val="1"/>
                <w:szCs w:val="1"/>
                <w:color w:val="auto"/>
              </w:rPr>
            </w:pPr>
          </w:p>
        </w:tc>
      </w:tr>
      <w:tr>
        <w:trPr>
          <w:trHeight w:val="209"/>
        </w:trPr>
        <w:tc>
          <w:tcPr>
            <w:tcW w:w="4680" w:type="dxa"/>
            <w:vAlign w:val="bottom"/>
          </w:tcPr>
          <w:p>
            <w:pPr>
              <w:spacing w:after="0" w:line="210" w:lineRule="exact"/>
              <w:rPr>
                <w:sz w:val="20"/>
                <w:szCs w:val="20"/>
                <w:color w:val="auto"/>
              </w:rPr>
            </w:pPr>
            <w:r>
              <w:rPr>
                <w:rFonts w:ascii="Arial" w:cs="Arial" w:eastAsia="Arial" w:hAnsi="Arial"/>
                <w:sz w:val="16"/>
                <w:szCs w:val="16"/>
                <w:b w:val="1"/>
                <w:bCs w:val="1"/>
                <w:color w:val="144F82"/>
              </w:rPr>
              <w:t>As of March 31, 2025</w:t>
            </w:r>
            <w:r>
              <w:rPr>
                <w:rFonts w:ascii="Arial" w:cs="Arial" w:eastAsia="Arial" w:hAnsi="Arial"/>
                <w:sz w:val="21"/>
                <w:szCs w:val="21"/>
                <w:b w:val="1"/>
                <w:bCs w:val="1"/>
                <w:color w:val="144F82"/>
                <w:vertAlign w:val="superscript"/>
              </w:rPr>
              <w:t>(3)</w:t>
            </w:r>
            <w:r>
              <w:rPr>
                <w:rFonts w:ascii="Arial" w:cs="Arial" w:eastAsia="Arial" w:hAnsi="Arial"/>
                <w:sz w:val="16"/>
                <w:szCs w:val="16"/>
                <w:b w:val="1"/>
                <w:bCs w:val="1"/>
                <w:color w:val="144F82"/>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80" w:type="dxa"/>
            <w:vAlign w:val="bottom"/>
            <w:tcBorders>
              <w:bottom w:val="single" w:sz="8" w:color="EDEDEE"/>
            </w:tcBorders>
            <w:shd w:val="clear" w:color="auto" w:fill="EDEDEE"/>
          </w:tcPr>
          <w:p>
            <w:pPr>
              <w:spacing w:after="0" w:line="175" w:lineRule="exact"/>
              <w:rPr>
                <w:sz w:val="20"/>
                <w:szCs w:val="20"/>
                <w:color w:val="auto"/>
              </w:rPr>
            </w:pPr>
            <w:r>
              <w:rPr>
                <w:rFonts w:ascii="Arial" w:cs="Arial" w:eastAsia="Arial" w:hAnsi="Arial"/>
                <w:sz w:val="16"/>
                <w:szCs w:val="16"/>
                <w:color w:val="auto"/>
              </w:rPr>
              <w:t>Common Equity Tier 1 Capital (to Risk-Weighted Assets)</w:t>
            </w:r>
          </w:p>
        </w:tc>
        <w:tc>
          <w:tcPr>
            <w:tcW w:w="240" w:type="dxa"/>
            <w:vAlign w:val="bottom"/>
            <w:tcBorders>
              <w:bottom w:val="single" w:sz="8" w:color="EDEDEE"/>
            </w:tcBorders>
            <w:shd w:val="clear" w:color="auto" w:fill="EDEDEE"/>
          </w:tcPr>
          <w:p>
            <w:pPr>
              <w:jc w:val="right"/>
              <w:ind w:right="59"/>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EDEDEE"/>
            </w:tcBorders>
            <w:shd w:val="clear" w:color="auto" w:fill="EDEDEE"/>
          </w:tcPr>
          <w:p>
            <w:pPr>
              <w:jc w:val="right"/>
              <w:ind w:right="139"/>
              <w:spacing w:after="0" w:line="175" w:lineRule="exact"/>
              <w:rPr>
                <w:sz w:val="20"/>
                <w:szCs w:val="20"/>
                <w:color w:val="auto"/>
              </w:rPr>
            </w:pPr>
            <w:r>
              <w:rPr>
                <w:rFonts w:ascii="Arial" w:cs="Arial" w:eastAsia="Arial" w:hAnsi="Arial"/>
                <w:sz w:val="16"/>
                <w:szCs w:val="16"/>
                <w:color w:val="auto"/>
              </w:rPr>
              <w:t>2,992,368</w:t>
            </w:r>
          </w:p>
        </w:tc>
        <w:tc>
          <w:tcPr>
            <w:tcW w:w="780" w:type="dxa"/>
            <w:vAlign w:val="bottom"/>
            <w:tcBorders>
              <w:bottom w:val="single" w:sz="8" w:color="EDEDEE"/>
            </w:tcBorders>
            <w:shd w:val="clear" w:color="auto" w:fill="EDEDEE"/>
          </w:tcPr>
          <w:p>
            <w:pPr>
              <w:jc w:val="right"/>
              <w:spacing w:after="0" w:line="175" w:lineRule="exact"/>
              <w:rPr>
                <w:sz w:val="20"/>
                <w:szCs w:val="20"/>
                <w:color w:val="auto"/>
              </w:rPr>
            </w:pPr>
            <w:r>
              <w:rPr>
                <w:rFonts w:ascii="Arial" w:cs="Arial" w:eastAsia="Arial" w:hAnsi="Arial"/>
                <w:sz w:val="16"/>
                <w:szCs w:val="16"/>
                <w:color w:val="auto"/>
              </w:rPr>
              <w:t>11.6 %</w:t>
            </w:r>
          </w:p>
        </w:tc>
        <w:tc>
          <w:tcPr>
            <w:tcW w:w="320" w:type="dxa"/>
            <w:vAlign w:val="bottom"/>
            <w:tcBorders>
              <w:bottom w:val="single" w:sz="8" w:color="EDEDEE"/>
            </w:tcBorders>
            <w:shd w:val="clear" w:color="auto" w:fill="EDEDEE"/>
          </w:tcPr>
          <w:p>
            <w:pPr>
              <w:spacing w:after="0"/>
              <w:rPr>
                <w:sz w:val="17"/>
                <w:szCs w:val="17"/>
                <w:color w:val="auto"/>
              </w:rPr>
            </w:pPr>
          </w:p>
        </w:tc>
        <w:tc>
          <w:tcPr>
            <w:tcW w:w="200" w:type="dxa"/>
            <w:vAlign w:val="bottom"/>
            <w:tcBorders>
              <w:bottom w:val="single" w:sz="8" w:color="EDEDEE"/>
            </w:tcBorders>
            <w:shd w:val="clear" w:color="auto" w:fill="EDEDEE"/>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EDEDEE"/>
            </w:tcBorders>
            <w:shd w:val="clear" w:color="auto" w:fill="EDEDEE"/>
          </w:tcPr>
          <w:p>
            <w:pPr>
              <w:ind w:left="380"/>
              <w:spacing w:after="0" w:line="175" w:lineRule="exact"/>
              <w:rPr>
                <w:sz w:val="20"/>
                <w:szCs w:val="20"/>
                <w:color w:val="auto"/>
              </w:rPr>
            </w:pPr>
            <w:r>
              <w:rPr>
                <w:rFonts w:ascii="Arial" w:cs="Arial" w:eastAsia="Arial" w:hAnsi="Arial"/>
                <w:sz w:val="16"/>
                <w:szCs w:val="16"/>
                <w:color w:val="auto"/>
              </w:rPr>
              <w:t>1,808,123</w:t>
            </w:r>
          </w:p>
        </w:tc>
        <w:tc>
          <w:tcPr>
            <w:tcW w:w="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w w:val="72"/>
              </w:rPr>
              <w:t>&gt;</w:t>
            </w:r>
          </w:p>
        </w:tc>
        <w:tc>
          <w:tcPr>
            <w:tcW w:w="1300" w:type="dxa"/>
            <w:vAlign w:val="bottom"/>
            <w:tcBorders>
              <w:bottom w:val="single" w:sz="8" w:color="EDEDEE"/>
            </w:tcBorders>
            <w:shd w:val="clear" w:color="auto" w:fill="EDEDEE"/>
          </w:tcPr>
          <w:p>
            <w:pPr>
              <w:jc w:val="right"/>
              <w:spacing w:after="0" w:line="175" w:lineRule="exact"/>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176"/>
        </w:trPr>
        <w:tc>
          <w:tcPr>
            <w:tcW w:w="4680" w:type="dxa"/>
            <w:vAlign w:val="bottom"/>
            <w:tcBorders>
              <w:top w:val="single" w:sz="8" w:color="EDEDEE"/>
            </w:tcBorders>
          </w:tcPr>
          <w:p>
            <w:pPr>
              <w:spacing w:after="0" w:line="175" w:lineRule="exact"/>
              <w:rPr>
                <w:sz w:val="20"/>
                <w:szCs w:val="20"/>
                <w:color w:val="auto"/>
              </w:rPr>
            </w:pPr>
            <w:r>
              <w:rPr>
                <w:rFonts w:ascii="Arial" w:cs="Arial" w:eastAsia="Arial" w:hAnsi="Arial"/>
                <w:sz w:val="16"/>
                <w:szCs w:val="16"/>
                <w:color w:val="auto"/>
              </w:rPr>
              <w:t>Tier 1 Capital (to Risk-Weighted Assets)</w:t>
            </w:r>
          </w:p>
        </w:tc>
        <w:tc>
          <w:tcPr>
            <w:tcW w:w="240" w:type="dxa"/>
            <w:vAlign w:val="bottom"/>
            <w:tcBorders>
              <w:top w:val="single" w:sz="8" w:color="EDEDEE"/>
            </w:tcBorders>
          </w:tcPr>
          <w:p>
            <w:pPr>
              <w:jc w:val="right"/>
              <w:ind w:right="59"/>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EDEDEE"/>
            </w:tcBorders>
          </w:tcPr>
          <w:p>
            <w:pPr>
              <w:jc w:val="right"/>
              <w:ind w:right="139"/>
              <w:spacing w:after="0" w:line="175" w:lineRule="exact"/>
              <w:rPr>
                <w:sz w:val="20"/>
                <w:szCs w:val="20"/>
                <w:color w:val="auto"/>
              </w:rPr>
            </w:pPr>
            <w:r>
              <w:rPr>
                <w:rFonts w:ascii="Arial" w:cs="Arial" w:eastAsia="Arial" w:hAnsi="Arial"/>
                <w:sz w:val="16"/>
                <w:szCs w:val="16"/>
                <w:color w:val="auto"/>
              </w:rPr>
              <w:t>2,992,368</w:t>
            </w:r>
          </w:p>
        </w:tc>
        <w:tc>
          <w:tcPr>
            <w:tcW w:w="780" w:type="dxa"/>
            <w:vAlign w:val="bottom"/>
            <w:tcBorders>
              <w:top w:val="single" w:sz="8" w:color="EDEDEE"/>
            </w:tcBorders>
          </w:tcPr>
          <w:p>
            <w:pPr>
              <w:jc w:val="right"/>
              <w:spacing w:after="0" w:line="175" w:lineRule="exact"/>
              <w:rPr>
                <w:sz w:val="20"/>
                <w:szCs w:val="20"/>
                <w:color w:val="auto"/>
              </w:rPr>
            </w:pPr>
            <w:r>
              <w:rPr>
                <w:rFonts w:ascii="Arial" w:cs="Arial" w:eastAsia="Arial" w:hAnsi="Arial"/>
                <w:sz w:val="16"/>
                <w:szCs w:val="16"/>
                <w:color w:val="auto"/>
              </w:rPr>
              <w:t>11.6 %</w:t>
            </w:r>
          </w:p>
        </w:tc>
        <w:tc>
          <w:tcPr>
            <w:tcW w:w="320" w:type="dxa"/>
            <w:vAlign w:val="bottom"/>
            <w:tcBorders>
              <w:top w:val="single" w:sz="8" w:color="EDEDEE"/>
            </w:tcBorders>
          </w:tcPr>
          <w:p>
            <w:pPr>
              <w:spacing w:after="0"/>
              <w:rPr>
                <w:sz w:val="15"/>
                <w:szCs w:val="15"/>
                <w:color w:val="auto"/>
              </w:rPr>
            </w:pPr>
          </w:p>
        </w:tc>
        <w:tc>
          <w:tcPr>
            <w:tcW w:w="200" w:type="dxa"/>
            <w:vAlign w:val="bottom"/>
            <w:tcBorders>
              <w:top w:val="single" w:sz="8" w:color="EDEDEE"/>
            </w:tcBorders>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EDEDEE"/>
            </w:tcBorders>
          </w:tcPr>
          <w:p>
            <w:pPr>
              <w:ind w:left="380"/>
              <w:spacing w:after="0" w:line="175" w:lineRule="exact"/>
              <w:rPr>
                <w:sz w:val="20"/>
                <w:szCs w:val="20"/>
                <w:color w:val="auto"/>
              </w:rPr>
            </w:pPr>
            <w:r>
              <w:rPr>
                <w:rFonts w:ascii="Arial" w:cs="Arial" w:eastAsia="Arial" w:hAnsi="Arial"/>
                <w:sz w:val="16"/>
                <w:szCs w:val="16"/>
                <w:color w:val="auto"/>
              </w:rPr>
              <w:t>2,195,578</w:t>
            </w:r>
          </w:p>
        </w:tc>
        <w:tc>
          <w:tcPr>
            <w:tcW w:w="80" w:type="dxa"/>
            <w:vAlign w:val="bottom"/>
            <w:tcBorders>
              <w:top w:val="single" w:sz="8" w:color="EDEDEE"/>
              <w:bottom w:val="single" w:sz="8" w:color="auto"/>
            </w:tcBorders>
          </w:tcPr>
          <w:p>
            <w:pPr>
              <w:jc w:val="right"/>
              <w:spacing w:after="0"/>
              <w:rPr>
                <w:sz w:val="20"/>
                <w:szCs w:val="20"/>
                <w:color w:val="auto"/>
              </w:rPr>
            </w:pPr>
            <w:r>
              <w:rPr>
                <w:rFonts w:ascii="Arial" w:cs="Arial" w:eastAsia="Arial" w:hAnsi="Arial"/>
                <w:sz w:val="14"/>
                <w:szCs w:val="14"/>
                <w:color w:val="auto"/>
                <w:w w:val="72"/>
              </w:rPr>
              <w:t>&gt;</w:t>
            </w:r>
          </w:p>
        </w:tc>
        <w:tc>
          <w:tcPr>
            <w:tcW w:w="1300" w:type="dxa"/>
            <w:vAlign w:val="bottom"/>
            <w:tcBorders>
              <w:top w:val="single" w:sz="8" w:color="EDEDEE"/>
            </w:tcBorders>
          </w:tcPr>
          <w:p>
            <w:pPr>
              <w:jc w:val="right"/>
              <w:spacing w:after="0" w:line="175" w:lineRule="exact"/>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80" w:type="dxa"/>
            <w:vAlign w:val="bottom"/>
            <w:tcBorders>
              <w:bottom w:val="single" w:sz="8" w:color="EDEDEE"/>
            </w:tcBorders>
            <w:shd w:val="clear" w:color="auto" w:fill="EDEDEE"/>
          </w:tcPr>
          <w:p>
            <w:pPr>
              <w:spacing w:after="0" w:line="175" w:lineRule="exact"/>
              <w:rPr>
                <w:sz w:val="20"/>
                <w:szCs w:val="20"/>
                <w:color w:val="auto"/>
              </w:rPr>
            </w:pPr>
            <w:r>
              <w:rPr>
                <w:rFonts w:ascii="Arial" w:cs="Arial" w:eastAsia="Arial" w:hAnsi="Arial"/>
                <w:sz w:val="16"/>
                <w:szCs w:val="16"/>
                <w:color w:val="auto"/>
              </w:rPr>
              <w:t>Total Capital (to Risk-Weighted Assets)</w:t>
            </w:r>
          </w:p>
        </w:tc>
        <w:tc>
          <w:tcPr>
            <w:tcW w:w="240" w:type="dxa"/>
            <w:vAlign w:val="bottom"/>
            <w:tcBorders>
              <w:bottom w:val="single" w:sz="8" w:color="EDEDEE"/>
            </w:tcBorders>
            <w:shd w:val="clear" w:color="auto" w:fill="EDEDEE"/>
          </w:tcPr>
          <w:p>
            <w:pPr>
              <w:jc w:val="right"/>
              <w:ind w:right="59"/>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EDEDEE"/>
            </w:tcBorders>
            <w:shd w:val="clear" w:color="auto" w:fill="EDEDEE"/>
          </w:tcPr>
          <w:p>
            <w:pPr>
              <w:jc w:val="right"/>
              <w:ind w:right="139"/>
              <w:spacing w:after="0" w:line="175" w:lineRule="exact"/>
              <w:rPr>
                <w:sz w:val="20"/>
                <w:szCs w:val="20"/>
                <w:color w:val="auto"/>
              </w:rPr>
            </w:pPr>
            <w:r>
              <w:rPr>
                <w:rFonts w:ascii="Arial" w:cs="Arial" w:eastAsia="Arial" w:hAnsi="Arial"/>
                <w:sz w:val="16"/>
                <w:szCs w:val="16"/>
                <w:color w:val="auto"/>
              </w:rPr>
              <w:t>3,329,485</w:t>
            </w:r>
          </w:p>
        </w:tc>
        <w:tc>
          <w:tcPr>
            <w:tcW w:w="780" w:type="dxa"/>
            <w:vAlign w:val="bottom"/>
            <w:tcBorders>
              <w:bottom w:val="single" w:sz="8" w:color="EDEDEE"/>
            </w:tcBorders>
            <w:shd w:val="clear" w:color="auto" w:fill="EDEDEE"/>
          </w:tcPr>
          <w:p>
            <w:pPr>
              <w:jc w:val="right"/>
              <w:spacing w:after="0" w:line="175" w:lineRule="exact"/>
              <w:rPr>
                <w:sz w:val="20"/>
                <w:szCs w:val="20"/>
                <w:color w:val="auto"/>
              </w:rPr>
            </w:pPr>
            <w:r>
              <w:rPr>
                <w:rFonts w:ascii="Arial" w:cs="Arial" w:eastAsia="Arial" w:hAnsi="Arial"/>
                <w:sz w:val="16"/>
                <w:szCs w:val="16"/>
                <w:color w:val="auto"/>
              </w:rPr>
              <w:t>12.9 %</w:t>
            </w:r>
          </w:p>
        </w:tc>
        <w:tc>
          <w:tcPr>
            <w:tcW w:w="320" w:type="dxa"/>
            <w:vAlign w:val="bottom"/>
            <w:tcBorders>
              <w:bottom w:val="single" w:sz="8" w:color="EDEDEE"/>
            </w:tcBorders>
            <w:shd w:val="clear" w:color="auto" w:fill="EDEDEE"/>
          </w:tcPr>
          <w:p>
            <w:pPr>
              <w:spacing w:after="0"/>
              <w:rPr>
                <w:sz w:val="17"/>
                <w:szCs w:val="17"/>
                <w:color w:val="auto"/>
              </w:rPr>
            </w:pPr>
          </w:p>
        </w:tc>
        <w:tc>
          <w:tcPr>
            <w:tcW w:w="200" w:type="dxa"/>
            <w:vAlign w:val="bottom"/>
            <w:tcBorders>
              <w:bottom w:val="single" w:sz="8" w:color="EDEDEE"/>
            </w:tcBorders>
            <w:shd w:val="clear" w:color="auto" w:fill="EDEDEE"/>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EDEDEE"/>
            </w:tcBorders>
            <w:shd w:val="clear" w:color="auto" w:fill="EDEDEE"/>
          </w:tcPr>
          <w:p>
            <w:pPr>
              <w:ind w:left="380"/>
              <w:spacing w:after="0" w:line="175" w:lineRule="exact"/>
              <w:rPr>
                <w:sz w:val="20"/>
                <w:szCs w:val="20"/>
                <w:color w:val="auto"/>
              </w:rPr>
            </w:pPr>
            <w:r>
              <w:rPr>
                <w:rFonts w:ascii="Arial" w:cs="Arial" w:eastAsia="Arial" w:hAnsi="Arial"/>
                <w:sz w:val="16"/>
                <w:szCs w:val="16"/>
                <w:color w:val="auto"/>
              </w:rPr>
              <w:t>2,712,184</w:t>
            </w:r>
          </w:p>
        </w:tc>
        <w:tc>
          <w:tcPr>
            <w:tcW w:w="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w w:val="72"/>
              </w:rPr>
              <w:t>&gt;</w:t>
            </w:r>
          </w:p>
        </w:tc>
        <w:tc>
          <w:tcPr>
            <w:tcW w:w="1300" w:type="dxa"/>
            <w:vAlign w:val="bottom"/>
            <w:tcBorders>
              <w:bottom w:val="single" w:sz="8" w:color="EDEDEE"/>
            </w:tcBorders>
            <w:shd w:val="clear" w:color="auto" w:fill="EDEDEE"/>
          </w:tcPr>
          <w:p>
            <w:pPr>
              <w:jc w:val="right"/>
              <w:spacing w:after="0" w:line="175" w:lineRule="exact"/>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03"/>
        </w:trPr>
        <w:tc>
          <w:tcPr>
            <w:tcW w:w="4680" w:type="dxa"/>
            <w:vAlign w:val="bottom"/>
            <w:tcBorders>
              <w:top w:val="single" w:sz="8" w:color="EDEDEE"/>
            </w:tcBorders>
          </w:tcPr>
          <w:p>
            <w:pPr>
              <w:spacing w:after="0"/>
              <w:rPr>
                <w:sz w:val="20"/>
                <w:szCs w:val="20"/>
                <w:color w:val="auto"/>
              </w:rPr>
            </w:pPr>
            <w:r>
              <w:rPr>
                <w:rFonts w:ascii="Arial" w:cs="Arial" w:eastAsia="Arial" w:hAnsi="Arial"/>
                <w:sz w:val="16"/>
                <w:szCs w:val="16"/>
                <w:color w:val="auto"/>
              </w:rPr>
              <w:t>Tier 1 Capital (to Average Assets)</w:t>
            </w:r>
          </w:p>
        </w:tc>
        <w:tc>
          <w:tcPr>
            <w:tcW w:w="240" w:type="dxa"/>
            <w:vAlign w:val="bottom"/>
            <w:tcBorders>
              <w:top w:val="single" w:sz="8" w:color="EDEDEE"/>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EDEDEE"/>
            </w:tcBorders>
          </w:tcPr>
          <w:p>
            <w:pPr>
              <w:jc w:val="right"/>
              <w:ind w:right="139"/>
              <w:spacing w:after="0"/>
              <w:rPr>
                <w:sz w:val="20"/>
                <w:szCs w:val="20"/>
                <w:color w:val="auto"/>
              </w:rPr>
            </w:pPr>
            <w:r>
              <w:rPr>
                <w:rFonts w:ascii="Arial" w:cs="Arial" w:eastAsia="Arial" w:hAnsi="Arial"/>
                <w:sz w:val="16"/>
                <w:szCs w:val="16"/>
                <w:color w:val="auto"/>
              </w:rPr>
              <w:t>2,992,368</w:t>
            </w:r>
          </w:p>
        </w:tc>
        <w:tc>
          <w:tcPr>
            <w:tcW w:w="780" w:type="dxa"/>
            <w:vAlign w:val="bottom"/>
            <w:tcBorders>
              <w:top w:val="single" w:sz="8" w:color="EDEDEE"/>
            </w:tcBorders>
          </w:tcPr>
          <w:p>
            <w:pPr>
              <w:jc w:val="right"/>
              <w:spacing w:after="0"/>
              <w:rPr>
                <w:sz w:val="20"/>
                <w:szCs w:val="20"/>
                <w:color w:val="auto"/>
              </w:rPr>
            </w:pPr>
            <w:r>
              <w:rPr>
                <w:rFonts w:ascii="Arial" w:cs="Arial" w:eastAsia="Arial" w:hAnsi="Arial"/>
                <w:sz w:val="16"/>
                <w:szCs w:val="16"/>
                <w:color w:val="auto"/>
              </w:rPr>
              <w:t>10.1 %</w:t>
            </w:r>
          </w:p>
        </w:tc>
        <w:tc>
          <w:tcPr>
            <w:tcW w:w="320" w:type="dxa"/>
            <w:vAlign w:val="bottom"/>
            <w:tcBorders>
              <w:top w:val="single" w:sz="8" w:color="EDEDEE"/>
            </w:tcBorders>
          </w:tcPr>
          <w:p>
            <w:pPr>
              <w:spacing w:after="0"/>
              <w:rPr>
                <w:sz w:val="17"/>
                <w:szCs w:val="17"/>
                <w:color w:val="auto"/>
              </w:rPr>
            </w:pPr>
          </w:p>
        </w:tc>
        <w:tc>
          <w:tcPr>
            <w:tcW w:w="200" w:type="dxa"/>
            <w:vAlign w:val="bottom"/>
            <w:tcBorders>
              <w:top w:val="single" w:sz="8" w:color="EDEDEE"/>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EDEDEE"/>
            </w:tcBorders>
          </w:tcPr>
          <w:p>
            <w:pPr>
              <w:ind w:left="380"/>
              <w:spacing w:after="0"/>
              <w:rPr>
                <w:sz w:val="20"/>
                <w:szCs w:val="20"/>
                <w:color w:val="auto"/>
              </w:rPr>
            </w:pPr>
            <w:r>
              <w:rPr>
                <w:rFonts w:ascii="Arial" w:cs="Arial" w:eastAsia="Arial" w:hAnsi="Arial"/>
                <w:sz w:val="16"/>
                <w:szCs w:val="16"/>
                <w:color w:val="auto"/>
              </w:rPr>
              <w:t>1,185,745</w:t>
            </w:r>
          </w:p>
        </w:tc>
        <w:tc>
          <w:tcPr>
            <w:tcW w:w="80" w:type="dxa"/>
            <w:vAlign w:val="bottom"/>
            <w:tcBorders>
              <w:top w:val="single" w:sz="8" w:color="EDEDEE"/>
              <w:bottom w:val="single" w:sz="8" w:color="auto"/>
            </w:tcBorders>
          </w:tcPr>
          <w:p>
            <w:pPr>
              <w:jc w:val="right"/>
              <w:spacing w:after="0"/>
              <w:rPr>
                <w:sz w:val="20"/>
                <w:szCs w:val="20"/>
                <w:color w:val="auto"/>
              </w:rPr>
            </w:pPr>
            <w:r>
              <w:rPr>
                <w:rFonts w:ascii="Arial" w:cs="Arial" w:eastAsia="Arial" w:hAnsi="Arial"/>
                <w:sz w:val="14"/>
                <w:szCs w:val="14"/>
                <w:color w:val="auto"/>
                <w:w w:val="72"/>
              </w:rPr>
              <w:t>&gt;</w:t>
            </w:r>
          </w:p>
        </w:tc>
        <w:tc>
          <w:tcPr>
            <w:tcW w:w="1300" w:type="dxa"/>
            <w:vAlign w:val="bottom"/>
            <w:tcBorders>
              <w:top w:val="single" w:sz="8" w:color="EDEDEE"/>
            </w:tcBorders>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80" w:type="dxa"/>
            <w:vAlign w:val="bottom"/>
            <w:shd w:val="clear" w:color="auto" w:fill="EDEDEE"/>
          </w:tcPr>
          <w:p>
            <w:pPr>
              <w:spacing w:after="0"/>
              <w:rPr>
                <w:sz w:val="22"/>
                <w:szCs w:val="22"/>
                <w:color w:val="auto"/>
              </w:rPr>
            </w:pPr>
          </w:p>
        </w:tc>
        <w:tc>
          <w:tcPr>
            <w:tcW w:w="240" w:type="dxa"/>
            <w:vAlign w:val="bottom"/>
            <w:shd w:val="clear" w:color="auto" w:fill="EDEDEE"/>
          </w:tcPr>
          <w:p>
            <w:pPr>
              <w:spacing w:after="0"/>
              <w:rPr>
                <w:sz w:val="22"/>
                <w:szCs w:val="22"/>
                <w:color w:val="auto"/>
              </w:rPr>
            </w:pPr>
          </w:p>
        </w:tc>
        <w:tc>
          <w:tcPr>
            <w:tcW w:w="1260" w:type="dxa"/>
            <w:vAlign w:val="bottom"/>
            <w:shd w:val="clear" w:color="auto" w:fill="EDEDEE"/>
          </w:tcPr>
          <w:p>
            <w:pPr>
              <w:spacing w:after="0"/>
              <w:rPr>
                <w:sz w:val="22"/>
                <w:szCs w:val="22"/>
                <w:color w:val="auto"/>
              </w:rPr>
            </w:pPr>
          </w:p>
        </w:tc>
        <w:tc>
          <w:tcPr>
            <w:tcW w:w="780" w:type="dxa"/>
            <w:vAlign w:val="bottom"/>
            <w:shd w:val="clear" w:color="auto" w:fill="EDEDEE"/>
          </w:tcPr>
          <w:p>
            <w:pPr>
              <w:spacing w:after="0"/>
              <w:rPr>
                <w:sz w:val="22"/>
                <w:szCs w:val="22"/>
                <w:color w:val="auto"/>
              </w:rPr>
            </w:pPr>
          </w:p>
        </w:tc>
        <w:tc>
          <w:tcPr>
            <w:tcW w:w="320" w:type="dxa"/>
            <w:vAlign w:val="bottom"/>
            <w:shd w:val="clear" w:color="auto" w:fill="EDEDEE"/>
          </w:tcPr>
          <w:p>
            <w:pPr>
              <w:spacing w:after="0"/>
              <w:rPr>
                <w:sz w:val="22"/>
                <w:szCs w:val="22"/>
                <w:color w:val="auto"/>
              </w:rPr>
            </w:pPr>
          </w:p>
        </w:tc>
        <w:tc>
          <w:tcPr>
            <w:tcW w:w="200" w:type="dxa"/>
            <w:vAlign w:val="bottom"/>
            <w:shd w:val="clear" w:color="auto" w:fill="EDEDEE"/>
          </w:tcPr>
          <w:p>
            <w:pPr>
              <w:spacing w:after="0"/>
              <w:rPr>
                <w:sz w:val="22"/>
                <w:szCs w:val="22"/>
                <w:color w:val="auto"/>
              </w:rPr>
            </w:pPr>
          </w:p>
        </w:tc>
        <w:tc>
          <w:tcPr>
            <w:tcW w:w="1280" w:type="dxa"/>
            <w:vAlign w:val="bottom"/>
            <w:shd w:val="clear" w:color="auto" w:fill="EDEDEE"/>
          </w:tcPr>
          <w:p>
            <w:pPr>
              <w:spacing w:after="0"/>
              <w:rPr>
                <w:sz w:val="22"/>
                <w:szCs w:val="22"/>
                <w:color w:val="auto"/>
              </w:rPr>
            </w:pPr>
          </w:p>
        </w:tc>
        <w:tc>
          <w:tcPr>
            <w:tcW w:w="80" w:type="dxa"/>
            <w:vAlign w:val="bottom"/>
            <w:shd w:val="clear" w:color="auto" w:fill="EDEDEE"/>
          </w:tcPr>
          <w:p>
            <w:pPr>
              <w:spacing w:after="0"/>
              <w:rPr>
                <w:sz w:val="22"/>
                <w:szCs w:val="22"/>
                <w:color w:val="auto"/>
              </w:rPr>
            </w:pPr>
          </w:p>
        </w:tc>
        <w:tc>
          <w:tcPr>
            <w:tcW w:w="1300" w:type="dxa"/>
            <w:vAlign w:val="bottom"/>
            <w:shd w:val="clear" w:color="auto" w:fill="EDEDE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line="216" w:lineRule="exact"/>
              <w:rPr>
                <w:sz w:val="20"/>
                <w:szCs w:val="20"/>
                <w:color w:val="auto"/>
              </w:rPr>
            </w:pPr>
            <w:r>
              <w:rPr>
                <w:rFonts w:ascii="Arial" w:cs="Arial" w:eastAsia="Arial" w:hAnsi="Arial"/>
                <w:sz w:val="16"/>
                <w:szCs w:val="16"/>
                <w:b w:val="1"/>
                <w:bCs w:val="1"/>
                <w:color w:val="144F82"/>
              </w:rPr>
              <w:t>As of December 31, 2024</w:t>
            </w:r>
            <w:r>
              <w:rPr>
                <w:rFonts w:ascii="Arial" w:cs="Arial" w:eastAsia="Arial" w:hAnsi="Arial"/>
                <w:sz w:val="21"/>
                <w:szCs w:val="21"/>
                <w:b w:val="1"/>
                <w:bCs w:val="1"/>
                <w:color w:val="144F82"/>
                <w:vertAlign w:val="superscript"/>
              </w:rPr>
              <w:t>(3)</w:t>
            </w:r>
            <w:r>
              <w:rPr>
                <w:rFonts w:ascii="Arial" w:cs="Arial" w:eastAsia="Arial" w:hAnsi="Arial"/>
                <w:sz w:val="16"/>
                <w:szCs w:val="16"/>
                <w:b w:val="1"/>
                <w:bCs w:val="1"/>
                <w:color w:val="144F82"/>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80" w:type="dxa"/>
            <w:vAlign w:val="bottom"/>
            <w:tcBorders>
              <w:bottom w:val="single" w:sz="8" w:color="EDEDEE"/>
            </w:tcBorders>
            <w:shd w:val="clear" w:color="auto" w:fill="EDEDEE"/>
          </w:tcPr>
          <w:p>
            <w:pPr>
              <w:spacing w:after="0" w:line="175" w:lineRule="exact"/>
              <w:rPr>
                <w:sz w:val="20"/>
                <w:szCs w:val="20"/>
                <w:color w:val="auto"/>
              </w:rPr>
            </w:pPr>
            <w:r>
              <w:rPr>
                <w:rFonts w:ascii="Arial" w:cs="Arial" w:eastAsia="Arial" w:hAnsi="Arial"/>
                <w:sz w:val="16"/>
                <w:szCs w:val="16"/>
                <w:color w:val="auto"/>
              </w:rPr>
              <w:t>Common Equity Tier 1 Capital (to Risk-Weighted Assets)</w:t>
            </w:r>
          </w:p>
        </w:tc>
        <w:tc>
          <w:tcPr>
            <w:tcW w:w="240" w:type="dxa"/>
            <w:vAlign w:val="bottom"/>
            <w:tcBorders>
              <w:bottom w:val="single" w:sz="8" w:color="EDEDEE"/>
            </w:tcBorders>
            <w:shd w:val="clear" w:color="auto" w:fill="EDEDEE"/>
          </w:tcPr>
          <w:p>
            <w:pPr>
              <w:jc w:val="right"/>
              <w:ind w:right="59"/>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EDEDEE"/>
            </w:tcBorders>
            <w:shd w:val="clear" w:color="auto" w:fill="EDEDEE"/>
          </w:tcPr>
          <w:p>
            <w:pPr>
              <w:jc w:val="right"/>
              <w:ind w:right="139"/>
              <w:spacing w:after="0" w:line="175" w:lineRule="exact"/>
              <w:rPr>
                <w:sz w:val="20"/>
                <w:szCs w:val="20"/>
                <w:color w:val="auto"/>
              </w:rPr>
            </w:pPr>
            <w:r>
              <w:rPr>
                <w:rFonts w:ascii="Arial" w:cs="Arial" w:eastAsia="Arial" w:hAnsi="Arial"/>
                <w:sz w:val="16"/>
                <w:szCs w:val="16"/>
                <w:color w:val="auto"/>
              </w:rPr>
              <w:t>2,957,067</w:t>
            </w:r>
          </w:p>
        </w:tc>
        <w:tc>
          <w:tcPr>
            <w:tcW w:w="780" w:type="dxa"/>
            <w:vAlign w:val="bottom"/>
            <w:tcBorders>
              <w:bottom w:val="single" w:sz="8" w:color="EDEDEE"/>
            </w:tcBorders>
            <w:shd w:val="clear" w:color="auto" w:fill="EDEDEE"/>
          </w:tcPr>
          <w:p>
            <w:pPr>
              <w:jc w:val="right"/>
              <w:spacing w:after="0" w:line="175" w:lineRule="exact"/>
              <w:rPr>
                <w:sz w:val="20"/>
                <w:szCs w:val="20"/>
                <w:color w:val="auto"/>
              </w:rPr>
            </w:pPr>
            <w:r>
              <w:rPr>
                <w:rFonts w:ascii="Arial" w:cs="Arial" w:eastAsia="Arial" w:hAnsi="Arial"/>
                <w:sz w:val="16"/>
                <w:szCs w:val="16"/>
                <w:color w:val="auto"/>
              </w:rPr>
              <w:t>11.3 %</w:t>
            </w:r>
          </w:p>
        </w:tc>
        <w:tc>
          <w:tcPr>
            <w:tcW w:w="320" w:type="dxa"/>
            <w:vAlign w:val="bottom"/>
            <w:tcBorders>
              <w:bottom w:val="single" w:sz="8" w:color="EDEDEE"/>
            </w:tcBorders>
            <w:shd w:val="clear" w:color="auto" w:fill="EDEDEE"/>
          </w:tcPr>
          <w:p>
            <w:pPr>
              <w:spacing w:after="0"/>
              <w:rPr>
                <w:sz w:val="17"/>
                <w:szCs w:val="17"/>
                <w:color w:val="auto"/>
              </w:rPr>
            </w:pPr>
          </w:p>
        </w:tc>
        <w:tc>
          <w:tcPr>
            <w:tcW w:w="200" w:type="dxa"/>
            <w:vAlign w:val="bottom"/>
            <w:tcBorders>
              <w:bottom w:val="single" w:sz="8" w:color="EDEDEE"/>
            </w:tcBorders>
            <w:shd w:val="clear" w:color="auto" w:fill="EDEDEE"/>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EDEDEE"/>
            </w:tcBorders>
            <w:shd w:val="clear" w:color="auto" w:fill="EDEDEE"/>
          </w:tcPr>
          <w:p>
            <w:pPr>
              <w:ind w:left="380"/>
              <w:spacing w:after="0" w:line="175" w:lineRule="exact"/>
              <w:rPr>
                <w:sz w:val="20"/>
                <w:szCs w:val="20"/>
                <w:color w:val="auto"/>
              </w:rPr>
            </w:pPr>
            <w:r>
              <w:rPr>
                <w:rFonts w:ascii="Arial" w:cs="Arial" w:eastAsia="Arial" w:hAnsi="Arial"/>
                <w:sz w:val="16"/>
                <w:szCs w:val="16"/>
                <w:color w:val="auto"/>
              </w:rPr>
              <w:t>1,827,318</w:t>
            </w:r>
          </w:p>
        </w:tc>
        <w:tc>
          <w:tcPr>
            <w:tcW w:w="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w w:val="72"/>
              </w:rPr>
              <w:t>&gt;</w:t>
            </w:r>
          </w:p>
        </w:tc>
        <w:tc>
          <w:tcPr>
            <w:tcW w:w="1300" w:type="dxa"/>
            <w:vAlign w:val="bottom"/>
            <w:tcBorders>
              <w:bottom w:val="single" w:sz="8" w:color="EDEDEE"/>
            </w:tcBorders>
            <w:shd w:val="clear" w:color="auto" w:fill="EDEDEE"/>
          </w:tcPr>
          <w:p>
            <w:pPr>
              <w:jc w:val="right"/>
              <w:spacing w:after="0" w:line="175" w:lineRule="exact"/>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176"/>
        </w:trPr>
        <w:tc>
          <w:tcPr>
            <w:tcW w:w="4680" w:type="dxa"/>
            <w:vAlign w:val="bottom"/>
            <w:tcBorders>
              <w:top w:val="single" w:sz="8" w:color="EDEDEE"/>
            </w:tcBorders>
          </w:tcPr>
          <w:p>
            <w:pPr>
              <w:spacing w:after="0" w:line="175" w:lineRule="exact"/>
              <w:rPr>
                <w:sz w:val="20"/>
                <w:szCs w:val="20"/>
                <w:color w:val="auto"/>
              </w:rPr>
            </w:pPr>
            <w:r>
              <w:rPr>
                <w:rFonts w:ascii="Arial" w:cs="Arial" w:eastAsia="Arial" w:hAnsi="Arial"/>
                <w:sz w:val="16"/>
                <w:szCs w:val="16"/>
                <w:color w:val="auto"/>
              </w:rPr>
              <w:t>Tier 1 Capital (to Risk-Weighted Assets)</w:t>
            </w:r>
          </w:p>
        </w:tc>
        <w:tc>
          <w:tcPr>
            <w:tcW w:w="240" w:type="dxa"/>
            <w:vAlign w:val="bottom"/>
            <w:tcBorders>
              <w:top w:val="single" w:sz="8" w:color="EDEDEE"/>
            </w:tcBorders>
          </w:tcPr>
          <w:p>
            <w:pPr>
              <w:jc w:val="right"/>
              <w:ind w:right="59"/>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EDEDEE"/>
            </w:tcBorders>
          </w:tcPr>
          <w:p>
            <w:pPr>
              <w:jc w:val="right"/>
              <w:ind w:right="139"/>
              <w:spacing w:after="0" w:line="175" w:lineRule="exact"/>
              <w:rPr>
                <w:sz w:val="20"/>
                <w:szCs w:val="20"/>
                <w:color w:val="auto"/>
              </w:rPr>
            </w:pPr>
            <w:r>
              <w:rPr>
                <w:rFonts w:ascii="Arial" w:cs="Arial" w:eastAsia="Arial" w:hAnsi="Arial"/>
                <w:sz w:val="16"/>
                <w:szCs w:val="16"/>
                <w:color w:val="auto"/>
              </w:rPr>
              <w:t>2,957,067</w:t>
            </w:r>
          </w:p>
        </w:tc>
        <w:tc>
          <w:tcPr>
            <w:tcW w:w="780" w:type="dxa"/>
            <w:vAlign w:val="bottom"/>
            <w:tcBorders>
              <w:top w:val="single" w:sz="8" w:color="EDEDEE"/>
            </w:tcBorders>
          </w:tcPr>
          <w:p>
            <w:pPr>
              <w:jc w:val="right"/>
              <w:spacing w:after="0" w:line="175" w:lineRule="exact"/>
              <w:rPr>
                <w:sz w:val="20"/>
                <w:szCs w:val="20"/>
                <w:color w:val="auto"/>
              </w:rPr>
            </w:pPr>
            <w:r>
              <w:rPr>
                <w:rFonts w:ascii="Arial" w:cs="Arial" w:eastAsia="Arial" w:hAnsi="Arial"/>
                <w:sz w:val="16"/>
                <w:szCs w:val="16"/>
                <w:color w:val="auto"/>
              </w:rPr>
              <w:t>11.3 %</w:t>
            </w:r>
          </w:p>
        </w:tc>
        <w:tc>
          <w:tcPr>
            <w:tcW w:w="320" w:type="dxa"/>
            <w:vAlign w:val="bottom"/>
            <w:tcBorders>
              <w:top w:val="single" w:sz="8" w:color="EDEDEE"/>
            </w:tcBorders>
          </w:tcPr>
          <w:p>
            <w:pPr>
              <w:spacing w:after="0"/>
              <w:rPr>
                <w:sz w:val="15"/>
                <w:szCs w:val="15"/>
                <w:color w:val="auto"/>
              </w:rPr>
            </w:pPr>
          </w:p>
        </w:tc>
        <w:tc>
          <w:tcPr>
            <w:tcW w:w="200" w:type="dxa"/>
            <w:vAlign w:val="bottom"/>
            <w:tcBorders>
              <w:top w:val="single" w:sz="8" w:color="EDEDEE"/>
            </w:tcBorders>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EDEDEE"/>
            </w:tcBorders>
          </w:tcPr>
          <w:p>
            <w:pPr>
              <w:ind w:left="380"/>
              <w:spacing w:after="0" w:line="175" w:lineRule="exact"/>
              <w:rPr>
                <w:sz w:val="20"/>
                <w:szCs w:val="20"/>
                <w:color w:val="auto"/>
              </w:rPr>
            </w:pPr>
            <w:r>
              <w:rPr>
                <w:rFonts w:ascii="Arial" w:cs="Arial" w:eastAsia="Arial" w:hAnsi="Arial"/>
                <w:sz w:val="16"/>
                <w:szCs w:val="16"/>
                <w:color w:val="auto"/>
              </w:rPr>
              <w:t>2,218,886</w:t>
            </w:r>
          </w:p>
        </w:tc>
        <w:tc>
          <w:tcPr>
            <w:tcW w:w="80" w:type="dxa"/>
            <w:vAlign w:val="bottom"/>
            <w:tcBorders>
              <w:top w:val="single" w:sz="8" w:color="EDEDEE"/>
              <w:bottom w:val="single" w:sz="8" w:color="auto"/>
            </w:tcBorders>
          </w:tcPr>
          <w:p>
            <w:pPr>
              <w:jc w:val="right"/>
              <w:spacing w:after="0"/>
              <w:rPr>
                <w:sz w:val="20"/>
                <w:szCs w:val="20"/>
                <w:color w:val="auto"/>
              </w:rPr>
            </w:pPr>
            <w:r>
              <w:rPr>
                <w:rFonts w:ascii="Arial" w:cs="Arial" w:eastAsia="Arial" w:hAnsi="Arial"/>
                <w:sz w:val="14"/>
                <w:szCs w:val="14"/>
                <w:color w:val="auto"/>
                <w:w w:val="72"/>
              </w:rPr>
              <w:t>&gt;</w:t>
            </w:r>
          </w:p>
        </w:tc>
        <w:tc>
          <w:tcPr>
            <w:tcW w:w="1300" w:type="dxa"/>
            <w:vAlign w:val="bottom"/>
            <w:tcBorders>
              <w:top w:val="single" w:sz="8" w:color="EDEDEE"/>
            </w:tcBorders>
          </w:tcPr>
          <w:p>
            <w:pPr>
              <w:jc w:val="right"/>
              <w:spacing w:after="0" w:line="175" w:lineRule="exact"/>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80" w:type="dxa"/>
            <w:vAlign w:val="bottom"/>
            <w:tcBorders>
              <w:bottom w:val="single" w:sz="8" w:color="EDEDEE"/>
            </w:tcBorders>
            <w:shd w:val="clear" w:color="auto" w:fill="EDEDEE"/>
          </w:tcPr>
          <w:p>
            <w:pPr>
              <w:spacing w:after="0" w:line="175" w:lineRule="exact"/>
              <w:rPr>
                <w:sz w:val="20"/>
                <w:szCs w:val="20"/>
                <w:color w:val="auto"/>
              </w:rPr>
            </w:pPr>
            <w:r>
              <w:rPr>
                <w:rFonts w:ascii="Arial" w:cs="Arial" w:eastAsia="Arial" w:hAnsi="Arial"/>
                <w:sz w:val="16"/>
                <w:szCs w:val="16"/>
                <w:color w:val="auto"/>
              </w:rPr>
              <w:t>Total Capital (to Risk-Weighted Assets)</w:t>
            </w:r>
          </w:p>
        </w:tc>
        <w:tc>
          <w:tcPr>
            <w:tcW w:w="240" w:type="dxa"/>
            <w:vAlign w:val="bottom"/>
            <w:tcBorders>
              <w:bottom w:val="single" w:sz="8" w:color="EDEDEE"/>
            </w:tcBorders>
            <w:shd w:val="clear" w:color="auto" w:fill="EDEDEE"/>
          </w:tcPr>
          <w:p>
            <w:pPr>
              <w:jc w:val="right"/>
              <w:ind w:right="59"/>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EDEDEE"/>
            </w:tcBorders>
            <w:shd w:val="clear" w:color="auto" w:fill="EDEDEE"/>
          </w:tcPr>
          <w:p>
            <w:pPr>
              <w:jc w:val="right"/>
              <w:ind w:right="139"/>
              <w:spacing w:after="0" w:line="175" w:lineRule="exact"/>
              <w:rPr>
                <w:sz w:val="20"/>
                <w:szCs w:val="20"/>
                <w:color w:val="auto"/>
              </w:rPr>
            </w:pPr>
            <w:r>
              <w:rPr>
                <w:rFonts w:ascii="Arial" w:cs="Arial" w:eastAsia="Arial" w:hAnsi="Arial"/>
                <w:sz w:val="16"/>
                <w:szCs w:val="16"/>
                <w:color w:val="auto"/>
              </w:rPr>
              <w:t>3,294,663</w:t>
            </w:r>
          </w:p>
        </w:tc>
        <w:tc>
          <w:tcPr>
            <w:tcW w:w="780" w:type="dxa"/>
            <w:vAlign w:val="bottom"/>
            <w:tcBorders>
              <w:bottom w:val="single" w:sz="8" w:color="EDEDEE"/>
            </w:tcBorders>
            <w:shd w:val="clear" w:color="auto" w:fill="EDEDEE"/>
          </w:tcPr>
          <w:p>
            <w:pPr>
              <w:jc w:val="right"/>
              <w:spacing w:after="0" w:line="175" w:lineRule="exact"/>
              <w:rPr>
                <w:sz w:val="20"/>
                <w:szCs w:val="20"/>
                <w:color w:val="auto"/>
              </w:rPr>
            </w:pPr>
            <w:r>
              <w:rPr>
                <w:rFonts w:ascii="Arial" w:cs="Arial" w:eastAsia="Arial" w:hAnsi="Arial"/>
                <w:sz w:val="16"/>
                <w:szCs w:val="16"/>
                <w:color w:val="auto"/>
              </w:rPr>
              <w:t>12.6 %</w:t>
            </w:r>
          </w:p>
        </w:tc>
        <w:tc>
          <w:tcPr>
            <w:tcW w:w="320" w:type="dxa"/>
            <w:vAlign w:val="bottom"/>
            <w:tcBorders>
              <w:bottom w:val="single" w:sz="8" w:color="EDEDEE"/>
            </w:tcBorders>
            <w:shd w:val="clear" w:color="auto" w:fill="EDEDEE"/>
          </w:tcPr>
          <w:p>
            <w:pPr>
              <w:spacing w:after="0"/>
              <w:rPr>
                <w:sz w:val="17"/>
                <w:szCs w:val="17"/>
                <w:color w:val="auto"/>
              </w:rPr>
            </w:pPr>
          </w:p>
        </w:tc>
        <w:tc>
          <w:tcPr>
            <w:tcW w:w="200" w:type="dxa"/>
            <w:vAlign w:val="bottom"/>
            <w:tcBorders>
              <w:bottom w:val="single" w:sz="8" w:color="EDEDEE"/>
            </w:tcBorders>
            <w:shd w:val="clear" w:color="auto" w:fill="EDEDEE"/>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EDEDEE"/>
            </w:tcBorders>
            <w:shd w:val="clear" w:color="auto" w:fill="EDEDEE"/>
          </w:tcPr>
          <w:p>
            <w:pPr>
              <w:ind w:left="380"/>
              <w:spacing w:after="0" w:line="175" w:lineRule="exact"/>
              <w:rPr>
                <w:sz w:val="20"/>
                <w:szCs w:val="20"/>
                <w:color w:val="auto"/>
              </w:rPr>
            </w:pPr>
            <w:r>
              <w:rPr>
                <w:rFonts w:ascii="Arial" w:cs="Arial" w:eastAsia="Arial" w:hAnsi="Arial"/>
                <w:sz w:val="16"/>
                <w:szCs w:val="16"/>
                <w:color w:val="auto"/>
              </w:rPr>
              <w:t>2,740,976</w:t>
            </w:r>
          </w:p>
        </w:tc>
        <w:tc>
          <w:tcPr>
            <w:tcW w:w="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4"/>
                <w:szCs w:val="14"/>
                <w:color w:val="auto"/>
                <w:w w:val="72"/>
              </w:rPr>
              <w:t>&gt;</w:t>
            </w:r>
          </w:p>
        </w:tc>
        <w:tc>
          <w:tcPr>
            <w:tcW w:w="1300" w:type="dxa"/>
            <w:vAlign w:val="bottom"/>
            <w:tcBorders>
              <w:bottom w:val="single" w:sz="8" w:color="EDEDEE"/>
            </w:tcBorders>
            <w:shd w:val="clear" w:color="auto" w:fill="EDEDEE"/>
          </w:tcPr>
          <w:p>
            <w:pPr>
              <w:jc w:val="right"/>
              <w:spacing w:after="0" w:line="175" w:lineRule="exact"/>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175"/>
        </w:trPr>
        <w:tc>
          <w:tcPr>
            <w:tcW w:w="4680" w:type="dxa"/>
            <w:vAlign w:val="bottom"/>
            <w:tcBorders>
              <w:top w:val="single" w:sz="8" w:color="EDEDEE"/>
            </w:tcBorders>
          </w:tcPr>
          <w:p>
            <w:pPr>
              <w:spacing w:after="0" w:line="175" w:lineRule="exact"/>
              <w:rPr>
                <w:sz w:val="20"/>
                <w:szCs w:val="20"/>
                <w:color w:val="auto"/>
              </w:rPr>
            </w:pPr>
            <w:r>
              <w:rPr>
                <w:rFonts w:ascii="Arial" w:cs="Arial" w:eastAsia="Arial" w:hAnsi="Arial"/>
                <w:sz w:val="16"/>
                <w:szCs w:val="16"/>
                <w:color w:val="auto"/>
              </w:rPr>
              <w:t>Tier 1 Capital (to Average Assets)</w:t>
            </w:r>
          </w:p>
        </w:tc>
        <w:tc>
          <w:tcPr>
            <w:tcW w:w="240" w:type="dxa"/>
            <w:vAlign w:val="bottom"/>
            <w:tcBorders>
              <w:top w:val="single" w:sz="8" w:color="EDEDEE"/>
            </w:tcBorders>
          </w:tcPr>
          <w:p>
            <w:pPr>
              <w:jc w:val="right"/>
              <w:ind w:right="59"/>
              <w:spacing w:after="0" w:line="175"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EDEDEE"/>
            </w:tcBorders>
          </w:tcPr>
          <w:p>
            <w:pPr>
              <w:jc w:val="right"/>
              <w:ind w:right="139"/>
              <w:spacing w:after="0" w:line="175" w:lineRule="exact"/>
              <w:rPr>
                <w:sz w:val="20"/>
                <w:szCs w:val="20"/>
                <w:color w:val="auto"/>
              </w:rPr>
            </w:pPr>
            <w:r>
              <w:rPr>
                <w:rFonts w:ascii="Arial" w:cs="Arial" w:eastAsia="Arial" w:hAnsi="Arial"/>
                <w:sz w:val="16"/>
                <w:szCs w:val="16"/>
                <w:color w:val="auto"/>
              </w:rPr>
              <w:t>2,957,067</w:t>
            </w:r>
          </w:p>
        </w:tc>
        <w:tc>
          <w:tcPr>
            <w:tcW w:w="780" w:type="dxa"/>
            <w:vAlign w:val="bottom"/>
            <w:tcBorders>
              <w:top w:val="single" w:sz="8" w:color="EDEDEE"/>
            </w:tcBorders>
          </w:tcPr>
          <w:p>
            <w:pPr>
              <w:jc w:val="right"/>
              <w:spacing w:after="0" w:line="175" w:lineRule="exact"/>
              <w:rPr>
                <w:sz w:val="20"/>
                <w:szCs w:val="20"/>
                <w:color w:val="auto"/>
              </w:rPr>
            </w:pPr>
            <w:r>
              <w:rPr>
                <w:rFonts w:ascii="Arial" w:cs="Arial" w:eastAsia="Arial" w:hAnsi="Arial"/>
                <w:sz w:val="16"/>
                <w:szCs w:val="16"/>
                <w:color w:val="auto"/>
              </w:rPr>
              <w:t>9.7 %</w:t>
            </w:r>
          </w:p>
        </w:tc>
        <w:tc>
          <w:tcPr>
            <w:tcW w:w="320" w:type="dxa"/>
            <w:vAlign w:val="bottom"/>
            <w:tcBorders>
              <w:top w:val="single" w:sz="8" w:color="EDEDEE"/>
            </w:tcBorders>
          </w:tcPr>
          <w:p>
            <w:pPr>
              <w:spacing w:after="0"/>
              <w:rPr>
                <w:sz w:val="15"/>
                <w:szCs w:val="15"/>
                <w:color w:val="auto"/>
              </w:rPr>
            </w:pPr>
          </w:p>
        </w:tc>
        <w:tc>
          <w:tcPr>
            <w:tcW w:w="200" w:type="dxa"/>
            <w:vAlign w:val="bottom"/>
            <w:tcBorders>
              <w:top w:val="single" w:sz="8" w:color="EDEDEE"/>
            </w:tcBorders>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EDEDEE"/>
            </w:tcBorders>
          </w:tcPr>
          <w:p>
            <w:pPr>
              <w:ind w:left="380"/>
              <w:spacing w:after="0" w:line="175" w:lineRule="exact"/>
              <w:rPr>
                <w:sz w:val="20"/>
                <w:szCs w:val="20"/>
                <w:color w:val="auto"/>
              </w:rPr>
            </w:pPr>
            <w:r>
              <w:rPr>
                <w:rFonts w:ascii="Arial" w:cs="Arial" w:eastAsia="Arial" w:hAnsi="Arial"/>
                <w:sz w:val="16"/>
                <w:szCs w:val="16"/>
                <w:color w:val="auto"/>
              </w:rPr>
              <w:t>1,213,505</w:t>
            </w:r>
          </w:p>
        </w:tc>
        <w:tc>
          <w:tcPr>
            <w:tcW w:w="80" w:type="dxa"/>
            <w:vAlign w:val="bottom"/>
            <w:tcBorders>
              <w:top w:val="single" w:sz="8" w:color="EDEDEE"/>
              <w:bottom w:val="single" w:sz="8" w:color="auto"/>
            </w:tcBorders>
          </w:tcPr>
          <w:p>
            <w:pPr>
              <w:jc w:val="right"/>
              <w:spacing w:after="0"/>
              <w:rPr>
                <w:sz w:val="20"/>
                <w:szCs w:val="20"/>
                <w:color w:val="auto"/>
              </w:rPr>
            </w:pPr>
            <w:r>
              <w:rPr>
                <w:rFonts w:ascii="Arial" w:cs="Arial" w:eastAsia="Arial" w:hAnsi="Arial"/>
                <w:sz w:val="14"/>
                <w:szCs w:val="14"/>
                <w:color w:val="auto"/>
                <w:w w:val="72"/>
              </w:rPr>
              <w:t>&gt;</w:t>
            </w:r>
          </w:p>
        </w:tc>
        <w:tc>
          <w:tcPr>
            <w:tcW w:w="1300" w:type="dxa"/>
            <w:vAlign w:val="bottom"/>
            <w:tcBorders>
              <w:top w:val="single" w:sz="8" w:color="EDEDEE"/>
            </w:tcBorders>
          </w:tcPr>
          <w:p>
            <w:pPr>
              <w:jc w:val="right"/>
              <w:spacing w:after="0" w:line="175" w:lineRule="exact"/>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1340" w:hanging="198"/>
        <w:spacing w:after="0"/>
        <w:tabs>
          <w:tab w:leader="none" w:pos="1340" w:val="left"/>
        </w:tabs>
        <w:numPr>
          <w:ilvl w:val="0"/>
          <w:numId w:val="53"/>
        </w:numPr>
        <w:rPr>
          <w:rFonts w:ascii="Arial" w:cs="Arial" w:eastAsia="Arial" w:hAnsi="Arial"/>
          <w:sz w:val="8"/>
          <w:szCs w:val="8"/>
          <w:color w:val="auto"/>
        </w:rPr>
      </w:pPr>
      <w:r>
        <w:rPr>
          <w:rFonts w:ascii="Arial" w:cs="Arial" w:eastAsia="Arial" w:hAnsi="Arial"/>
          <w:sz w:val="14"/>
          <w:szCs w:val="14"/>
          <w:color w:val="auto"/>
        </w:rPr>
        <w:t>Reflects the U.S. Basel III minimum required ratio plus the applicable capital conservation buffer.</w:t>
      </w:r>
    </w:p>
    <w:p>
      <w:pPr>
        <w:spacing w:after="0" w:line="28" w:lineRule="exact"/>
        <w:rPr>
          <w:rFonts w:ascii="Arial" w:cs="Arial" w:eastAsia="Arial" w:hAnsi="Arial"/>
          <w:sz w:val="8"/>
          <w:szCs w:val="8"/>
          <w:color w:val="auto"/>
        </w:rPr>
      </w:pPr>
    </w:p>
    <w:p>
      <w:pPr>
        <w:ind w:left="1420" w:right="1160" w:hanging="278"/>
        <w:spacing w:after="0" w:line="261" w:lineRule="auto"/>
        <w:tabs>
          <w:tab w:leader="none" w:pos="1340" w:val="left"/>
        </w:tabs>
        <w:numPr>
          <w:ilvl w:val="0"/>
          <w:numId w:val="53"/>
        </w:numPr>
        <w:rPr>
          <w:rFonts w:ascii="Arial" w:cs="Arial" w:eastAsia="Arial" w:hAnsi="Arial"/>
          <w:sz w:val="8"/>
          <w:szCs w:val="8"/>
          <w:color w:val="auto"/>
        </w:rPr>
      </w:pPr>
      <w:r>
        <w:rPr>
          <w:rFonts w:ascii="Arial" w:cs="Arial" w:eastAsia="Arial" w:hAnsi="Arial"/>
          <w:sz w:val="14"/>
          <w:szCs w:val="14"/>
          <w:color w:val="auto"/>
        </w:rPr>
        <w:t>The Bank’s regulatory capital ratios also exceeded all applicable standards for the Bank to qualify as “well capitalized” under the prompt corrective action framework.</w:t>
      </w:r>
    </w:p>
    <w:p>
      <w:pPr>
        <w:ind w:left="1420" w:right="1060" w:hanging="278"/>
        <w:spacing w:after="0" w:line="222" w:lineRule="auto"/>
        <w:tabs>
          <w:tab w:leader="none" w:pos="1354"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For both March 31, 2025 and December 31, 2024, the actual amounts and the actual ratios include the fully phased in adjusted transition amounts discussed above.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Bank Dividends</w:t>
      </w:r>
    </w:p>
    <w:p>
      <w:pPr>
        <w:spacing w:after="0" w:line="25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Bank is chartered under the laws of the State of Utah and its deposits are insured by the FDIC. The Bank’s ability to pay dividends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is subject to the laws of Utah and the regulations of the FDIC. Generally, under Utah’s industrial bank laws and regulations as well as FDIC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regulations, the Bank may pay dividends from its net profits without regulatory approval if, following the payment of the dividend, the Bank’s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and surplus would not be impaired. The Company relies on dividends from the Bank, as necessary, to enable the Company to pay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declared dividends and other payments and consummate share repurchases, as necessary. The Bank declared $100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 million in dividends to the Company for the three months ended March 31, 2025 and 2024, respectively, with the proceeds 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used to fund share repurchase programs and stock dividends. In the future, we expect that the Bank will pay dividends to the Company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be necessary to enable the Company to pay any declared dividends on its Series B Preferred Stock and common stock and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consummate any common share repurchases by the Company under its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134F82"/>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12"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6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When we approve a Private Education Loan at the beginning of an academic year, that approval may cover the borrowing for the entire academic year. As such, we do not always disburse the full amount of the loan at the time of such approval, but instead have a commitment to fund a portion of the loan at a later date (usually at the start of the second semester or subsequent trimesters). We estimate expected credit losses over the contractual period that we are exposed to credit risk via a contractual obligation to extend credit, unless that obligation is unconditionally cancellable by us. At March 31, 2025, we had $584 million of outstanding contractual loan commitments that we expect to fund during the remainder of the 2024/2025 academic year. At March 31, 2025, we had a $24 million reserve recorded in “Other Liabilities” to cover lifetime expected credit losses on the unfunded commitments. See Note 2, “Significant Accounting Policies - Allowance for Credit Losses — Off-Balance Sheet Exposure for Contractual Loan Commitments” in our 2024 Form 10-K and Note 4, “Allowance for Credit Losses and Unfunded Loan Commitments” in this Form 10-Q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69"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In the ordinary course of business, we and our subsidiaries are routinely defendants in or parties to pending and threatened legal actions and proceedings, including actions brought on behalf of various classes of claimants. These actions and proceedings may be based on alleged violations of consumer protection, securities, employment, and other laws. In certain of these actions and proceedings, claims for substantial monetary damage may be asserted against us and our subsidiaries.</w:t>
      </w:r>
    </w:p>
    <w:p>
      <w:pPr>
        <w:spacing w:after="0" w:line="122"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It is common for the Company, our subsidiaries, and affiliates to receive information and document requests and investigative demands from state attorneys general, legislative committees, and administrative agencies. These requests may be for informational or regulatory purposes and may relate to our business practices, the industries in which we operate, or other companies with whom we conduct business. Our practice has been and continues to be to cooperate with these bodies and be responsive to any such requests.</w:t>
      </w:r>
    </w:p>
    <w:p>
      <w:pPr>
        <w:spacing w:after="0" w:line="122"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We are required to establish reserves for litigation and regulatory matters where those matters present loss contingencies that are both probable and estimable. When loss contingencies are not both probable and estimable, we do not establish reserves.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44F82"/>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14. Segment Reporting</w:t>
      </w:r>
    </w:p>
    <w:p>
      <w:pPr>
        <w:spacing w:after="0" w:line="171" w:lineRule="exact"/>
        <w:rPr>
          <w:sz w:val="20"/>
          <w:szCs w:val="20"/>
          <w:color w:val="auto"/>
        </w:rPr>
      </w:pPr>
    </w:p>
    <w:p>
      <w:pPr>
        <w:jc w:val="both"/>
        <w:ind w:right="160" w:firstLine="445"/>
        <w:spacing w:after="0" w:line="268" w:lineRule="auto"/>
        <w:rPr>
          <w:sz w:val="20"/>
          <w:szCs w:val="20"/>
          <w:color w:val="auto"/>
        </w:rPr>
      </w:pPr>
      <w:r>
        <w:rPr>
          <w:rFonts w:ascii="Arial" w:cs="Arial" w:eastAsia="Arial" w:hAnsi="Arial"/>
          <w:sz w:val="18"/>
          <w:szCs w:val="18"/>
          <w:color w:val="auto"/>
        </w:rPr>
        <w:t>The Company is managed as a single line of business with a single reportable segment originating and servicing high-quality Private Education Loans and providing other education-related services to customers. Our consolidated financial results are regularly reviewed by the Company’s Chief Executive Officer (the “CEO”) to allocate resources and evaluate financial performance.</w:t>
      </w:r>
    </w:p>
    <w:p>
      <w:pPr>
        <w:spacing w:after="0" w:line="63"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The CEO evaluates the performance of the Company and decides how to allocate resources based on net income and total consolidated assets. The CEO uses net income to assess financial performance and to decide whether to re-invest profits into the Company or to return capital to stockholders in the form of dividends or the repurchase of common stock. Net income is also used to compare budget versus actual results, and the budget versus actual analysis is part of the segment financial performance review.</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significant expense categories and amounts regularly provided to the CEO.</w:t>
      </w:r>
    </w:p>
    <w:p>
      <w:pPr>
        <w:spacing w:after="0" w:line="167"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144F82"/>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23495</wp:posOffset>
            </wp:positionV>
            <wp:extent cx="54260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170" w:lineRule="exact"/>
        <w:rPr>
          <w:sz w:val="20"/>
          <w:szCs w:val="20"/>
          <w:color w:val="auto"/>
        </w:rPr>
      </w:pPr>
    </w:p>
    <w:tbl>
      <w:tblPr>
        <w:tblLayout w:type="fixed"/>
        <w:tblInd w:w="1580" w:type="dxa"/>
        <w:tblCellMar>
          <w:top w:w="0" w:type="dxa"/>
          <w:left w:w="0" w:type="dxa"/>
          <w:bottom w:w="0" w:type="dxa"/>
          <w:right w:w="0" w:type="dxa"/>
        </w:tblCellMar>
      </w:tblPr>
      <w:tr>
        <w:trPr>
          <w:trHeight w:val="19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34F82"/>
              </w:rPr>
              <w:t>(Dollars in thousands)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144F82"/>
              </w:rPr>
              <w:t>2025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144F82"/>
              </w:rPr>
              <w:t>2024</w:t>
            </w:r>
          </w:p>
        </w:tc>
      </w:tr>
      <w:tr>
        <w:trPr>
          <w:trHeight w:val="211"/>
        </w:trPr>
        <w:tc>
          <w:tcPr>
            <w:tcW w:w="562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Non-interest expenses:</w:t>
            </w:r>
          </w:p>
        </w:tc>
        <w:tc>
          <w:tcPr>
            <w:tcW w:w="320" w:type="dxa"/>
            <w:vAlign w:val="bottom"/>
            <w:shd w:val="clear" w:color="auto" w:fill="EDEDEE"/>
          </w:tcPr>
          <w:p>
            <w:pPr>
              <w:spacing w:after="0"/>
              <w:rPr>
                <w:sz w:val="18"/>
                <w:szCs w:val="18"/>
                <w:color w:val="auto"/>
              </w:rPr>
            </w:pPr>
          </w:p>
        </w:tc>
        <w:tc>
          <w:tcPr>
            <w:tcW w:w="1120" w:type="dxa"/>
            <w:vAlign w:val="bottom"/>
            <w:shd w:val="clear" w:color="auto" w:fill="EDEDEE"/>
          </w:tcPr>
          <w:p>
            <w:pPr>
              <w:spacing w:after="0"/>
              <w:rPr>
                <w:sz w:val="18"/>
                <w:szCs w:val="18"/>
                <w:color w:val="auto"/>
              </w:rPr>
            </w:pPr>
          </w:p>
        </w:tc>
        <w:tc>
          <w:tcPr>
            <w:tcW w:w="420" w:type="dxa"/>
            <w:vAlign w:val="bottom"/>
            <w:shd w:val="clear" w:color="auto" w:fill="EDEDEE"/>
          </w:tcPr>
          <w:p>
            <w:pPr>
              <w:spacing w:after="0"/>
              <w:rPr>
                <w:sz w:val="18"/>
                <w:szCs w:val="18"/>
                <w:color w:val="auto"/>
              </w:rPr>
            </w:pPr>
          </w:p>
        </w:tc>
        <w:tc>
          <w:tcPr>
            <w:tcW w:w="1060" w:type="dxa"/>
            <w:vAlign w:val="bottom"/>
            <w:shd w:val="clear" w:color="auto" w:fill="EDEDEE"/>
          </w:tcPr>
          <w:p>
            <w:pPr>
              <w:spacing w:after="0"/>
              <w:rPr>
                <w:sz w:val="18"/>
                <w:szCs w:val="18"/>
                <w:color w:val="auto"/>
              </w:rPr>
            </w:pPr>
          </w:p>
        </w:tc>
      </w:tr>
      <w:tr>
        <w:trPr>
          <w:trHeight w:val="215"/>
        </w:trPr>
        <w:tc>
          <w:tcPr>
            <w:tcW w:w="5620" w:type="dxa"/>
            <w:vAlign w:val="bottom"/>
          </w:tcPr>
          <w:p>
            <w:pPr>
              <w:ind w:left="120"/>
              <w:spacing w:after="0"/>
              <w:rPr>
                <w:sz w:val="20"/>
                <w:szCs w:val="20"/>
                <w:color w:val="auto"/>
              </w:rPr>
            </w:pPr>
            <w:r>
              <w:rPr>
                <w:rFonts w:ascii="Arial" w:cs="Arial" w:eastAsia="Arial" w:hAnsi="Arial"/>
                <w:sz w:val="16"/>
                <w:szCs w:val="16"/>
                <w:color w:val="auto"/>
              </w:rPr>
              <w:t>Compensation and benefits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90,830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96,476</w:t>
            </w:r>
          </w:p>
        </w:tc>
      </w:tr>
      <w:tr>
        <w:trPr>
          <w:trHeight w:val="217"/>
        </w:trPr>
        <w:tc>
          <w:tcPr>
            <w:tcW w:w="5620" w:type="dxa"/>
            <w:vAlign w:val="bottom"/>
            <w:shd w:val="clear" w:color="auto" w:fill="EDEDEE"/>
          </w:tcPr>
          <w:p>
            <w:pPr>
              <w:ind w:left="120"/>
              <w:spacing w:after="0"/>
              <w:rPr>
                <w:sz w:val="20"/>
                <w:szCs w:val="20"/>
                <w:color w:val="auto"/>
              </w:rPr>
            </w:pPr>
            <w:r>
              <w:rPr>
                <w:rFonts w:ascii="Arial" w:cs="Arial" w:eastAsia="Arial" w:hAnsi="Arial"/>
                <w:sz w:val="16"/>
                <w:szCs w:val="16"/>
                <w:color w:val="auto"/>
              </w:rPr>
              <w:t>Professional fees</w:t>
            </w:r>
          </w:p>
        </w:tc>
        <w:tc>
          <w:tcPr>
            <w:tcW w:w="32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40"/>
              <w:spacing w:after="0"/>
              <w:rPr>
                <w:sz w:val="20"/>
                <w:szCs w:val="20"/>
                <w:color w:val="auto"/>
              </w:rPr>
            </w:pPr>
            <w:r>
              <w:rPr>
                <w:rFonts w:ascii="Arial" w:cs="Arial" w:eastAsia="Arial" w:hAnsi="Arial"/>
                <w:sz w:val="16"/>
                <w:szCs w:val="16"/>
                <w:color w:val="auto"/>
              </w:rPr>
              <w:t>20,314</w:t>
            </w:r>
          </w:p>
        </w:tc>
        <w:tc>
          <w:tcPr>
            <w:tcW w:w="420" w:type="dxa"/>
            <w:vAlign w:val="bottom"/>
            <w:shd w:val="clear" w:color="auto" w:fill="EDEDEE"/>
          </w:tcPr>
          <w:p>
            <w:pPr>
              <w:spacing w:after="0"/>
              <w:rPr>
                <w:sz w:val="18"/>
                <w:szCs w:val="18"/>
                <w:color w:val="auto"/>
              </w:rPr>
            </w:pPr>
          </w:p>
        </w:tc>
        <w:tc>
          <w:tcPr>
            <w:tcW w:w="10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24,193</w:t>
            </w:r>
          </w:p>
        </w:tc>
      </w:tr>
      <w:tr>
        <w:trPr>
          <w:trHeight w:val="215"/>
        </w:trPr>
        <w:tc>
          <w:tcPr>
            <w:tcW w:w="5620" w:type="dxa"/>
            <w:vAlign w:val="bottom"/>
          </w:tcPr>
          <w:p>
            <w:pPr>
              <w:ind w:left="120"/>
              <w:spacing w:after="0"/>
              <w:rPr>
                <w:sz w:val="20"/>
                <w:szCs w:val="20"/>
                <w:color w:val="auto"/>
              </w:rPr>
            </w:pPr>
            <w:r>
              <w:rPr>
                <w:rFonts w:ascii="Arial" w:cs="Arial" w:eastAsia="Arial" w:hAnsi="Arial"/>
                <w:sz w:val="16"/>
                <w:szCs w:val="16"/>
                <w:color w:val="auto"/>
              </w:rPr>
              <w:t>Technology expenses</w:t>
            </w:r>
          </w:p>
        </w:tc>
        <w:tc>
          <w:tcPr>
            <w:tcW w:w="3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18,341</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14,299</w:t>
            </w:r>
          </w:p>
        </w:tc>
      </w:tr>
      <w:tr>
        <w:trPr>
          <w:trHeight w:val="217"/>
        </w:trPr>
        <w:tc>
          <w:tcPr>
            <w:tcW w:w="5620" w:type="dxa"/>
            <w:vAlign w:val="bottom"/>
            <w:shd w:val="clear" w:color="auto" w:fill="EDEDEE"/>
          </w:tcPr>
          <w:p>
            <w:pPr>
              <w:ind w:left="120"/>
              <w:spacing w:after="0"/>
              <w:rPr>
                <w:sz w:val="20"/>
                <w:szCs w:val="20"/>
                <w:color w:val="auto"/>
              </w:rPr>
            </w:pPr>
            <w:r>
              <w:rPr>
                <w:rFonts w:ascii="Arial" w:cs="Arial" w:eastAsia="Arial" w:hAnsi="Arial"/>
                <w:sz w:val="16"/>
                <w:szCs w:val="16"/>
                <w:color w:val="auto"/>
              </w:rPr>
              <w:t>FDIC assessment fees</w:t>
            </w:r>
          </w:p>
        </w:tc>
        <w:tc>
          <w:tcPr>
            <w:tcW w:w="32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40"/>
              <w:spacing w:after="0"/>
              <w:rPr>
                <w:sz w:val="20"/>
                <w:szCs w:val="20"/>
                <w:color w:val="auto"/>
              </w:rPr>
            </w:pPr>
            <w:r>
              <w:rPr>
                <w:rFonts w:ascii="Arial" w:cs="Arial" w:eastAsia="Arial" w:hAnsi="Arial"/>
                <w:sz w:val="16"/>
                <w:szCs w:val="16"/>
                <w:color w:val="auto"/>
              </w:rPr>
              <w:t>12,403</w:t>
            </w:r>
          </w:p>
        </w:tc>
        <w:tc>
          <w:tcPr>
            <w:tcW w:w="420" w:type="dxa"/>
            <w:vAlign w:val="bottom"/>
            <w:shd w:val="clear" w:color="auto" w:fill="EDEDEE"/>
          </w:tcPr>
          <w:p>
            <w:pPr>
              <w:spacing w:after="0"/>
              <w:rPr>
                <w:sz w:val="18"/>
                <w:szCs w:val="18"/>
                <w:color w:val="auto"/>
              </w:rPr>
            </w:pPr>
          </w:p>
        </w:tc>
        <w:tc>
          <w:tcPr>
            <w:tcW w:w="10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13,312</w:t>
            </w:r>
          </w:p>
        </w:tc>
      </w:tr>
      <w:tr>
        <w:trPr>
          <w:trHeight w:val="215"/>
        </w:trPr>
        <w:tc>
          <w:tcPr>
            <w:tcW w:w="5620" w:type="dxa"/>
            <w:vAlign w:val="bottom"/>
            <w:tcBorders>
              <w:bottom w:val="single" w:sz="8" w:color="EDEDEE"/>
            </w:tcBorders>
          </w:tcPr>
          <w:p>
            <w:pPr>
              <w:ind w:left="120"/>
              <w:spacing w:after="0"/>
              <w:rPr>
                <w:sz w:val="20"/>
                <w:szCs w:val="20"/>
                <w:color w:val="auto"/>
              </w:rPr>
            </w:pPr>
            <w:r>
              <w:rPr>
                <w:rFonts w:ascii="Arial" w:cs="Arial" w:eastAsia="Arial" w:hAnsi="Arial"/>
                <w:sz w:val="16"/>
                <w:szCs w:val="16"/>
                <w:color w:val="auto"/>
              </w:rPr>
              <w:t>Other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11,700</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12,153</w:t>
            </w:r>
          </w:p>
        </w:tc>
      </w:tr>
      <w:tr>
        <w:trPr>
          <w:trHeight w:val="210"/>
        </w:trPr>
        <w:tc>
          <w:tcPr>
            <w:tcW w:w="5620" w:type="dxa"/>
            <w:vAlign w:val="bottom"/>
            <w:shd w:val="clear" w:color="auto" w:fill="EDEDEE"/>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40"/>
              <w:spacing w:after="0"/>
              <w:rPr>
                <w:sz w:val="20"/>
                <w:szCs w:val="20"/>
                <w:color w:val="auto"/>
              </w:rPr>
            </w:pPr>
            <w:r>
              <w:rPr>
                <w:rFonts w:ascii="Arial" w:cs="Arial" w:eastAsia="Arial" w:hAnsi="Arial"/>
                <w:sz w:val="16"/>
                <w:szCs w:val="16"/>
                <w:color w:val="auto"/>
              </w:rPr>
              <w:t>153,588</w:t>
            </w:r>
          </w:p>
        </w:tc>
        <w:tc>
          <w:tcPr>
            <w:tcW w:w="420" w:type="dxa"/>
            <w:vAlign w:val="bottom"/>
            <w:shd w:val="clear" w:color="auto" w:fill="EDEDEE"/>
          </w:tcPr>
          <w:p>
            <w:pPr>
              <w:spacing w:after="0"/>
              <w:rPr>
                <w:sz w:val="18"/>
                <w:szCs w:val="18"/>
                <w:color w:val="auto"/>
              </w:rPr>
            </w:pPr>
          </w:p>
        </w:tc>
        <w:tc>
          <w:tcPr>
            <w:tcW w:w="10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160,433</w:t>
            </w:r>
          </w:p>
        </w:tc>
      </w:tr>
      <w:tr>
        <w:trPr>
          <w:trHeight w:val="215"/>
        </w:trPr>
        <w:tc>
          <w:tcPr>
            <w:tcW w:w="562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Acquired intangible assets impairment and amortization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1,021</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w:t>
            </w:r>
          </w:p>
        </w:tc>
      </w:tr>
      <w:tr>
        <w:trPr>
          <w:trHeight w:val="235"/>
        </w:trPr>
        <w:tc>
          <w:tcPr>
            <w:tcW w:w="56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 non-interest expenses</w:t>
            </w:r>
          </w:p>
        </w:tc>
        <w:tc>
          <w:tcPr>
            <w:tcW w:w="320" w:type="dxa"/>
            <w:vAlign w:val="bottom"/>
            <w:tcBorders>
              <w:bottom w:val="single" w:sz="8" w:color="auto"/>
            </w:tcBorders>
            <w:shd w:val="clear" w:color="auto" w:fill="EDEDEE"/>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154,609</w:t>
            </w:r>
          </w:p>
        </w:tc>
        <w:tc>
          <w:tcPr>
            <w:tcW w:w="420" w:type="dxa"/>
            <w:vAlign w:val="bottom"/>
            <w:tcBorders>
              <w:bottom w:val="single" w:sz="8" w:color="auto"/>
            </w:tcBorders>
            <w:shd w:val="clear" w:color="auto" w:fill="EDEDEE"/>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161,648</w:t>
            </w:r>
          </w:p>
        </w:tc>
      </w:tr>
      <w:tr>
        <w:trPr>
          <w:trHeight w:val="20"/>
        </w:trPr>
        <w:tc>
          <w:tcPr>
            <w:tcW w:w="5620" w:type="dxa"/>
            <w:vAlign w:val="bottom"/>
            <w:tcBorders>
              <w:top w:val="single" w:sz="8" w:color="EDEDEE"/>
            </w:tcBorders>
          </w:tcPr>
          <w:p>
            <w:pPr>
              <w:spacing w:after="0" w:line="20" w:lineRule="exact"/>
              <w:rPr>
                <w:sz w:val="1"/>
                <w:szCs w:val="1"/>
                <w:color w:val="auto"/>
              </w:rPr>
            </w:pPr>
          </w:p>
        </w:tc>
        <w:tc>
          <w:tcPr>
            <w:tcW w:w="320" w:type="dxa"/>
            <w:vAlign w:val="bottom"/>
            <w:tcBorders>
              <w:top w:val="single" w:sz="8" w:color="EDEDEE"/>
              <w:bottom w:val="single" w:sz="8" w:color="auto"/>
            </w:tcBorders>
          </w:tcPr>
          <w:p>
            <w:pPr>
              <w:spacing w:after="0" w:line="20" w:lineRule="exact"/>
              <w:rPr>
                <w:sz w:val="1"/>
                <w:szCs w:val="1"/>
                <w:color w:val="auto"/>
              </w:rPr>
            </w:pPr>
          </w:p>
        </w:tc>
        <w:tc>
          <w:tcPr>
            <w:tcW w:w="1120" w:type="dxa"/>
            <w:vAlign w:val="bottom"/>
            <w:tcBorders>
              <w:top w:val="single" w:sz="8" w:color="EDEDEE"/>
              <w:bottom w:val="single" w:sz="8" w:color="auto"/>
            </w:tcBorders>
          </w:tcPr>
          <w:p>
            <w:pPr>
              <w:spacing w:after="0" w:line="20" w:lineRule="exact"/>
              <w:rPr>
                <w:sz w:val="1"/>
                <w:szCs w:val="1"/>
                <w:color w:val="auto"/>
              </w:rPr>
            </w:pPr>
          </w:p>
        </w:tc>
        <w:tc>
          <w:tcPr>
            <w:tcW w:w="420" w:type="dxa"/>
            <w:vAlign w:val="bottom"/>
            <w:tcBorders>
              <w:top w:val="single" w:sz="8" w:color="EDEDEE"/>
              <w:bottom w:val="single" w:sz="8" w:color="auto"/>
            </w:tcBorders>
          </w:tcPr>
          <w:p>
            <w:pPr>
              <w:spacing w:after="0" w:line="20" w:lineRule="exact"/>
              <w:rPr>
                <w:sz w:val="1"/>
                <w:szCs w:val="1"/>
                <w:color w:val="auto"/>
              </w:rPr>
            </w:pPr>
          </w:p>
        </w:tc>
        <w:tc>
          <w:tcPr>
            <w:tcW w:w="1060" w:type="dxa"/>
            <w:vAlign w:val="bottom"/>
            <w:tcBorders>
              <w:top w:val="single" w:sz="8" w:color="EDEDEE"/>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134F82"/>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49" w:right="439" w:bottom="1440" w:gutter="0" w:footer="0" w:header="0"/>
        </w:sectPr>
      </w:pPr>
    </w:p>
    <w:bookmarkStart w:id="48" w:name="page49"/>
    <w:bookmarkEnd w:id="48"/>
    <w:p>
      <w:pPr>
        <w:spacing w:after="0"/>
        <w:tabs>
          <w:tab w:leader="none" w:pos="800" w:val="left"/>
        </w:tabs>
        <w:rPr>
          <w:sz w:val="20"/>
          <w:szCs w:val="20"/>
          <w:color w:val="auto"/>
        </w:rPr>
      </w:pPr>
      <w:r>
        <w:rPr>
          <w:rFonts w:ascii="Arial" w:cs="Arial" w:eastAsia="Arial" w:hAnsi="Arial"/>
          <w:sz w:val="18"/>
          <w:szCs w:val="18"/>
          <w:b w:val="1"/>
          <w:bCs w:val="1"/>
          <w:color w:val="144F82"/>
        </w:rPr>
        <w:t>Item 2.</w:t>
      </w:r>
      <w:r>
        <w:rPr>
          <w:sz w:val="20"/>
          <w:szCs w:val="20"/>
          <w:color w:val="auto"/>
        </w:rPr>
        <w:tab/>
      </w:r>
      <w:r>
        <w:rPr>
          <w:rFonts w:ascii="Arial" w:cs="Arial" w:eastAsia="Arial" w:hAnsi="Arial"/>
          <w:sz w:val="17"/>
          <w:szCs w:val="17"/>
          <w:b w:val="1"/>
          <w:bCs w:val="1"/>
          <w:color w:val="144F82"/>
        </w:rPr>
        <w:t>Management’s Discussion and Analysis of Financial Condition and Results of Operations</w:t>
      </w:r>
    </w:p>
    <w:p>
      <w:pPr>
        <w:spacing w:after="0" w:line="200" w:lineRule="exact"/>
        <w:rPr>
          <w:sz w:val="20"/>
          <w:szCs w:val="20"/>
          <w:color w:val="auto"/>
        </w:rPr>
      </w:pPr>
    </w:p>
    <w:p>
      <w:pPr>
        <w:spacing w:after="0" w:line="214"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Through this discussion and analysis, we intend to provide the reader with some narrative context for how our management views our consolidated financial statements, additional context within which to assess our operating results, and information on the quality and variability of our earnings, liquidity, and cash flows.</w:t>
      </w:r>
    </w:p>
    <w:p>
      <w:pPr>
        <w:spacing w:after="0" w:line="27"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The following information should be read in connection with SLM Corporation’s Annual Report on Form 10-K for the year ended December 31, 2024 (filed with the Securities and Exchange Commission (the “SEC”) on February 20, 2025) (the “2024 Form 10-K”), and subsequent reports filed with the SEC. Definitions for capitalized terms used in this report not defined herein can be found in the 2024 Form 10-K.</w:t>
      </w:r>
    </w:p>
    <w:p>
      <w:pPr>
        <w:spacing w:after="0" w:line="35" w:lineRule="exact"/>
        <w:rPr>
          <w:sz w:val="20"/>
          <w:szCs w:val="20"/>
          <w:color w:val="auto"/>
        </w:rPr>
      </w:pPr>
    </w:p>
    <w:p>
      <w:pPr>
        <w:ind w:right="1040" w:firstLine="445"/>
        <w:spacing w:after="0" w:line="287" w:lineRule="auto"/>
        <w:rPr>
          <w:sz w:val="20"/>
          <w:szCs w:val="20"/>
          <w:color w:val="auto"/>
        </w:rPr>
      </w:pPr>
      <w:r>
        <w:rPr>
          <w:rFonts w:ascii="Arial" w:cs="Arial" w:eastAsia="Arial" w:hAnsi="Arial"/>
          <w:sz w:val="18"/>
          <w:szCs w:val="18"/>
          <w:color w:val="auto"/>
        </w:rPr>
        <w:t>References in this Form 10-Q to “we,” “us,” “our,” “Sallie Mae,” “SLM,” and the “Company” refer to SLM Corporation and its subsidiaries, except as otherwise indicated or unless the context otherwise requires.</w:t>
      </w:r>
    </w:p>
    <w:p>
      <w:pPr>
        <w:spacing w:after="0" w:line="4" w:lineRule="exact"/>
        <w:rPr>
          <w:sz w:val="20"/>
          <w:szCs w:val="20"/>
          <w:color w:val="auto"/>
        </w:rPr>
      </w:pPr>
    </w:p>
    <w:p>
      <w:pPr>
        <w:ind w:firstLine="445"/>
        <w:spacing w:after="0" w:line="245" w:lineRule="auto"/>
        <w:rPr>
          <w:sz w:val="20"/>
          <w:szCs w:val="20"/>
          <w:color w:val="auto"/>
        </w:rPr>
      </w:pPr>
      <w:r>
        <w:rPr>
          <w:rFonts w:ascii="Arial" w:cs="Arial" w:eastAsia="Arial" w:hAnsi="Arial"/>
          <w:sz w:val="18"/>
          <w:szCs w:val="18"/>
          <w:color w:val="auto"/>
        </w:rPr>
        <w:t>This report contains “forward-looking statements” and information based on management’s current expectations as of the date of this report. Statements that are not historical facts, including statements about the Company’s beliefs, opinions, or expectations and statements that assume or are dependent upon future events, are forward-looking statements. These include, but are not limited to: strategies; goals and assumptions of the Company; the Company’s expectation and ability to execute loan sales and share repurchases; the Company’s expectation and ability to pay a quarterly cash dividend on our common stock in the future, subject to the approval of our Board of Directors; the Company’s 2025 guidance; the Company’s three-year horizon outlook; the impact of acquisitions the Company has made or may make in the future; the Company’s projections regarding originations, net charge-offs, non-interest expenses, earnings, balance sheet position, and other metrics; any estimates related to accounting standard changes; and any estimates related to the impact of credit administration practices changes, including the results of simulations or other behavioral observations.</w:t>
      </w:r>
    </w:p>
    <w:p>
      <w:pPr>
        <w:spacing w:after="0" w:line="42" w:lineRule="exact"/>
        <w:rPr>
          <w:sz w:val="20"/>
          <w:szCs w:val="20"/>
          <w:color w:val="auto"/>
        </w:rPr>
      </w:pPr>
    </w:p>
    <w:p>
      <w:pPr>
        <w:ind w:firstLine="445"/>
        <w:spacing w:after="0"/>
        <w:rPr>
          <w:sz w:val="20"/>
          <w:szCs w:val="20"/>
          <w:color w:val="auto"/>
        </w:rPr>
      </w:pPr>
      <w:r>
        <w:rPr>
          <w:rFonts w:ascii="Arial" w:cs="Arial" w:eastAsia="Arial" w:hAnsi="Arial"/>
          <w:sz w:val="18"/>
          <w:szCs w:val="18"/>
          <w:color w:val="auto"/>
        </w:rPr>
        <w:t>Forward-looking statements are subject to risks, uncertainties, assumptions, and other factors, many of which are difficult to predict and generally beyond the control of the Company, which may cause actual results to be materially different from those reflected in such forward-looking statements. There can be no assurance that future developments affecting the Company will be the same as those anticipated by management. The Company cautions readers that a number of important factors could cause actual results to differ materially from those expressed in, or implied or projected by, such forward-looking statements. These factors include, among others, the risks and uncertainties set forth in Item 1A. “Risk Factors” and elsewhere in the Company’s most recently filed Annual Report on Form 10-K and subsequent filings with the SEC; increases in financing costs; limits on liquidity; increases in costs associated with compliance with laws and regulations; failure to comply with consumer protection, banking, and other laws or regulations; changes in laws, regulations, and supervisory expectations, especially in light of the goals of the new Trump administration; our ability to timely develop new products and services and the acceptance of those products and services by potential and existing customers; changes in accounting standards and the impact of related changes in significant accounting estimates, including any regarding the measurement of our allowance for credit losses and the related provision expense; any adverse outcomes in any significant litigation to which the Company is a party; credit risk associated with the Company’s exposure to third parties, including counterparties to the Company’s derivative transactions; the effectiveness of our risk management framework and quantitative models; and changes in the terms of education loans and the educational credit marketplace (including changes resulting from new laws and the implementation of existing laws). We could also be affected by, among other things: changes in our funding costs and availability; reductions to our credit ratings; cybersecurity incidents, cyberattacks, and other failures or breaches of our operating systems or infrastructure, including those of third-party vendors; the societal, business, and legislative/regulatory impact of pandemics, other public health crises, and/or natural disasters; damage to our reputation; risks associated with restructuring initiatives, including failures to successfully implement cost-cutting programs and the adverse effects of such initiatives on our business; changes in the demand for educational financing or in financing preferences of lenders, educational institutions, students, and their families, including changes as a result of new limits on, or reductions in, funding that certain educational institutions receive from the Federal government; changes in law and regulations with respect to the student lending business and financial institutions generally; changes in banking rules and regulations, including increased capital requirements; increased competition from banks and other consumer lenders; the creditworthiness of our customers, or any change related thereto; changes in the general interest rate environment, including the rate relationships among relevant money-market instruments and those of our earning assets versus our funding arrangements; rates of prepayments on the loans owned by us; changes in general economic conditions, including as a result of the impact of tariffs or trade wars or other current initiatives of the Federal government, that may impact the demand for student loans and the risk of default of outstanding loans; our ability to successfully effectuate any acquisitions; and other strategic initiatives. The preparation of our consolidated financial statements also requires management to make certain estimates and assumptions, including estimates and assumptions about future events. These estimates or assumptions may prove to be incorrect.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44F82"/>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9" w:name="page50"/>
    <w:bookmarkEnd w:id="49"/>
    <w:p>
      <w:pPr>
        <w:ind w:right="520" w:firstLine="445"/>
        <w:spacing w:after="0" w:line="247" w:lineRule="auto"/>
        <w:rPr>
          <w:sz w:val="20"/>
          <w:szCs w:val="20"/>
          <w:color w:val="auto"/>
        </w:rPr>
      </w:pPr>
      <w:r>
        <w:rPr>
          <w:rFonts w:ascii="Arial" w:cs="Arial" w:eastAsia="Arial" w:hAnsi="Arial"/>
          <w:sz w:val="18"/>
          <w:szCs w:val="18"/>
          <w:color w:val="auto"/>
        </w:rPr>
        <w:t>All forward-looking statements contained in this Form 10-Q are expressly qualified in their entirety by the factors, risks, and uncertainties set forth in the foregoing cautionary statements, and are made only as of the date of this report. We do not undertake any obligation to update or revise any forward-looking statements to conform to actual results or changes in our expectations, nor to reflect events or circumstances that occur after the date on which such statements were made. In light of these risks, uncertainties, and assumptions, you should not put undue reliance on any forward-looking statements discussed.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 and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77470</wp:posOffset>
            </wp:positionV>
            <wp:extent cx="51174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17465" cy="8890"/>
                    </a:xfrm>
                    <a:prstGeom prst="rect">
                      <a:avLst/>
                    </a:prstGeom>
                    <a:noFill/>
                  </pic:spPr>
                </pic:pic>
              </a:graphicData>
            </a:graphic>
          </wp:anchor>
        </w:drawing>
      </w:r>
    </w:p>
    <w:p>
      <w:pPr>
        <w:spacing w:after="0" w:line="1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144F82"/>
              </w:rPr>
              <w:t>Three Months Ended</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144F82"/>
              </w:rPr>
              <w:t>March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880" w:type="dxa"/>
            <w:vAlign w:val="bottom"/>
          </w:tcPr>
          <w:p>
            <w:pPr>
              <w:ind w:left="20"/>
              <w:spacing w:after="0" w:line="155" w:lineRule="exact"/>
              <w:rPr>
                <w:sz w:val="20"/>
                <w:szCs w:val="20"/>
                <w:color w:val="auto"/>
              </w:rPr>
            </w:pPr>
            <w:r>
              <w:rPr>
                <w:rFonts w:ascii="Arial" w:cs="Arial" w:eastAsia="Arial" w:hAnsi="Arial"/>
                <w:sz w:val="14"/>
                <w:szCs w:val="14"/>
                <w:b w:val="1"/>
                <w:bCs w:val="1"/>
                <w:color w:val="144F82"/>
              </w:rPr>
              <w:t>(In thousands,</w:t>
            </w:r>
          </w:p>
        </w:tc>
        <w:tc>
          <w:tcPr>
            <w:tcW w:w="300" w:type="dxa"/>
            <w:vAlign w:val="bottom"/>
          </w:tcPr>
          <w:p>
            <w:pPr>
              <w:spacing w:after="0"/>
              <w:rPr>
                <w:sz w:val="13"/>
                <w:szCs w:val="13"/>
                <w:color w:val="auto"/>
              </w:rPr>
            </w:pPr>
          </w:p>
        </w:tc>
        <w:tc>
          <w:tcPr>
            <w:tcW w:w="1280" w:type="dxa"/>
            <w:vAlign w:val="bottom"/>
            <w:vMerge w:val="restart"/>
          </w:tcPr>
          <w:p>
            <w:pPr>
              <w:jc w:val="right"/>
              <w:ind w:right="581"/>
              <w:spacing w:after="0"/>
              <w:rPr>
                <w:sz w:val="20"/>
                <w:szCs w:val="20"/>
                <w:color w:val="auto"/>
              </w:rPr>
            </w:pPr>
            <w:r>
              <w:rPr>
                <w:rFonts w:ascii="Arial" w:cs="Arial" w:eastAsia="Arial" w:hAnsi="Arial"/>
                <w:sz w:val="14"/>
                <w:szCs w:val="14"/>
                <w:b w:val="1"/>
                <w:bCs w:val="1"/>
                <w:color w:val="144F82"/>
              </w:rPr>
              <w:t>2025</w:t>
            </w:r>
          </w:p>
        </w:tc>
        <w:tc>
          <w:tcPr>
            <w:tcW w:w="460" w:type="dxa"/>
            <w:vAlign w:val="bottom"/>
          </w:tcPr>
          <w:p>
            <w:pPr>
              <w:spacing w:after="0"/>
              <w:rPr>
                <w:sz w:val="13"/>
                <w:szCs w:val="13"/>
                <w:color w:val="auto"/>
              </w:rPr>
            </w:pPr>
          </w:p>
        </w:tc>
        <w:tc>
          <w:tcPr>
            <w:tcW w:w="114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144F82"/>
              </w:rPr>
              <w:t>2024</w:t>
            </w:r>
          </w:p>
        </w:tc>
        <w:tc>
          <w:tcPr>
            <w:tcW w:w="0" w:type="dxa"/>
            <w:vAlign w:val="bottom"/>
          </w:tcPr>
          <w:p>
            <w:pPr>
              <w:spacing w:after="0"/>
              <w:rPr>
                <w:sz w:val="1"/>
                <w:szCs w:val="1"/>
                <w:color w:val="auto"/>
              </w:rPr>
            </w:pPr>
          </w:p>
        </w:tc>
      </w:tr>
      <w:tr>
        <w:trPr>
          <w:trHeight w:val="18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except per share data and percentages)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Net income attributable to SLM Corporation common stock</w:t>
            </w:r>
          </w:p>
        </w:tc>
        <w:tc>
          <w:tcPr>
            <w:tcW w:w="30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jc w:val="right"/>
              <w:ind w:right="181"/>
              <w:spacing w:after="0"/>
              <w:rPr>
                <w:sz w:val="20"/>
                <w:szCs w:val="20"/>
                <w:color w:val="auto"/>
              </w:rPr>
            </w:pPr>
            <w:r>
              <w:rPr>
                <w:rFonts w:ascii="Arial" w:cs="Arial" w:eastAsia="Arial" w:hAnsi="Arial"/>
                <w:sz w:val="16"/>
                <w:szCs w:val="16"/>
                <w:color w:val="auto"/>
              </w:rPr>
              <w:t>300,584</w:t>
            </w:r>
          </w:p>
        </w:tc>
        <w:tc>
          <w:tcPr>
            <w:tcW w:w="460" w:type="dxa"/>
            <w:vAlign w:val="bottom"/>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DEDEE"/>
          </w:tcPr>
          <w:p>
            <w:pPr>
              <w:jc w:val="right"/>
              <w:ind w:right="140"/>
              <w:spacing w:after="0"/>
              <w:rPr>
                <w:sz w:val="20"/>
                <w:szCs w:val="20"/>
                <w:color w:val="auto"/>
              </w:rPr>
            </w:pPr>
            <w:r>
              <w:rPr>
                <w:rFonts w:ascii="Arial" w:cs="Arial" w:eastAsia="Arial" w:hAnsi="Arial"/>
                <w:sz w:val="16"/>
                <w:szCs w:val="16"/>
                <w:color w:val="auto"/>
              </w:rPr>
              <w:t>285,278</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1.40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63"/>
        </w:trPr>
        <w:tc>
          <w:tcPr>
            <w:tcW w:w="488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Weighted average shares used to compute diluted earnings per</w:t>
            </w:r>
          </w:p>
        </w:tc>
        <w:tc>
          <w:tcPr>
            <w:tcW w:w="300" w:type="dxa"/>
            <w:vAlign w:val="bottom"/>
            <w:shd w:val="clear" w:color="auto" w:fill="EDEDEE"/>
          </w:tcPr>
          <w:p>
            <w:pPr>
              <w:spacing w:after="0"/>
              <w:rPr>
                <w:sz w:val="14"/>
                <w:szCs w:val="14"/>
                <w:color w:val="auto"/>
              </w:rPr>
            </w:pPr>
          </w:p>
        </w:tc>
        <w:tc>
          <w:tcPr>
            <w:tcW w:w="1280" w:type="dxa"/>
            <w:vAlign w:val="bottom"/>
            <w:vMerge w:val="restart"/>
            <w:shd w:val="clear" w:color="auto" w:fill="EDEDEE"/>
          </w:tcPr>
          <w:p>
            <w:pPr>
              <w:jc w:val="right"/>
              <w:ind w:right="181"/>
              <w:spacing w:after="0"/>
              <w:rPr>
                <w:sz w:val="20"/>
                <w:szCs w:val="20"/>
                <w:color w:val="auto"/>
              </w:rPr>
            </w:pPr>
            <w:r>
              <w:rPr>
                <w:rFonts w:ascii="Arial" w:cs="Arial" w:eastAsia="Arial" w:hAnsi="Arial"/>
                <w:sz w:val="16"/>
                <w:szCs w:val="16"/>
                <w:color w:val="auto"/>
              </w:rPr>
              <w:t>214,986</w:t>
            </w:r>
          </w:p>
        </w:tc>
        <w:tc>
          <w:tcPr>
            <w:tcW w:w="460" w:type="dxa"/>
            <w:vAlign w:val="bottom"/>
            <w:shd w:val="clear" w:color="auto" w:fill="EDEDEE"/>
          </w:tcPr>
          <w:p>
            <w:pPr>
              <w:spacing w:after="0"/>
              <w:rPr>
                <w:sz w:val="14"/>
                <w:szCs w:val="14"/>
                <w:color w:val="auto"/>
              </w:rPr>
            </w:pPr>
          </w:p>
        </w:tc>
        <w:tc>
          <w:tcPr>
            <w:tcW w:w="1140" w:type="dxa"/>
            <w:vAlign w:val="bottom"/>
            <w:vMerge w:val="restart"/>
            <w:shd w:val="clear" w:color="auto" w:fill="EDEDEE"/>
          </w:tcPr>
          <w:p>
            <w:pPr>
              <w:jc w:val="right"/>
              <w:ind w:right="140"/>
              <w:spacing w:after="0"/>
              <w:rPr>
                <w:sz w:val="20"/>
                <w:szCs w:val="20"/>
                <w:color w:val="auto"/>
              </w:rPr>
            </w:pPr>
            <w:r>
              <w:rPr>
                <w:rFonts w:ascii="Arial" w:cs="Arial" w:eastAsia="Arial" w:hAnsi="Arial"/>
                <w:sz w:val="16"/>
                <w:szCs w:val="16"/>
                <w:color w:val="auto"/>
              </w:rPr>
              <w:t>223,845</w:t>
            </w:r>
          </w:p>
        </w:tc>
        <w:tc>
          <w:tcPr>
            <w:tcW w:w="0" w:type="dxa"/>
            <w:vAlign w:val="bottom"/>
          </w:tcPr>
          <w:p>
            <w:pPr>
              <w:spacing w:after="0"/>
              <w:rPr>
                <w:sz w:val="1"/>
                <w:szCs w:val="1"/>
                <w:color w:val="auto"/>
              </w:rPr>
            </w:pPr>
          </w:p>
        </w:tc>
      </w:tr>
      <w:tr>
        <w:trPr>
          <w:trHeight w:val="216"/>
        </w:trPr>
        <w:tc>
          <w:tcPr>
            <w:tcW w:w="4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common share</w:t>
            </w:r>
          </w:p>
        </w:tc>
        <w:tc>
          <w:tcPr>
            <w:tcW w:w="300" w:type="dxa"/>
            <w:vAlign w:val="bottom"/>
            <w:shd w:val="clear" w:color="auto" w:fill="EDEDEE"/>
          </w:tcPr>
          <w:p>
            <w:pPr>
              <w:spacing w:after="0"/>
              <w:rPr>
                <w:sz w:val="18"/>
                <w:szCs w:val="18"/>
                <w:color w:val="auto"/>
              </w:rPr>
            </w:pPr>
          </w:p>
        </w:tc>
        <w:tc>
          <w:tcPr>
            <w:tcW w:w="1280" w:type="dxa"/>
            <w:vAlign w:val="bottom"/>
            <w:vMerge w:val="continue"/>
            <w:shd w:val="clear" w:color="auto" w:fill="EDEDEE"/>
          </w:tcPr>
          <w:p>
            <w:pPr>
              <w:spacing w:after="0"/>
              <w:rPr>
                <w:sz w:val="18"/>
                <w:szCs w:val="18"/>
                <w:color w:val="auto"/>
              </w:rPr>
            </w:pPr>
          </w:p>
        </w:tc>
        <w:tc>
          <w:tcPr>
            <w:tcW w:w="460" w:type="dxa"/>
            <w:vAlign w:val="bottom"/>
            <w:shd w:val="clear" w:color="auto" w:fill="EDEDEE"/>
          </w:tcPr>
          <w:p>
            <w:pPr>
              <w:spacing w:after="0"/>
              <w:rPr>
                <w:sz w:val="18"/>
                <w:szCs w:val="18"/>
                <w:color w:val="auto"/>
              </w:rPr>
            </w:pPr>
          </w:p>
        </w:tc>
        <w:tc>
          <w:tcPr>
            <w:tcW w:w="114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line="216" w:lineRule="exact"/>
              <w:rPr>
                <w:sz w:val="20"/>
                <w:szCs w:val="20"/>
                <w:color w:val="auto"/>
              </w:rPr>
            </w:pPr>
            <w:r>
              <w:rPr>
                <w:rFonts w:ascii="Arial" w:cs="Arial" w:eastAsia="Arial" w:hAnsi="Arial"/>
                <w:sz w:val="16"/>
                <w:szCs w:val="16"/>
                <w:color w:val="auto"/>
              </w:rPr>
              <w:t>Return on Assets</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4.2 %</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162"/>
        </w:trPr>
        <w:tc>
          <w:tcPr>
            <w:tcW w:w="4880" w:type="dxa"/>
            <w:vAlign w:val="bottom"/>
            <w:shd w:val="clear" w:color="auto" w:fill="EDEDEE"/>
          </w:tcPr>
          <w:p>
            <w:pPr>
              <w:spacing w:after="0"/>
              <w:rPr>
                <w:sz w:val="14"/>
                <w:szCs w:val="14"/>
                <w:color w:val="auto"/>
              </w:rPr>
            </w:pPr>
          </w:p>
        </w:tc>
        <w:tc>
          <w:tcPr>
            <w:tcW w:w="300" w:type="dxa"/>
            <w:vAlign w:val="bottom"/>
            <w:shd w:val="clear" w:color="auto" w:fill="EDEDEE"/>
          </w:tcPr>
          <w:p>
            <w:pPr>
              <w:spacing w:after="0"/>
              <w:rPr>
                <w:sz w:val="14"/>
                <w:szCs w:val="14"/>
                <w:color w:val="auto"/>
              </w:rPr>
            </w:pPr>
          </w:p>
        </w:tc>
        <w:tc>
          <w:tcPr>
            <w:tcW w:w="1280" w:type="dxa"/>
            <w:vAlign w:val="bottom"/>
            <w:shd w:val="clear" w:color="auto" w:fill="EDEDEE"/>
          </w:tcPr>
          <w:p>
            <w:pPr>
              <w:spacing w:after="0"/>
              <w:rPr>
                <w:sz w:val="14"/>
                <w:szCs w:val="14"/>
                <w:color w:val="auto"/>
              </w:rPr>
            </w:pPr>
          </w:p>
        </w:tc>
        <w:tc>
          <w:tcPr>
            <w:tcW w:w="460" w:type="dxa"/>
            <w:vAlign w:val="bottom"/>
            <w:shd w:val="clear" w:color="auto" w:fill="EDEDEE"/>
          </w:tcPr>
          <w:p>
            <w:pPr>
              <w:spacing w:after="0"/>
              <w:rPr>
                <w:sz w:val="14"/>
                <w:szCs w:val="14"/>
                <w:color w:val="auto"/>
              </w:rPr>
            </w:pPr>
          </w:p>
        </w:tc>
        <w:tc>
          <w:tcPr>
            <w:tcW w:w="114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6"/>
                <w:szCs w:val="16"/>
                <w:b w:val="1"/>
                <w:bCs w:val="1"/>
                <w:color w:val="144F82"/>
              </w:rPr>
              <w:t>Other Operating Statistics (Held for Investment)</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Ending Private Education Loans, net</w:t>
            </w:r>
          </w:p>
        </w:tc>
        <w:tc>
          <w:tcPr>
            <w:tcW w:w="30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jc w:val="right"/>
              <w:ind w:right="181"/>
              <w:spacing w:after="0"/>
              <w:rPr>
                <w:sz w:val="20"/>
                <w:szCs w:val="20"/>
                <w:color w:val="auto"/>
              </w:rPr>
            </w:pPr>
            <w:r>
              <w:rPr>
                <w:rFonts w:ascii="Arial" w:cs="Arial" w:eastAsia="Arial" w:hAnsi="Arial"/>
                <w:sz w:val="16"/>
                <w:szCs w:val="16"/>
                <w:color w:val="auto"/>
              </w:rPr>
              <w:t>21,091,204</w:t>
            </w:r>
          </w:p>
        </w:tc>
        <w:tc>
          <w:tcPr>
            <w:tcW w:w="460" w:type="dxa"/>
            <w:vAlign w:val="bottom"/>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DEDEE"/>
          </w:tcPr>
          <w:p>
            <w:pPr>
              <w:jc w:val="right"/>
              <w:ind w:right="140"/>
              <w:spacing w:after="0"/>
              <w:rPr>
                <w:sz w:val="20"/>
                <w:szCs w:val="20"/>
                <w:color w:val="auto"/>
              </w:rPr>
            </w:pPr>
            <w:r>
              <w:rPr>
                <w:rFonts w:ascii="Arial" w:cs="Arial" w:eastAsia="Arial" w:hAnsi="Arial"/>
                <w:sz w:val="16"/>
                <w:szCs w:val="16"/>
                <w:color w:val="auto"/>
              </w:rPr>
              <w:t>19,687,783</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EDEDEE"/>
            </w:tcBorders>
          </w:tcPr>
          <w:p>
            <w:pPr>
              <w:ind w:left="20"/>
              <w:spacing w:after="0" w:line="216" w:lineRule="exact"/>
              <w:rPr>
                <w:sz w:val="20"/>
                <w:szCs w:val="20"/>
                <w:color w:val="auto"/>
              </w:rPr>
            </w:pPr>
            <w:r>
              <w:rPr>
                <w:rFonts w:ascii="Arial" w:cs="Arial" w:eastAsia="Arial" w:hAnsi="Arial"/>
                <w:sz w:val="16"/>
                <w:szCs w:val="16"/>
                <w:color w:val="auto"/>
              </w:rPr>
              <w:t>Ending FFELP Loans, net</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513,006</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Ending total education loans, net</w:t>
            </w:r>
          </w:p>
        </w:tc>
        <w:tc>
          <w:tcPr>
            <w:tcW w:w="300" w:type="dxa"/>
            <w:vAlign w:val="bottom"/>
            <w:tcBorders>
              <w:bottom w:val="single" w:sz="8" w:color="auto"/>
            </w:tcBorders>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DEDEE"/>
          </w:tcPr>
          <w:p>
            <w:pPr>
              <w:jc w:val="right"/>
              <w:ind w:right="181"/>
              <w:spacing w:after="0"/>
              <w:rPr>
                <w:sz w:val="20"/>
                <w:szCs w:val="20"/>
                <w:color w:val="auto"/>
              </w:rPr>
            </w:pPr>
            <w:r>
              <w:rPr>
                <w:rFonts w:ascii="Arial" w:cs="Arial" w:eastAsia="Arial" w:hAnsi="Arial"/>
                <w:sz w:val="16"/>
                <w:szCs w:val="16"/>
                <w:color w:val="auto"/>
              </w:rPr>
              <w:t>21,091,204</w:t>
            </w:r>
          </w:p>
        </w:tc>
        <w:tc>
          <w:tcPr>
            <w:tcW w:w="460" w:type="dxa"/>
            <w:vAlign w:val="bottom"/>
            <w:tcBorders>
              <w:bottom w:val="single" w:sz="8" w:color="auto"/>
            </w:tcBorders>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DEDEE"/>
          </w:tcPr>
          <w:p>
            <w:pPr>
              <w:jc w:val="right"/>
              <w:ind w:right="140"/>
              <w:spacing w:after="0"/>
              <w:rPr>
                <w:sz w:val="20"/>
                <w:szCs w:val="20"/>
                <w:color w:val="auto"/>
              </w:rPr>
            </w:pPr>
            <w:r>
              <w:rPr>
                <w:rFonts w:ascii="Arial" w:cs="Arial" w:eastAsia="Arial" w:hAnsi="Arial"/>
                <w:sz w:val="16"/>
                <w:szCs w:val="16"/>
                <w:color w:val="auto"/>
              </w:rPr>
              <w:t>20,200,789</w:t>
            </w:r>
          </w:p>
        </w:tc>
        <w:tc>
          <w:tcPr>
            <w:tcW w:w="0" w:type="dxa"/>
            <w:vAlign w:val="bottom"/>
          </w:tcPr>
          <w:p>
            <w:pPr>
              <w:spacing w:after="0"/>
              <w:rPr>
                <w:sz w:val="1"/>
                <w:szCs w:val="1"/>
                <w:color w:val="auto"/>
              </w:rPr>
            </w:pPr>
          </w:p>
        </w:tc>
      </w:tr>
      <w:tr>
        <w:trPr>
          <w:trHeight w:val="20"/>
        </w:trPr>
        <w:tc>
          <w:tcPr>
            <w:tcW w:w="4880" w:type="dxa"/>
            <w:vAlign w:val="bottom"/>
            <w:tcBorders>
              <w:top w:val="single" w:sz="8" w:color="EDEDEE"/>
            </w:tcBorders>
          </w:tcPr>
          <w:p>
            <w:pPr>
              <w:spacing w:after="0" w:line="20" w:lineRule="exact"/>
              <w:rPr>
                <w:sz w:val="1"/>
                <w:szCs w:val="1"/>
                <w:color w:val="auto"/>
              </w:rPr>
            </w:pPr>
          </w:p>
        </w:tc>
        <w:tc>
          <w:tcPr>
            <w:tcW w:w="300" w:type="dxa"/>
            <w:vAlign w:val="bottom"/>
            <w:tcBorders>
              <w:top w:val="single" w:sz="8" w:color="EDEDEE"/>
              <w:bottom w:val="single" w:sz="8" w:color="auto"/>
            </w:tcBorders>
          </w:tcPr>
          <w:p>
            <w:pPr>
              <w:spacing w:after="0" w:line="20" w:lineRule="exact"/>
              <w:rPr>
                <w:sz w:val="1"/>
                <w:szCs w:val="1"/>
                <w:color w:val="auto"/>
              </w:rPr>
            </w:pPr>
          </w:p>
        </w:tc>
        <w:tc>
          <w:tcPr>
            <w:tcW w:w="1280" w:type="dxa"/>
            <w:vAlign w:val="bottom"/>
            <w:tcBorders>
              <w:top w:val="single" w:sz="8" w:color="EDEDEE"/>
              <w:bottom w:val="single" w:sz="8" w:color="auto"/>
            </w:tcBorders>
          </w:tcPr>
          <w:p>
            <w:pPr>
              <w:spacing w:after="0" w:line="20" w:lineRule="exact"/>
              <w:rPr>
                <w:sz w:val="1"/>
                <w:szCs w:val="1"/>
                <w:color w:val="auto"/>
              </w:rPr>
            </w:pPr>
          </w:p>
        </w:tc>
        <w:tc>
          <w:tcPr>
            <w:tcW w:w="460" w:type="dxa"/>
            <w:vAlign w:val="bottom"/>
            <w:tcBorders>
              <w:top w:val="single" w:sz="8" w:color="EDEDEE"/>
              <w:bottom w:val="single" w:sz="8" w:color="auto"/>
            </w:tcBorders>
          </w:tcPr>
          <w:p>
            <w:pPr>
              <w:spacing w:after="0" w:line="20" w:lineRule="exact"/>
              <w:rPr>
                <w:sz w:val="1"/>
                <w:szCs w:val="1"/>
                <w:color w:val="auto"/>
              </w:rPr>
            </w:pPr>
          </w:p>
        </w:tc>
        <w:tc>
          <w:tcPr>
            <w:tcW w:w="11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80" w:type="dxa"/>
            <w:vAlign w:val="bottom"/>
            <w:shd w:val="clear" w:color="auto" w:fill="EDEDEE"/>
          </w:tcPr>
          <w:p>
            <w:pPr>
              <w:ind w:left="20"/>
              <w:spacing w:after="0"/>
              <w:rPr>
                <w:sz w:val="20"/>
                <w:szCs w:val="20"/>
                <w:color w:val="auto"/>
              </w:rPr>
            </w:pPr>
            <w:r>
              <w:rPr>
                <w:rFonts w:ascii="Arial" w:cs="Arial" w:eastAsia="Arial" w:hAnsi="Arial"/>
                <w:sz w:val="16"/>
                <w:szCs w:val="16"/>
                <w:color w:val="auto"/>
              </w:rPr>
              <w:t>Average education loans</w:t>
            </w:r>
          </w:p>
        </w:tc>
        <w:tc>
          <w:tcPr>
            <w:tcW w:w="30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jc w:val="right"/>
              <w:ind w:right="181"/>
              <w:spacing w:after="0"/>
              <w:rPr>
                <w:sz w:val="20"/>
                <w:szCs w:val="20"/>
                <w:color w:val="auto"/>
              </w:rPr>
            </w:pPr>
            <w:r>
              <w:rPr>
                <w:rFonts w:ascii="Arial" w:cs="Arial" w:eastAsia="Arial" w:hAnsi="Arial"/>
                <w:sz w:val="16"/>
                <w:szCs w:val="16"/>
                <w:color w:val="auto"/>
              </w:rPr>
              <w:t>22,916,916</w:t>
            </w:r>
          </w:p>
        </w:tc>
        <w:tc>
          <w:tcPr>
            <w:tcW w:w="460" w:type="dxa"/>
            <w:vAlign w:val="bottom"/>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DEDEE"/>
          </w:tcPr>
          <w:p>
            <w:pPr>
              <w:jc w:val="right"/>
              <w:ind w:right="140"/>
              <w:spacing w:after="0"/>
              <w:rPr>
                <w:sz w:val="20"/>
                <w:szCs w:val="20"/>
                <w:color w:val="auto"/>
              </w:rPr>
            </w:pPr>
            <w:r>
              <w:rPr>
                <w:rFonts w:ascii="Arial" w:cs="Arial" w:eastAsia="Arial" w:hAnsi="Arial"/>
                <w:sz w:val="16"/>
                <w:szCs w:val="16"/>
                <w:color w:val="auto"/>
              </w:rPr>
              <w:t>21,969,756</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860" w:right="1760" w:hanging="5"/>
        <w:spacing w:after="0" w:line="230" w:lineRule="auto"/>
        <w:tabs>
          <w:tab w:leader="none" w:pos="2049" w:val="left"/>
        </w:tabs>
        <w:numPr>
          <w:ilvl w:val="0"/>
          <w:numId w:val="54"/>
        </w:numPr>
        <w:rPr>
          <w:rFonts w:ascii="Arial" w:cs="Arial" w:eastAsia="Arial" w:hAnsi="Arial"/>
          <w:sz w:val="13"/>
          <w:szCs w:val="13"/>
          <w:color w:val="auto"/>
        </w:rPr>
      </w:pPr>
      <w:r>
        <w:rPr>
          <w:rFonts w:ascii="Arial" w:cs="Arial" w:eastAsia="Arial" w:hAnsi="Arial"/>
          <w:sz w:val="13"/>
          <w:szCs w:val="13"/>
          <w:color w:val="auto"/>
        </w:rPr>
        <w:t>We calculate and report our Return on Assets as the ratio of (a) GAAP net income (loss) numerator (annualized) to (b) the GAAP total average assets denominator.</w:t>
      </w:r>
    </w:p>
    <w:p>
      <w:pPr>
        <w:spacing w:after="0" w:line="23" w:lineRule="exact"/>
        <w:rPr>
          <w:rFonts w:ascii="Arial" w:cs="Arial" w:eastAsia="Arial" w:hAnsi="Arial"/>
          <w:sz w:val="13"/>
          <w:szCs w:val="13"/>
          <w:color w:val="auto"/>
        </w:rPr>
      </w:pPr>
    </w:p>
    <w:p>
      <w:pPr>
        <w:ind w:left="2040" w:hanging="185"/>
        <w:spacing w:after="0"/>
        <w:tabs>
          <w:tab w:leader="none" w:pos="20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FFELP Loans were transferred to loans held for sale during the third quarter of 2024 and subsequently sold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820" w:firstLine="445"/>
        <w:spacing w:after="0" w:line="287" w:lineRule="auto"/>
        <w:rPr>
          <w:sz w:val="20"/>
          <w:szCs w:val="20"/>
          <w:color w:val="auto"/>
        </w:rPr>
      </w:pPr>
      <w:r>
        <w:rPr>
          <w:rFonts w:ascii="Arial" w:cs="Arial" w:eastAsia="Arial" w:hAnsi="Arial"/>
          <w:sz w:val="18"/>
          <w:szCs w:val="18"/>
          <w:color w:val="auto"/>
        </w:rPr>
        <w:t>The following discussion and analysis presents a review of our business and operations as of and for the three months ended March 31, 2025.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Imperatives</w:t>
      </w:r>
    </w:p>
    <w:p>
      <w:pPr>
        <w:spacing w:after="0" w:line="17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To focus our business and increase stockholder value, we continue to advance our strategic imperatives. Our primary focus remains on maximizing the profitability and growth of our core private student loan business, while harnessing and optimizing the power of our brand and attractive client base. In addition, we continue to seek to better inform the external narrative about student lending and Sallie Mae, and strive to maintain a rigorous and predictable capital allocation and return program to create stockholder value. We are focused on driving a mission-led culture that continues to make Sallie Mae a great place to work, while we continue to strengthen our risk and compliance functions, enhance and build upon our risk management framework, and assess and monitor enterprise-wide risk.</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158"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Our operating results are primarily driven by net interest income from our Private Education Loan portfolio, gains and losses on loan sales, provision expense for credit losses, and operating expenses. The growth of our business and the strength of our financial condition are primarily driven by our ability to achieve our annual Private Education Loan origination goals while sustaining credit quality and maintaining cost-efficient funding sources to support our originations. A brief summary of our key financial measures (net interest income and net interest margin; loan sales and secured financings; allowance for credit losses; charge-offs and delinquencies; operating expenses; Private Education Loan originations; and funding sources) can be found in Part II, Item 7. “Management’s Discussion and Analysis of Financial Condition and Results of Operations” in our 2024 Form 10-K.</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0" w:name="page51"/>
    <w:bookmarkEnd w:id="50"/>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present the results of operations below on a consolidated basis in accordance with GAAP.</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GAAP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292100</wp:posOffset>
            </wp:positionV>
            <wp:extent cx="47491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ind w:left="60"/>
              <w:spacing w:after="0"/>
              <w:rPr>
                <w:sz w:val="20"/>
                <w:szCs w:val="20"/>
                <w:color w:val="auto"/>
              </w:rPr>
            </w:pPr>
            <w:r>
              <w:rPr>
                <w:rFonts w:ascii="Arial" w:cs="Arial" w:eastAsia="Arial" w:hAnsi="Arial"/>
                <w:sz w:val="14"/>
                <w:szCs w:val="14"/>
                <w:b w:val="1"/>
                <w:bCs w:val="1"/>
                <w:color w:val="144F82"/>
              </w:rPr>
              <w:t>Three Months Ended</w:t>
            </w:r>
          </w:p>
        </w:tc>
        <w:tc>
          <w:tcPr>
            <w:tcW w:w="28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4"/>
                <w:szCs w:val="14"/>
                <w:b w:val="1"/>
                <w:bCs w:val="1"/>
                <w:color w:val="144F82"/>
              </w:rPr>
              <w:t>Increase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b w:val="1"/>
                <w:bCs w:val="1"/>
                <w:color w:val="144F82"/>
              </w:rPr>
              <w:t>(Dollars in millions,</w:t>
            </w:r>
          </w:p>
        </w:tc>
        <w:tc>
          <w:tcPr>
            <w:tcW w:w="180" w:type="dxa"/>
            <w:vAlign w:val="bottom"/>
          </w:tcPr>
          <w:p>
            <w:pPr>
              <w:spacing w:after="0"/>
              <w:rPr>
                <w:sz w:val="16"/>
                <w:szCs w:val="16"/>
                <w:color w:val="auto"/>
              </w:rPr>
            </w:pPr>
          </w:p>
        </w:tc>
        <w:tc>
          <w:tcPr>
            <w:tcW w:w="1900" w:type="dxa"/>
            <w:vAlign w:val="bottom"/>
            <w:gridSpan w:val="4"/>
          </w:tcPr>
          <w:p>
            <w:pPr>
              <w:ind w:left="480"/>
              <w:spacing w:after="0"/>
              <w:rPr>
                <w:sz w:val="20"/>
                <w:szCs w:val="20"/>
                <w:color w:val="auto"/>
              </w:rPr>
            </w:pPr>
            <w:r>
              <w:rPr>
                <w:rFonts w:ascii="Arial" w:cs="Arial" w:eastAsia="Arial" w:hAnsi="Arial"/>
                <w:sz w:val="14"/>
                <w:szCs w:val="14"/>
                <w:b w:val="1"/>
                <w:bCs w:val="1"/>
                <w:color w:val="144F82"/>
              </w:rPr>
              <w:t>March 31,</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144F82"/>
              </w:rPr>
              <w:t>(Decrease)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44F82"/>
              </w:rPr>
              <w:t>except per share amounts)</w:t>
            </w: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144F82"/>
              </w:rPr>
              <w:t>2025</w:t>
            </w: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144F82"/>
              </w:rPr>
              <w:t>2024</w:t>
            </w:r>
          </w:p>
        </w:tc>
        <w:tc>
          <w:tcPr>
            <w:tcW w:w="1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4"/>
                <w:szCs w:val="14"/>
                <w:b w:val="1"/>
                <w:bCs w:val="1"/>
                <w:color w:val="144F82"/>
              </w:rPr>
              <w:t>$</w:t>
            </w:r>
          </w:p>
        </w:tc>
        <w:tc>
          <w:tcPr>
            <w:tcW w:w="6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144F82"/>
              </w:rPr>
              <w:t>%</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6"/>
                <w:szCs w:val="16"/>
                <w:b w:val="1"/>
                <w:bCs w:val="1"/>
                <w:color w:val="144F82"/>
              </w:rPr>
              <w:t>Interest income: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DEDEE"/>
          </w:tcPr>
          <w:p>
            <w:pPr>
              <w:ind w:left="120"/>
              <w:spacing w:after="0"/>
              <w:rPr>
                <w:sz w:val="20"/>
                <w:szCs w:val="20"/>
                <w:color w:val="auto"/>
              </w:rPr>
            </w:pPr>
            <w:r>
              <w:rPr>
                <w:rFonts w:ascii="Arial" w:cs="Arial" w:eastAsia="Arial" w:hAnsi="Arial"/>
                <w:sz w:val="16"/>
                <w:szCs w:val="16"/>
                <w:color w:val="auto"/>
              </w:rPr>
              <w:t>Loans</w:t>
            </w:r>
          </w:p>
        </w:tc>
        <w:tc>
          <w:tcPr>
            <w:tcW w:w="18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DEDEE"/>
          </w:tcPr>
          <w:p>
            <w:pPr>
              <w:jc w:val="right"/>
              <w:ind w:right="40"/>
              <w:spacing w:after="0"/>
              <w:rPr>
                <w:sz w:val="20"/>
                <w:szCs w:val="20"/>
                <w:color w:val="auto"/>
              </w:rPr>
            </w:pPr>
            <w:r>
              <w:rPr>
                <w:rFonts w:ascii="Arial" w:cs="Arial" w:eastAsia="Arial" w:hAnsi="Arial"/>
                <w:sz w:val="16"/>
                <w:szCs w:val="16"/>
                <w:color w:val="auto"/>
              </w:rPr>
              <w:t>599</w:t>
            </w:r>
          </w:p>
        </w:tc>
        <w:tc>
          <w:tcPr>
            <w:tcW w:w="28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597</w:t>
            </w:r>
          </w:p>
        </w:tc>
        <w:tc>
          <w:tcPr>
            <w:tcW w:w="120" w:type="dxa"/>
            <w:vAlign w:val="bottom"/>
            <w:shd w:val="clear" w:color="auto" w:fill="EDEDEE"/>
          </w:tcPr>
          <w:p>
            <w:pPr>
              <w:spacing w:after="0"/>
              <w:rPr>
                <w:sz w:val="18"/>
                <w:szCs w:val="18"/>
                <w:color w:val="auto"/>
              </w:rPr>
            </w:pPr>
          </w:p>
        </w:tc>
        <w:tc>
          <w:tcPr>
            <w:tcW w:w="28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DEDEE"/>
          </w:tcPr>
          <w:p>
            <w:pPr>
              <w:jc w:val="right"/>
              <w:ind w:right="440"/>
              <w:spacing w:after="0"/>
              <w:rPr>
                <w:sz w:val="20"/>
                <w:szCs w:val="20"/>
                <w:color w:val="auto"/>
              </w:rPr>
            </w:pPr>
            <w:r>
              <w:rPr>
                <w:rFonts w:ascii="Arial" w:cs="Arial" w:eastAsia="Arial" w:hAnsi="Arial"/>
                <w:sz w:val="16"/>
                <w:szCs w:val="16"/>
                <w:color w:val="auto"/>
              </w:rPr>
              <w:t>2</w:t>
            </w:r>
          </w:p>
        </w:tc>
        <w:tc>
          <w:tcPr>
            <w:tcW w:w="6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3280" w:type="dxa"/>
            <w:vAlign w:val="bottom"/>
          </w:tcPr>
          <w:p>
            <w:pPr>
              <w:ind w:left="12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280" w:type="dxa"/>
            <w:vAlign w:val="bottom"/>
            <w:shd w:val="clear" w:color="auto" w:fill="EDEDEE"/>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auto"/>
            </w:tcBorders>
            <w:shd w:val="clear" w:color="auto" w:fill="EDEDEE"/>
          </w:tcPr>
          <w:p>
            <w:pPr>
              <w:spacing w:after="0"/>
              <w:rPr>
                <w:sz w:val="18"/>
                <w:szCs w:val="18"/>
                <w:color w:val="auto"/>
              </w:rPr>
            </w:pPr>
          </w:p>
        </w:tc>
        <w:tc>
          <w:tcPr>
            <w:tcW w:w="72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43</w:t>
            </w:r>
          </w:p>
        </w:tc>
        <w:tc>
          <w:tcPr>
            <w:tcW w:w="280" w:type="dxa"/>
            <w:vAlign w:val="bottom"/>
            <w:tcBorders>
              <w:bottom w:val="single" w:sz="8" w:color="auto"/>
            </w:tcBorders>
            <w:shd w:val="clear" w:color="auto" w:fill="EDEDEE"/>
          </w:tcPr>
          <w:p>
            <w:pPr>
              <w:spacing w:after="0"/>
              <w:rPr>
                <w:sz w:val="18"/>
                <w:szCs w:val="18"/>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auto"/>
            </w:tcBorders>
            <w:shd w:val="clear" w:color="auto" w:fill="EDEDEE"/>
          </w:tcPr>
          <w:p>
            <w:pPr>
              <w:spacing w:after="0"/>
              <w:rPr>
                <w:sz w:val="18"/>
                <w:szCs w:val="18"/>
                <w:color w:val="auto"/>
              </w:rPr>
            </w:pPr>
          </w:p>
        </w:tc>
        <w:tc>
          <w:tcPr>
            <w:tcW w:w="280" w:type="dxa"/>
            <w:vAlign w:val="bottom"/>
            <w:tcBorders>
              <w:bottom w:val="single" w:sz="8" w:color="auto"/>
            </w:tcBorders>
            <w:shd w:val="clear" w:color="auto" w:fill="EDEDEE"/>
          </w:tcPr>
          <w:p>
            <w:pPr>
              <w:spacing w:after="0"/>
              <w:rPr>
                <w:sz w:val="18"/>
                <w:szCs w:val="18"/>
                <w:color w:val="auto"/>
              </w:rPr>
            </w:pPr>
          </w:p>
        </w:tc>
        <w:tc>
          <w:tcPr>
            <w:tcW w:w="1200" w:type="dxa"/>
            <w:vAlign w:val="bottom"/>
            <w:tcBorders>
              <w:bottom w:val="single" w:sz="8" w:color="auto"/>
            </w:tcBorders>
            <w:shd w:val="clear" w:color="auto" w:fill="EDEDEE"/>
          </w:tcPr>
          <w:p>
            <w:pPr>
              <w:jc w:val="right"/>
              <w:ind w:right="380"/>
              <w:spacing w:after="0"/>
              <w:rPr>
                <w:sz w:val="20"/>
                <w:szCs w:val="20"/>
                <w:color w:val="auto"/>
              </w:rPr>
            </w:pPr>
            <w:r>
              <w:rPr>
                <w:rFonts w:ascii="Arial" w:cs="Arial" w:eastAsia="Arial" w:hAnsi="Arial"/>
                <w:sz w:val="16"/>
                <w:szCs w:val="16"/>
                <w:color w:val="auto"/>
              </w:rPr>
              <w:t>(9)</w:t>
            </w:r>
          </w:p>
        </w:tc>
        <w:tc>
          <w:tcPr>
            <w:tcW w:w="64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6"/>
                <w:szCs w:val="16"/>
                <w:color w:val="auto"/>
              </w:rPr>
              <w:t>Total interest income</w:t>
            </w:r>
          </w:p>
        </w:tc>
        <w:tc>
          <w:tcPr>
            <w:tcW w:w="1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656</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80"/>
              <w:spacing w:after="0"/>
              <w:rPr>
                <w:sz w:val="20"/>
                <w:szCs w:val="20"/>
                <w:color w:val="auto"/>
              </w:rPr>
            </w:pPr>
            <w:r>
              <w:rPr>
                <w:rFonts w:ascii="Arial" w:cs="Arial" w:eastAsia="Arial" w:hAnsi="Arial"/>
                <w:sz w:val="16"/>
                <w:szCs w:val="16"/>
                <w:color w:val="auto"/>
              </w:rPr>
              <w:t>(7)</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280" w:type="dxa"/>
            <w:vAlign w:val="bottom"/>
            <w:shd w:val="clear" w:color="auto" w:fill="EDEDEE"/>
          </w:tcPr>
          <w:p>
            <w:pPr>
              <w:spacing w:after="0"/>
              <w:rPr>
                <w:sz w:val="20"/>
                <w:szCs w:val="20"/>
                <w:color w:val="auto"/>
              </w:rPr>
            </w:pPr>
            <w:r>
              <w:rPr>
                <w:rFonts w:ascii="Arial" w:cs="Arial" w:eastAsia="Arial" w:hAnsi="Arial"/>
                <w:sz w:val="16"/>
                <w:szCs w:val="16"/>
                <w:color w:val="auto"/>
              </w:rPr>
              <w:t>Total interest expense</w:t>
            </w:r>
          </w:p>
        </w:tc>
        <w:tc>
          <w:tcPr>
            <w:tcW w:w="180" w:type="dxa"/>
            <w:vAlign w:val="bottom"/>
            <w:tcBorders>
              <w:bottom w:val="single" w:sz="8" w:color="auto"/>
            </w:tcBorders>
            <w:shd w:val="clear" w:color="auto" w:fill="EDEDEE"/>
          </w:tcPr>
          <w:p>
            <w:pPr>
              <w:spacing w:after="0"/>
              <w:rPr>
                <w:sz w:val="18"/>
                <w:szCs w:val="18"/>
                <w:color w:val="auto"/>
              </w:rPr>
            </w:pPr>
          </w:p>
        </w:tc>
        <w:tc>
          <w:tcPr>
            <w:tcW w:w="72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281</w:t>
            </w:r>
          </w:p>
        </w:tc>
        <w:tc>
          <w:tcPr>
            <w:tcW w:w="280" w:type="dxa"/>
            <w:vAlign w:val="bottom"/>
            <w:tcBorders>
              <w:bottom w:val="single" w:sz="8" w:color="auto"/>
            </w:tcBorders>
            <w:shd w:val="clear" w:color="auto" w:fill="EDEDEE"/>
          </w:tcPr>
          <w:p>
            <w:pPr>
              <w:spacing w:after="0"/>
              <w:rPr>
                <w:sz w:val="18"/>
                <w:szCs w:val="18"/>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auto"/>
            </w:tcBorders>
            <w:shd w:val="clear" w:color="auto" w:fill="EDEDEE"/>
          </w:tcPr>
          <w:p>
            <w:pPr>
              <w:spacing w:after="0"/>
              <w:rPr>
                <w:sz w:val="18"/>
                <w:szCs w:val="18"/>
                <w:color w:val="auto"/>
              </w:rPr>
            </w:pPr>
          </w:p>
        </w:tc>
        <w:tc>
          <w:tcPr>
            <w:tcW w:w="280" w:type="dxa"/>
            <w:vAlign w:val="bottom"/>
            <w:tcBorders>
              <w:bottom w:val="single" w:sz="8" w:color="auto"/>
            </w:tcBorders>
            <w:shd w:val="clear" w:color="auto" w:fill="EDEDEE"/>
          </w:tcPr>
          <w:p>
            <w:pPr>
              <w:spacing w:after="0"/>
              <w:rPr>
                <w:sz w:val="18"/>
                <w:szCs w:val="18"/>
                <w:color w:val="auto"/>
              </w:rPr>
            </w:pPr>
          </w:p>
        </w:tc>
        <w:tc>
          <w:tcPr>
            <w:tcW w:w="1200" w:type="dxa"/>
            <w:vAlign w:val="bottom"/>
            <w:tcBorders>
              <w:bottom w:val="single" w:sz="8" w:color="auto"/>
            </w:tcBorders>
            <w:shd w:val="clear" w:color="auto" w:fill="EDEDEE"/>
          </w:tcPr>
          <w:p>
            <w:pPr>
              <w:jc w:val="right"/>
              <w:ind w:right="440"/>
              <w:spacing w:after="0"/>
              <w:rPr>
                <w:sz w:val="20"/>
                <w:szCs w:val="20"/>
                <w:color w:val="auto"/>
              </w:rPr>
            </w:pPr>
            <w:r>
              <w:rPr>
                <w:rFonts w:ascii="Arial" w:cs="Arial" w:eastAsia="Arial" w:hAnsi="Arial"/>
                <w:sz w:val="16"/>
                <w:szCs w:val="16"/>
                <w:color w:val="auto"/>
              </w:rPr>
              <w:t>4</w:t>
            </w:r>
          </w:p>
        </w:tc>
        <w:tc>
          <w:tcPr>
            <w:tcW w:w="640" w:type="dxa"/>
            <w:vAlign w:val="bottom"/>
            <w:tcBorders>
              <w:bottom w:val="single" w:sz="8" w:color="auto"/>
            </w:tcBorders>
            <w:shd w:val="clear" w:color="auto" w:fill="EDEDEE"/>
          </w:tcPr>
          <w:p>
            <w:pPr>
              <w:jc w:val="right"/>
              <w:ind w:right="1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6"/>
                <w:szCs w:val="16"/>
                <w:color w:val="auto"/>
              </w:rPr>
              <w:t>Net interest income</w:t>
            </w:r>
          </w:p>
        </w:tc>
        <w:tc>
          <w:tcPr>
            <w:tcW w:w="1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375</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80"/>
              <w:spacing w:after="0"/>
              <w:rPr>
                <w:sz w:val="20"/>
                <w:szCs w:val="20"/>
                <w:color w:val="auto"/>
              </w:rPr>
            </w:pPr>
            <w:r>
              <w:rPr>
                <w:rFonts w:ascii="Arial" w:cs="Arial" w:eastAsia="Arial" w:hAnsi="Arial"/>
                <w:sz w:val="16"/>
                <w:szCs w:val="16"/>
                <w:color w:val="auto"/>
              </w:rPr>
              <w:t>(12)</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280" w:type="dxa"/>
            <w:vAlign w:val="bottom"/>
            <w:shd w:val="clear" w:color="auto" w:fill="EDEDEE"/>
          </w:tcPr>
          <w:p>
            <w:pPr>
              <w:spacing w:after="0"/>
              <w:rPr>
                <w:sz w:val="20"/>
                <w:szCs w:val="20"/>
                <w:color w:val="auto"/>
              </w:rPr>
            </w:pPr>
            <w:r>
              <w:rPr>
                <w:rFonts w:ascii="Arial" w:cs="Arial" w:eastAsia="Arial" w:hAnsi="Arial"/>
                <w:sz w:val="16"/>
                <w:szCs w:val="16"/>
                <w:color w:val="auto"/>
              </w:rPr>
              <w:t>Less: provisions for credit losses</w:t>
            </w:r>
          </w:p>
        </w:tc>
        <w:tc>
          <w:tcPr>
            <w:tcW w:w="180" w:type="dxa"/>
            <w:vAlign w:val="bottom"/>
            <w:tcBorders>
              <w:bottom w:val="single" w:sz="8" w:color="auto"/>
            </w:tcBorders>
            <w:shd w:val="clear" w:color="auto" w:fill="EDEDEE"/>
          </w:tcPr>
          <w:p>
            <w:pPr>
              <w:spacing w:after="0"/>
              <w:rPr>
                <w:sz w:val="18"/>
                <w:szCs w:val="18"/>
                <w:color w:val="auto"/>
              </w:rPr>
            </w:pPr>
          </w:p>
        </w:tc>
        <w:tc>
          <w:tcPr>
            <w:tcW w:w="72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auto"/>
            </w:tcBorders>
            <w:shd w:val="clear" w:color="auto" w:fill="EDEDEE"/>
          </w:tcPr>
          <w:p>
            <w:pPr>
              <w:spacing w:after="0"/>
              <w:rPr>
                <w:sz w:val="18"/>
                <w:szCs w:val="18"/>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shd w:val="clear" w:color="auto" w:fill="EDEDEE"/>
          </w:tcPr>
          <w:p>
            <w:pPr>
              <w:spacing w:after="0"/>
              <w:rPr>
                <w:sz w:val="18"/>
                <w:szCs w:val="18"/>
                <w:color w:val="auto"/>
              </w:rPr>
            </w:pPr>
          </w:p>
        </w:tc>
        <w:tc>
          <w:tcPr>
            <w:tcW w:w="280" w:type="dxa"/>
            <w:vAlign w:val="bottom"/>
            <w:tcBorders>
              <w:bottom w:val="single" w:sz="8" w:color="auto"/>
            </w:tcBorders>
            <w:shd w:val="clear" w:color="auto" w:fill="EDEDEE"/>
          </w:tcPr>
          <w:p>
            <w:pPr>
              <w:spacing w:after="0"/>
              <w:rPr>
                <w:sz w:val="18"/>
                <w:szCs w:val="18"/>
                <w:color w:val="auto"/>
              </w:rPr>
            </w:pPr>
          </w:p>
        </w:tc>
        <w:tc>
          <w:tcPr>
            <w:tcW w:w="1200" w:type="dxa"/>
            <w:vAlign w:val="bottom"/>
            <w:tcBorders>
              <w:bottom w:val="single" w:sz="8" w:color="auto"/>
            </w:tcBorders>
            <w:shd w:val="clear" w:color="auto" w:fill="EDEDEE"/>
          </w:tcPr>
          <w:p>
            <w:pPr>
              <w:jc w:val="right"/>
              <w:ind w:right="440"/>
              <w:spacing w:after="0"/>
              <w:rPr>
                <w:sz w:val="20"/>
                <w:szCs w:val="20"/>
                <w:color w:val="auto"/>
              </w:rPr>
            </w:pPr>
            <w:r>
              <w:rPr>
                <w:rFonts w:ascii="Arial" w:cs="Arial" w:eastAsia="Arial" w:hAnsi="Arial"/>
                <w:sz w:val="16"/>
                <w:szCs w:val="16"/>
                <w:color w:val="auto"/>
              </w:rPr>
              <w:t>11</w:t>
            </w:r>
          </w:p>
        </w:tc>
        <w:tc>
          <w:tcPr>
            <w:tcW w:w="640" w:type="dxa"/>
            <w:vAlign w:val="bottom"/>
            <w:tcBorders>
              <w:bottom w:val="single" w:sz="8" w:color="auto"/>
            </w:tcBorders>
            <w:shd w:val="clear" w:color="auto" w:fill="EDEDEE"/>
          </w:tcPr>
          <w:p>
            <w:pPr>
              <w:jc w:val="right"/>
              <w:ind w:right="13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6"/>
                <w:szCs w:val="16"/>
                <w:color w:val="auto"/>
              </w:rPr>
              <w:t>Net interest income after provisions for</w:t>
            </w:r>
          </w:p>
        </w:tc>
        <w:tc>
          <w:tcPr>
            <w:tcW w:w="180" w:type="dxa"/>
            <w:vAlign w:val="bottom"/>
          </w:tcPr>
          <w:p>
            <w:pPr>
              <w:spacing w:after="0"/>
              <w:rPr>
                <w:sz w:val="12"/>
                <w:szCs w:val="12"/>
                <w:color w:val="auto"/>
              </w:rPr>
            </w:pPr>
          </w:p>
        </w:tc>
        <w:tc>
          <w:tcPr>
            <w:tcW w:w="720" w:type="dxa"/>
            <w:vAlign w:val="bottom"/>
            <w:vMerge w:val="restart"/>
          </w:tcPr>
          <w:p>
            <w:pPr>
              <w:jc w:val="right"/>
              <w:ind w:right="40"/>
              <w:spacing w:after="0"/>
              <w:rPr>
                <w:sz w:val="20"/>
                <w:szCs w:val="20"/>
                <w:color w:val="auto"/>
              </w:rPr>
            </w:pPr>
            <w:r>
              <w:rPr>
                <w:rFonts w:ascii="Arial" w:cs="Arial" w:eastAsia="Arial" w:hAnsi="Arial"/>
                <w:sz w:val="16"/>
                <w:szCs w:val="16"/>
                <w:color w:val="auto"/>
              </w:rPr>
              <w:t>352</w:t>
            </w: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80"/>
              <w:spacing w:after="0"/>
              <w:rPr>
                <w:sz w:val="20"/>
                <w:szCs w:val="20"/>
                <w:color w:val="auto"/>
              </w:rPr>
            </w:pPr>
            <w:r>
              <w:rPr>
                <w:rFonts w:ascii="Arial" w:cs="Arial" w:eastAsia="Arial" w:hAnsi="Arial"/>
                <w:sz w:val="16"/>
                <w:szCs w:val="16"/>
                <w:color w:val="auto"/>
              </w:rPr>
              <w:t>(23)</w:t>
            </w:r>
          </w:p>
        </w:tc>
        <w:tc>
          <w:tcPr>
            <w:tcW w:w="640" w:type="dxa"/>
            <w:vAlign w:val="bottom"/>
            <w:vMerge w:val="restart"/>
          </w:tcPr>
          <w:p>
            <w:pPr>
              <w:jc w:val="right"/>
              <w:ind w:right="9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20"/>
                <w:szCs w:val="20"/>
                <w:color w:val="auto"/>
              </w:rPr>
            </w:pPr>
            <w:r>
              <w:rPr>
                <w:rFonts w:ascii="Arial" w:cs="Arial" w:eastAsia="Arial" w:hAnsi="Arial"/>
                <w:sz w:val="16"/>
                <w:szCs w:val="16"/>
                <w:color w:val="auto"/>
              </w:rPr>
              <w:t>credit losses</w:t>
            </w: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EDEDEE"/>
          </w:tcPr>
          <w:p>
            <w:pPr>
              <w:spacing w:after="0"/>
              <w:rPr>
                <w:sz w:val="20"/>
                <w:szCs w:val="20"/>
                <w:color w:val="auto"/>
              </w:rPr>
            </w:pPr>
            <w:r>
              <w:rPr>
                <w:rFonts w:ascii="Arial" w:cs="Arial" w:eastAsia="Arial" w:hAnsi="Arial"/>
                <w:sz w:val="16"/>
                <w:szCs w:val="16"/>
                <w:b w:val="1"/>
                <w:bCs w:val="1"/>
                <w:color w:val="144F82"/>
              </w:rPr>
              <w:t>Non-interest income:</w:t>
            </w:r>
          </w:p>
        </w:tc>
        <w:tc>
          <w:tcPr>
            <w:tcW w:w="180" w:type="dxa"/>
            <w:vAlign w:val="bottom"/>
            <w:shd w:val="clear" w:color="auto" w:fill="EDEDEE"/>
          </w:tcPr>
          <w:p>
            <w:pPr>
              <w:spacing w:after="0"/>
              <w:rPr>
                <w:sz w:val="18"/>
                <w:szCs w:val="18"/>
                <w:color w:val="auto"/>
              </w:rPr>
            </w:pPr>
          </w:p>
        </w:tc>
        <w:tc>
          <w:tcPr>
            <w:tcW w:w="72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78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1200" w:type="dxa"/>
            <w:vAlign w:val="bottom"/>
            <w:shd w:val="clear" w:color="auto" w:fill="EDEDEE"/>
          </w:tcPr>
          <w:p>
            <w:pPr>
              <w:spacing w:after="0"/>
              <w:rPr>
                <w:sz w:val="18"/>
                <w:szCs w:val="18"/>
                <w:color w:val="auto"/>
              </w:rPr>
            </w:pPr>
          </w:p>
        </w:tc>
        <w:tc>
          <w:tcPr>
            <w:tcW w:w="64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120"/>
              <w:spacing w:after="0"/>
              <w:rPr>
                <w:sz w:val="20"/>
                <w:szCs w:val="20"/>
                <w:color w:val="auto"/>
              </w:rPr>
            </w:pPr>
            <w:r>
              <w:rPr>
                <w:rFonts w:ascii="Arial" w:cs="Arial" w:eastAsia="Arial" w:hAnsi="Arial"/>
                <w:sz w:val="16"/>
                <w:szCs w:val="16"/>
                <w:color w:val="auto"/>
              </w:rPr>
              <w:t>Gains on sales of loans, net</w:t>
            </w:r>
          </w:p>
        </w:tc>
        <w:tc>
          <w:tcPr>
            <w:tcW w:w="1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188</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40"/>
              <w:spacing w:after="0"/>
              <w:rPr>
                <w:sz w:val="20"/>
                <w:szCs w:val="20"/>
                <w:color w:val="auto"/>
              </w:rPr>
            </w:pPr>
            <w:r>
              <w:rPr>
                <w:rFonts w:ascii="Arial" w:cs="Arial" w:eastAsia="Arial" w:hAnsi="Arial"/>
                <w:sz w:val="16"/>
                <w:szCs w:val="16"/>
                <w:color w:val="auto"/>
              </w:rPr>
              <w:t>45</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3280" w:type="dxa"/>
            <w:vAlign w:val="bottom"/>
            <w:shd w:val="clear" w:color="auto" w:fill="EDEDEE"/>
          </w:tcPr>
          <w:p>
            <w:pPr>
              <w:ind w:left="120"/>
              <w:spacing w:after="0"/>
              <w:rPr>
                <w:sz w:val="20"/>
                <w:szCs w:val="20"/>
                <w:color w:val="auto"/>
              </w:rPr>
            </w:pPr>
            <w:r>
              <w:rPr>
                <w:rFonts w:ascii="Arial" w:cs="Arial" w:eastAsia="Arial" w:hAnsi="Arial"/>
                <w:sz w:val="16"/>
                <w:szCs w:val="16"/>
                <w:color w:val="auto"/>
              </w:rPr>
              <w:t>Gains (losses) on securities, net</w:t>
            </w:r>
          </w:p>
        </w:tc>
        <w:tc>
          <w:tcPr>
            <w:tcW w:w="180" w:type="dxa"/>
            <w:vAlign w:val="bottom"/>
            <w:shd w:val="clear" w:color="auto" w:fill="EDEDEE"/>
          </w:tcPr>
          <w:p>
            <w:pPr>
              <w:spacing w:after="0"/>
              <w:rPr>
                <w:sz w:val="18"/>
                <w:szCs w:val="18"/>
                <w:color w:val="auto"/>
              </w:rPr>
            </w:pPr>
          </w:p>
        </w:tc>
        <w:tc>
          <w:tcPr>
            <w:tcW w:w="7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EDEDEE"/>
          </w:tcPr>
          <w:p>
            <w:pPr>
              <w:spacing w:after="0"/>
              <w:rPr>
                <w:sz w:val="18"/>
                <w:szCs w:val="18"/>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1200" w:type="dxa"/>
            <w:vAlign w:val="bottom"/>
            <w:shd w:val="clear" w:color="auto" w:fill="EDEDEE"/>
          </w:tcPr>
          <w:p>
            <w:pPr>
              <w:jc w:val="right"/>
              <w:ind w:right="380"/>
              <w:spacing w:after="0"/>
              <w:rPr>
                <w:sz w:val="20"/>
                <w:szCs w:val="20"/>
                <w:color w:val="auto"/>
              </w:rPr>
            </w:pPr>
            <w:r>
              <w:rPr>
                <w:rFonts w:ascii="Arial" w:cs="Arial" w:eastAsia="Arial" w:hAnsi="Arial"/>
                <w:sz w:val="16"/>
                <w:szCs w:val="16"/>
                <w:color w:val="auto"/>
              </w:rPr>
              <w:t>(12)</w:t>
            </w:r>
          </w:p>
        </w:tc>
        <w:tc>
          <w:tcPr>
            <w:tcW w:w="64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5"/>
        </w:trPr>
        <w:tc>
          <w:tcPr>
            <w:tcW w:w="3280" w:type="dxa"/>
            <w:vAlign w:val="bottom"/>
            <w:tcBorders>
              <w:bottom w:val="single" w:sz="8" w:color="EDEDEE"/>
            </w:tcBorders>
          </w:tcPr>
          <w:p>
            <w:pPr>
              <w:ind w:left="12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80" w:type="dxa"/>
            <w:vAlign w:val="bottom"/>
            <w:shd w:val="clear" w:color="auto" w:fill="EDEDEE"/>
          </w:tcPr>
          <w:p>
            <w:pPr>
              <w:spacing w:after="0"/>
              <w:rPr>
                <w:sz w:val="20"/>
                <w:szCs w:val="20"/>
                <w:color w:val="auto"/>
              </w:rPr>
            </w:pPr>
            <w:r>
              <w:rPr>
                <w:rFonts w:ascii="Arial" w:cs="Arial" w:eastAsia="Arial" w:hAnsi="Arial"/>
                <w:sz w:val="16"/>
                <w:szCs w:val="16"/>
                <w:color w:val="auto"/>
              </w:rPr>
              <w:t>Total non-interest income</w:t>
            </w:r>
          </w:p>
        </w:tc>
        <w:tc>
          <w:tcPr>
            <w:tcW w:w="180" w:type="dxa"/>
            <w:vAlign w:val="bottom"/>
            <w:shd w:val="clear" w:color="auto" w:fill="EDEDEE"/>
          </w:tcPr>
          <w:p>
            <w:pPr>
              <w:spacing w:after="0"/>
              <w:rPr>
                <w:sz w:val="18"/>
                <w:szCs w:val="18"/>
                <w:color w:val="auto"/>
              </w:rPr>
            </w:pPr>
          </w:p>
        </w:tc>
        <w:tc>
          <w:tcPr>
            <w:tcW w:w="720" w:type="dxa"/>
            <w:vAlign w:val="bottom"/>
            <w:shd w:val="clear" w:color="auto" w:fill="EDEDEE"/>
          </w:tcPr>
          <w:p>
            <w:pPr>
              <w:jc w:val="right"/>
              <w:ind w:right="40"/>
              <w:spacing w:after="0"/>
              <w:rPr>
                <w:sz w:val="20"/>
                <w:szCs w:val="20"/>
                <w:color w:val="auto"/>
              </w:rPr>
            </w:pPr>
            <w:r>
              <w:rPr>
                <w:rFonts w:ascii="Arial" w:cs="Arial" w:eastAsia="Arial" w:hAnsi="Arial"/>
                <w:sz w:val="16"/>
                <w:szCs w:val="16"/>
                <w:color w:val="auto"/>
              </w:rPr>
              <w:t>206</w:t>
            </w:r>
          </w:p>
        </w:tc>
        <w:tc>
          <w:tcPr>
            <w:tcW w:w="280" w:type="dxa"/>
            <w:vAlign w:val="bottom"/>
            <w:shd w:val="clear" w:color="auto" w:fill="EDEDEE"/>
          </w:tcPr>
          <w:p>
            <w:pPr>
              <w:spacing w:after="0"/>
              <w:rPr>
                <w:sz w:val="18"/>
                <w:szCs w:val="18"/>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1200" w:type="dxa"/>
            <w:vAlign w:val="bottom"/>
            <w:shd w:val="clear" w:color="auto" w:fill="EDEDEE"/>
          </w:tcPr>
          <w:p>
            <w:pPr>
              <w:jc w:val="right"/>
              <w:ind w:right="440"/>
              <w:spacing w:after="0"/>
              <w:rPr>
                <w:sz w:val="20"/>
                <w:szCs w:val="20"/>
                <w:color w:val="auto"/>
              </w:rPr>
            </w:pPr>
            <w:r>
              <w:rPr>
                <w:rFonts w:ascii="Arial" w:cs="Arial" w:eastAsia="Arial" w:hAnsi="Arial"/>
                <w:sz w:val="16"/>
                <w:szCs w:val="16"/>
                <w:color w:val="auto"/>
              </w:rPr>
              <w:t>33</w:t>
            </w:r>
          </w:p>
        </w:tc>
        <w:tc>
          <w:tcPr>
            <w:tcW w:w="640" w:type="dxa"/>
            <w:vAlign w:val="bottom"/>
            <w:shd w:val="clear" w:color="auto" w:fill="EDEDEE"/>
          </w:tcPr>
          <w:p>
            <w:pPr>
              <w:jc w:val="right"/>
              <w:ind w:right="1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6"/>
                <w:szCs w:val="16"/>
                <w:b w:val="1"/>
                <w:bCs w:val="1"/>
                <w:color w:val="144F82"/>
              </w:rPr>
              <w:t>Non-interest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DEDEE"/>
          </w:tcPr>
          <w:p>
            <w:pPr>
              <w:ind w:left="120"/>
              <w:spacing w:after="0"/>
              <w:rPr>
                <w:sz w:val="20"/>
                <w:szCs w:val="20"/>
                <w:color w:val="auto"/>
              </w:rPr>
            </w:pPr>
            <w:r>
              <w:rPr>
                <w:rFonts w:ascii="Arial" w:cs="Arial" w:eastAsia="Arial" w:hAnsi="Arial"/>
                <w:sz w:val="16"/>
                <w:szCs w:val="16"/>
                <w:color w:val="auto"/>
              </w:rPr>
              <w:t>Total operating expenses</w:t>
            </w:r>
          </w:p>
        </w:tc>
        <w:tc>
          <w:tcPr>
            <w:tcW w:w="180" w:type="dxa"/>
            <w:vAlign w:val="bottom"/>
            <w:shd w:val="clear" w:color="auto" w:fill="EDEDEE"/>
          </w:tcPr>
          <w:p>
            <w:pPr>
              <w:spacing w:after="0"/>
              <w:rPr>
                <w:sz w:val="18"/>
                <w:szCs w:val="18"/>
                <w:color w:val="auto"/>
              </w:rPr>
            </w:pPr>
          </w:p>
        </w:tc>
        <w:tc>
          <w:tcPr>
            <w:tcW w:w="720" w:type="dxa"/>
            <w:vAlign w:val="bottom"/>
            <w:shd w:val="clear" w:color="auto" w:fill="EDEDEE"/>
          </w:tcPr>
          <w:p>
            <w:pPr>
              <w:jc w:val="right"/>
              <w:ind w:right="40"/>
              <w:spacing w:after="0"/>
              <w:rPr>
                <w:sz w:val="20"/>
                <w:szCs w:val="20"/>
                <w:color w:val="auto"/>
              </w:rPr>
            </w:pPr>
            <w:r>
              <w:rPr>
                <w:rFonts w:ascii="Arial" w:cs="Arial" w:eastAsia="Arial" w:hAnsi="Arial"/>
                <w:sz w:val="16"/>
                <w:szCs w:val="16"/>
                <w:color w:val="auto"/>
              </w:rPr>
              <w:t>154</w:t>
            </w:r>
          </w:p>
        </w:tc>
        <w:tc>
          <w:tcPr>
            <w:tcW w:w="280" w:type="dxa"/>
            <w:vAlign w:val="bottom"/>
            <w:shd w:val="clear" w:color="auto" w:fill="EDEDEE"/>
          </w:tcPr>
          <w:p>
            <w:pPr>
              <w:spacing w:after="0"/>
              <w:rPr>
                <w:sz w:val="18"/>
                <w:szCs w:val="18"/>
                <w:color w:val="auto"/>
              </w:rPr>
            </w:pPr>
          </w:p>
        </w:tc>
        <w:tc>
          <w:tcPr>
            <w:tcW w:w="7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1200" w:type="dxa"/>
            <w:vAlign w:val="bottom"/>
            <w:shd w:val="clear" w:color="auto" w:fill="EDEDEE"/>
          </w:tcPr>
          <w:p>
            <w:pPr>
              <w:jc w:val="right"/>
              <w:ind w:right="380"/>
              <w:spacing w:after="0"/>
              <w:rPr>
                <w:sz w:val="20"/>
                <w:szCs w:val="20"/>
                <w:color w:val="auto"/>
              </w:rPr>
            </w:pPr>
            <w:r>
              <w:rPr>
                <w:rFonts w:ascii="Arial" w:cs="Arial" w:eastAsia="Arial" w:hAnsi="Arial"/>
                <w:sz w:val="16"/>
                <w:szCs w:val="16"/>
                <w:color w:val="auto"/>
              </w:rPr>
              <w:t>(7)</w:t>
            </w:r>
          </w:p>
        </w:tc>
        <w:tc>
          <w:tcPr>
            <w:tcW w:w="64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2"/>
        </w:trPr>
        <w:tc>
          <w:tcPr>
            <w:tcW w:w="3280" w:type="dxa"/>
            <w:vAlign w:val="bottom"/>
          </w:tcPr>
          <w:p>
            <w:pPr>
              <w:ind w:left="120"/>
              <w:spacing w:after="0" w:line="162" w:lineRule="exact"/>
              <w:rPr>
                <w:sz w:val="20"/>
                <w:szCs w:val="20"/>
                <w:color w:val="auto"/>
              </w:rPr>
            </w:pPr>
            <w:r>
              <w:rPr>
                <w:rFonts w:ascii="Arial" w:cs="Arial" w:eastAsia="Arial" w:hAnsi="Arial"/>
                <w:sz w:val="16"/>
                <w:szCs w:val="16"/>
                <w:color w:val="auto"/>
              </w:rPr>
              <w:t>Acquired intangible assets amortization</w:t>
            </w:r>
          </w:p>
        </w:tc>
        <w:tc>
          <w:tcPr>
            <w:tcW w:w="180" w:type="dxa"/>
            <w:vAlign w:val="bottom"/>
          </w:tcPr>
          <w:p>
            <w:pPr>
              <w:spacing w:after="0"/>
              <w:rPr>
                <w:sz w:val="14"/>
                <w:szCs w:val="14"/>
                <w:color w:val="auto"/>
              </w:rPr>
            </w:pPr>
          </w:p>
        </w:tc>
        <w:tc>
          <w:tcPr>
            <w:tcW w:w="720" w:type="dxa"/>
            <w:vAlign w:val="bottom"/>
            <w:vMerge w:val="restart"/>
          </w:tcPr>
          <w:p>
            <w:pPr>
              <w:jc w:val="right"/>
              <w:ind w:right="4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440"/>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80" w:type="dxa"/>
            <w:vAlign w:val="bottom"/>
            <w:tcBorders>
              <w:bottom w:val="single" w:sz="8" w:color="EDEDEE"/>
            </w:tcBorders>
          </w:tcPr>
          <w:p>
            <w:pPr>
              <w:ind w:left="120"/>
              <w:spacing w:after="0"/>
              <w:rPr>
                <w:sz w:val="20"/>
                <w:szCs w:val="20"/>
                <w:color w:val="auto"/>
              </w:rPr>
            </w:pPr>
            <w:r>
              <w:rPr>
                <w:rFonts w:ascii="Arial" w:cs="Arial" w:eastAsia="Arial" w:hAnsi="Arial"/>
                <w:sz w:val="16"/>
                <w:szCs w:val="16"/>
                <w:color w:val="auto"/>
              </w:rPr>
              <w:t>expense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EDEDEE"/>
          </w:tcPr>
          <w:p>
            <w:pPr>
              <w:spacing w:after="0"/>
              <w:rPr>
                <w:sz w:val="20"/>
                <w:szCs w:val="20"/>
                <w:color w:val="auto"/>
              </w:rPr>
            </w:pPr>
            <w:r>
              <w:rPr>
                <w:rFonts w:ascii="Arial" w:cs="Arial" w:eastAsia="Arial" w:hAnsi="Arial"/>
                <w:sz w:val="16"/>
                <w:szCs w:val="16"/>
                <w:color w:val="auto"/>
              </w:rPr>
              <w:t>Total non-interest expenses</w:t>
            </w:r>
          </w:p>
        </w:tc>
        <w:tc>
          <w:tcPr>
            <w:tcW w:w="180" w:type="dxa"/>
            <w:vAlign w:val="bottom"/>
            <w:tcBorders>
              <w:bottom w:val="single" w:sz="8" w:color="auto"/>
            </w:tcBorders>
            <w:shd w:val="clear" w:color="auto" w:fill="EDEDEE"/>
          </w:tcPr>
          <w:p>
            <w:pPr>
              <w:spacing w:after="0"/>
              <w:rPr>
                <w:sz w:val="18"/>
                <w:szCs w:val="18"/>
                <w:color w:val="auto"/>
              </w:rPr>
            </w:pPr>
          </w:p>
        </w:tc>
        <w:tc>
          <w:tcPr>
            <w:tcW w:w="72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155</w:t>
            </w:r>
          </w:p>
        </w:tc>
        <w:tc>
          <w:tcPr>
            <w:tcW w:w="280" w:type="dxa"/>
            <w:vAlign w:val="bottom"/>
            <w:tcBorders>
              <w:bottom w:val="single" w:sz="8" w:color="auto"/>
            </w:tcBorders>
            <w:shd w:val="clear" w:color="auto" w:fill="EDEDEE"/>
          </w:tcPr>
          <w:p>
            <w:pPr>
              <w:spacing w:after="0"/>
              <w:rPr>
                <w:sz w:val="18"/>
                <w:szCs w:val="18"/>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auto"/>
            </w:tcBorders>
            <w:shd w:val="clear" w:color="auto" w:fill="EDEDEE"/>
          </w:tcPr>
          <w:p>
            <w:pPr>
              <w:spacing w:after="0"/>
              <w:rPr>
                <w:sz w:val="18"/>
                <w:szCs w:val="18"/>
                <w:color w:val="auto"/>
              </w:rPr>
            </w:pPr>
          </w:p>
        </w:tc>
        <w:tc>
          <w:tcPr>
            <w:tcW w:w="280" w:type="dxa"/>
            <w:vAlign w:val="bottom"/>
            <w:tcBorders>
              <w:bottom w:val="single" w:sz="8" w:color="auto"/>
            </w:tcBorders>
            <w:shd w:val="clear" w:color="auto" w:fill="EDEDEE"/>
          </w:tcPr>
          <w:p>
            <w:pPr>
              <w:spacing w:after="0"/>
              <w:rPr>
                <w:sz w:val="18"/>
                <w:szCs w:val="18"/>
                <w:color w:val="auto"/>
              </w:rPr>
            </w:pPr>
          </w:p>
        </w:tc>
        <w:tc>
          <w:tcPr>
            <w:tcW w:w="1200" w:type="dxa"/>
            <w:vAlign w:val="bottom"/>
            <w:tcBorders>
              <w:bottom w:val="single" w:sz="8" w:color="auto"/>
            </w:tcBorders>
            <w:shd w:val="clear" w:color="auto" w:fill="EDEDEE"/>
          </w:tcPr>
          <w:p>
            <w:pPr>
              <w:jc w:val="right"/>
              <w:ind w:right="380"/>
              <w:spacing w:after="0"/>
              <w:rPr>
                <w:sz w:val="20"/>
                <w:szCs w:val="20"/>
                <w:color w:val="auto"/>
              </w:rPr>
            </w:pPr>
            <w:r>
              <w:rPr>
                <w:rFonts w:ascii="Arial" w:cs="Arial" w:eastAsia="Arial" w:hAnsi="Arial"/>
                <w:sz w:val="16"/>
                <w:szCs w:val="16"/>
                <w:color w:val="auto"/>
              </w:rPr>
              <w:t>(7)</w:t>
            </w:r>
          </w:p>
        </w:tc>
        <w:tc>
          <w:tcPr>
            <w:tcW w:w="64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6"/>
                <w:szCs w:val="16"/>
                <w:color w:val="auto"/>
              </w:rPr>
              <w:t>Income before income tax expense</w:t>
            </w:r>
          </w:p>
        </w:tc>
        <w:tc>
          <w:tcPr>
            <w:tcW w:w="1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403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40"/>
              <w:spacing w:after="0"/>
              <w:rPr>
                <w:sz w:val="20"/>
                <w:szCs w:val="20"/>
                <w:color w:val="auto"/>
              </w:rPr>
            </w:pPr>
            <w:r>
              <w:rPr>
                <w:rFonts w:ascii="Arial" w:cs="Arial" w:eastAsia="Arial" w:hAnsi="Arial"/>
                <w:sz w:val="16"/>
                <w:szCs w:val="16"/>
                <w:color w:val="auto"/>
              </w:rPr>
              <w:t>16</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3280" w:type="dxa"/>
            <w:vAlign w:val="bottom"/>
            <w:shd w:val="clear" w:color="auto" w:fill="EDEDEE"/>
          </w:tcPr>
          <w:p>
            <w:pPr>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EDEDEE"/>
          </w:tcPr>
          <w:p>
            <w:pPr>
              <w:spacing w:after="0"/>
              <w:rPr>
                <w:sz w:val="18"/>
                <w:szCs w:val="18"/>
                <w:color w:val="auto"/>
              </w:rPr>
            </w:pPr>
          </w:p>
        </w:tc>
        <w:tc>
          <w:tcPr>
            <w:tcW w:w="72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99</w:t>
            </w:r>
          </w:p>
        </w:tc>
        <w:tc>
          <w:tcPr>
            <w:tcW w:w="280" w:type="dxa"/>
            <w:vAlign w:val="bottom"/>
            <w:tcBorders>
              <w:bottom w:val="single" w:sz="8" w:color="auto"/>
            </w:tcBorders>
            <w:shd w:val="clear" w:color="auto" w:fill="EDEDEE"/>
          </w:tcPr>
          <w:p>
            <w:pPr>
              <w:spacing w:after="0"/>
              <w:rPr>
                <w:sz w:val="18"/>
                <w:szCs w:val="18"/>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auto"/>
            </w:tcBorders>
            <w:shd w:val="clear" w:color="auto" w:fill="EDEDEE"/>
          </w:tcPr>
          <w:p>
            <w:pPr>
              <w:spacing w:after="0"/>
              <w:rPr>
                <w:sz w:val="18"/>
                <w:szCs w:val="18"/>
                <w:color w:val="auto"/>
              </w:rPr>
            </w:pPr>
          </w:p>
        </w:tc>
        <w:tc>
          <w:tcPr>
            <w:tcW w:w="280" w:type="dxa"/>
            <w:vAlign w:val="bottom"/>
            <w:tcBorders>
              <w:bottom w:val="single" w:sz="8" w:color="auto"/>
            </w:tcBorders>
            <w:shd w:val="clear" w:color="auto" w:fill="EDEDEE"/>
          </w:tcPr>
          <w:p>
            <w:pPr>
              <w:spacing w:after="0"/>
              <w:rPr>
                <w:sz w:val="18"/>
                <w:szCs w:val="18"/>
                <w:color w:val="auto"/>
              </w:rPr>
            </w:pPr>
          </w:p>
        </w:tc>
        <w:tc>
          <w:tcPr>
            <w:tcW w:w="1200" w:type="dxa"/>
            <w:vAlign w:val="bottom"/>
            <w:tcBorders>
              <w:bottom w:val="single" w:sz="8" w:color="auto"/>
            </w:tcBorders>
            <w:shd w:val="clear" w:color="auto" w:fill="EDEDEE"/>
          </w:tcPr>
          <w:p>
            <w:pPr>
              <w:jc w:val="right"/>
              <w:ind w:right="440"/>
              <w:spacing w:after="0"/>
              <w:rPr>
                <w:sz w:val="20"/>
                <w:szCs w:val="20"/>
                <w:color w:val="auto"/>
              </w:rPr>
            </w:pPr>
            <w:r>
              <w:rPr>
                <w:rFonts w:ascii="Arial" w:cs="Arial" w:eastAsia="Arial" w:hAnsi="Arial"/>
                <w:sz w:val="16"/>
                <w:szCs w:val="16"/>
                <w:color w:val="auto"/>
              </w:rPr>
              <w:t>2</w:t>
            </w:r>
          </w:p>
        </w:tc>
        <w:tc>
          <w:tcPr>
            <w:tcW w:w="640" w:type="dxa"/>
            <w:vAlign w:val="bottom"/>
            <w:tcBorders>
              <w:bottom w:val="single" w:sz="8" w:color="auto"/>
            </w:tcBorders>
            <w:shd w:val="clear" w:color="auto" w:fill="EDEDEE"/>
          </w:tcPr>
          <w:p>
            <w:pPr>
              <w:jc w:val="right"/>
              <w:ind w:right="1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6"/>
                <w:szCs w:val="16"/>
                <w:b w:val="1"/>
                <w:bCs w:val="1"/>
                <w:color w:val="144F82"/>
              </w:rPr>
              <w:t>Net income</w:t>
            </w:r>
          </w:p>
        </w:tc>
        <w:tc>
          <w:tcPr>
            <w:tcW w:w="1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305</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40"/>
              <w:spacing w:after="0"/>
              <w:rPr>
                <w:sz w:val="20"/>
                <w:szCs w:val="20"/>
                <w:color w:val="auto"/>
              </w:rPr>
            </w:pPr>
            <w:r>
              <w:rPr>
                <w:rFonts w:ascii="Arial" w:cs="Arial" w:eastAsia="Arial" w:hAnsi="Arial"/>
                <w:sz w:val="16"/>
                <w:szCs w:val="16"/>
                <w:color w:val="auto"/>
              </w:rPr>
              <w:t>15</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280" w:type="dxa"/>
            <w:vAlign w:val="bottom"/>
            <w:shd w:val="clear" w:color="auto" w:fill="EDEDEE"/>
          </w:tcPr>
          <w:p>
            <w:pPr>
              <w:spacing w:after="0"/>
              <w:rPr>
                <w:sz w:val="20"/>
                <w:szCs w:val="20"/>
                <w:color w:val="auto"/>
              </w:rPr>
            </w:pPr>
            <w:r>
              <w:rPr>
                <w:rFonts w:ascii="Arial" w:cs="Arial" w:eastAsia="Arial" w:hAnsi="Arial"/>
                <w:sz w:val="16"/>
                <w:szCs w:val="16"/>
                <w:color w:val="auto"/>
              </w:rPr>
              <w:t>Preferred stock dividends</w:t>
            </w:r>
          </w:p>
        </w:tc>
        <w:tc>
          <w:tcPr>
            <w:tcW w:w="180" w:type="dxa"/>
            <w:vAlign w:val="bottom"/>
            <w:tcBorders>
              <w:bottom w:val="single" w:sz="8" w:color="auto"/>
            </w:tcBorders>
            <w:shd w:val="clear" w:color="auto" w:fill="EDEDEE"/>
          </w:tcPr>
          <w:p>
            <w:pPr>
              <w:spacing w:after="0"/>
              <w:rPr>
                <w:sz w:val="18"/>
                <w:szCs w:val="18"/>
                <w:color w:val="auto"/>
              </w:rPr>
            </w:pPr>
          </w:p>
        </w:tc>
        <w:tc>
          <w:tcPr>
            <w:tcW w:w="72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shd w:val="clear" w:color="auto" w:fill="EDEDEE"/>
          </w:tcPr>
          <w:p>
            <w:pPr>
              <w:spacing w:after="0"/>
              <w:rPr>
                <w:sz w:val="18"/>
                <w:szCs w:val="18"/>
                <w:color w:val="auto"/>
              </w:rPr>
            </w:pP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shd w:val="clear" w:color="auto" w:fill="EDEDEE"/>
          </w:tcPr>
          <w:p>
            <w:pPr>
              <w:spacing w:after="0"/>
              <w:rPr>
                <w:sz w:val="18"/>
                <w:szCs w:val="18"/>
                <w:color w:val="auto"/>
              </w:rPr>
            </w:pPr>
          </w:p>
        </w:tc>
        <w:tc>
          <w:tcPr>
            <w:tcW w:w="280" w:type="dxa"/>
            <w:vAlign w:val="bottom"/>
            <w:tcBorders>
              <w:bottom w:val="single" w:sz="8" w:color="auto"/>
            </w:tcBorders>
            <w:shd w:val="clear" w:color="auto" w:fill="EDEDEE"/>
          </w:tcPr>
          <w:p>
            <w:pPr>
              <w:spacing w:after="0"/>
              <w:rPr>
                <w:sz w:val="18"/>
                <w:szCs w:val="18"/>
                <w:color w:val="auto"/>
              </w:rPr>
            </w:pPr>
          </w:p>
        </w:tc>
        <w:tc>
          <w:tcPr>
            <w:tcW w:w="1200" w:type="dxa"/>
            <w:vAlign w:val="bottom"/>
            <w:tcBorders>
              <w:bottom w:val="single" w:sz="8" w:color="auto"/>
            </w:tcBorders>
            <w:shd w:val="clear" w:color="auto" w:fill="EDEDEE"/>
          </w:tcPr>
          <w:p>
            <w:pPr>
              <w:jc w:val="right"/>
              <w:ind w:right="380"/>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6"/>
                <w:szCs w:val="16"/>
                <w:color w:val="auto"/>
              </w:rPr>
              <w:t>Net income attributable to SLM Corporation</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40"/>
              <w:spacing w:after="0"/>
              <w:rPr>
                <w:sz w:val="20"/>
                <w:szCs w:val="20"/>
                <w:color w:val="auto"/>
              </w:rPr>
            </w:pPr>
            <w:r>
              <w:rPr>
                <w:rFonts w:ascii="Arial" w:cs="Arial" w:eastAsia="Arial" w:hAnsi="Arial"/>
                <w:sz w:val="16"/>
                <w:szCs w:val="16"/>
                <w:color w:val="auto"/>
              </w:rPr>
              <w:t>301</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440"/>
              <w:spacing w:after="0"/>
              <w:rPr>
                <w:sz w:val="20"/>
                <w:szCs w:val="20"/>
                <w:color w:val="auto"/>
              </w:rPr>
            </w:pPr>
            <w:r>
              <w:rPr>
                <w:rFonts w:ascii="Arial" w:cs="Arial" w:eastAsia="Arial" w:hAnsi="Arial"/>
                <w:sz w:val="16"/>
                <w:szCs w:val="16"/>
                <w:color w:val="auto"/>
              </w:rPr>
              <w:t>16</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6"/>
                <w:szCs w:val="16"/>
                <w:color w:val="auto"/>
              </w:rPr>
              <w:t>common stock</w:t>
            </w: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EDEDEE"/>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28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b w:val="1"/>
                <w:bCs w:val="1"/>
                <w:color w:val="144F82"/>
              </w:rPr>
              <w:t>Basic earnings per common share</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1.43</w:t>
            </w:r>
          </w:p>
        </w:tc>
        <w:tc>
          <w:tcPr>
            <w:tcW w:w="28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auto"/>
            </w:tcBorders>
            <w:shd w:val="clear" w:color="auto" w:fill="EDEDEE"/>
          </w:tcPr>
          <w:p>
            <w:pPr>
              <w:spacing w:after="0"/>
              <w:rPr>
                <w:sz w:val="20"/>
                <w:szCs w:val="20"/>
                <w:color w:val="auto"/>
              </w:rPr>
            </w:pPr>
          </w:p>
        </w:tc>
        <w:tc>
          <w:tcPr>
            <w:tcW w:w="28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DEDEE"/>
          </w:tcPr>
          <w:p>
            <w:pPr>
              <w:jc w:val="right"/>
              <w:ind w:right="440"/>
              <w:spacing w:after="0"/>
              <w:rPr>
                <w:sz w:val="20"/>
                <w:szCs w:val="20"/>
                <w:color w:val="auto"/>
              </w:rPr>
            </w:pPr>
            <w:r>
              <w:rPr>
                <w:rFonts w:ascii="Arial" w:cs="Arial" w:eastAsia="Arial" w:hAnsi="Arial"/>
                <w:sz w:val="16"/>
                <w:szCs w:val="16"/>
                <w:color w:val="auto"/>
              </w:rPr>
              <w:t>0.14</w:t>
            </w:r>
          </w:p>
        </w:tc>
        <w:tc>
          <w:tcPr>
            <w:tcW w:w="6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3280" w:type="dxa"/>
            <w:vAlign w:val="bottom"/>
            <w:tcBorders>
              <w:top w:val="single" w:sz="8" w:color="EDEDEE"/>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72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1200" w:type="dxa"/>
            <w:vAlign w:val="bottom"/>
            <w:tcBorders>
              <w:top w:val="single" w:sz="8" w:color="EDEDEE"/>
              <w:bottom w:val="single" w:sz="8" w:color="auto"/>
            </w:tcBorders>
          </w:tcPr>
          <w:p>
            <w:pPr>
              <w:spacing w:after="0" w:line="20" w:lineRule="exact"/>
              <w:rPr>
                <w:sz w:val="1"/>
                <w:szCs w:val="1"/>
                <w:color w:val="auto"/>
              </w:rPr>
            </w:pPr>
          </w:p>
        </w:tc>
        <w:tc>
          <w:tcPr>
            <w:tcW w:w="6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80" w:type="dxa"/>
            <w:vAlign w:val="bottom"/>
          </w:tcPr>
          <w:p>
            <w:pPr>
              <w:spacing w:after="0"/>
              <w:rPr>
                <w:sz w:val="20"/>
                <w:szCs w:val="20"/>
                <w:color w:val="auto"/>
              </w:rPr>
            </w:pPr>
            <w:r>
              <w:rPr>
                <w:rFonts w:ascii="Arial" w:cs="Arial" w:eastAsia="Arial" w:hAnsi="Arial"/>
                <w:sz w:val="16"/>
                <w:szCs w:val="16"/>
                <w:b w:val="1"/>
                <w:bCs w:val="1"/>
                <w:color w:val="144F82"/>
              </w:rPr>
              <w:t>Diluted earnings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0.13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EDEDEE"/>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28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b w:val="1"/>
                <w:bCs w:val="1"/>
                <w:color w:val="144F82"/>
              </w:rPr>
              <w:t>Declared dividends per common share</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EDEDEE"/>
          </w:tcPr>
          <w:p>
            <w:pPr>
              <w:jc w:val="right"/>
              <w:ind w:right="40"/>
              <w:spacing w:after="0"/>
              <w:rPr>
                <w:sz w:val="20"/>
                <w:szCs w:val="20"/>
                <w:color w:val="auto"/>
              </w:rPr>
            </w:pPr>
            <w:r>
              <w:rPr>
                <w:rFonts w:ascii="Arial" w:cs="Arial" w:eastAsia="Arial" w:hAnsi="Arial"/>
                <w:sz w:val="16"/>
                <w:szCs w:val="16"/>
                <w:color w:val="auto"/>
              </w:rPr>
              <w:t>0.13</w:t>
            </w:r>
          </w:p>
        </w:tc>
        <w:tc>
          <w:tcPr>
            <w:tcW w:w="28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auto"/>
            </w:tcBorders>
            <w:shd w:val="clear" w:color="auto" w:fill="EDEDEE"/>
          </w:tcPr>
          <w:p>
            <w:pPr>
              <w:spacing w:after="0"/>
              <w:rPr>
                <w:sz w:val="20"/>
                <w:szCs w:val="20"/>
                <w:color w:val="auto"/>
              </w:rPr>
            </w:pPr>
          </w:p>
        </w:tc>
        <w:tc>
          <w:tcPr>
            <w:tcW w:w="28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DEDEE"/>
          </w:tcPr>
          <w:p>
            <w:pPr>
              <w:jc w:val="right"/>
              <w:ind w:right="440"/>
              <w:spacing w:after="0"/>
              <w:rPr>
                <w:sz w:val="20"/>
                <w:szCs w:val="20"/>
                <w:color w:val="auto"/>
              </w:rPr>
            </w:pPr>
            <w:r>
              <w:rPr>
                <w:rFonts w:ascii="Arial" w:cs="Arial" w:eastAsia="Arial" w:hAnsi="Arial"/>
                <w:sz w:val="16"/>
                <w:szCs w:val="16"/>
                <w:color w:val="auto"/>
              </w:rPr>
              <w:t>0.02</w:t>
            </w:r>
          </w:p>
        </w:tc>
        <w:tc>
          <w:tcPr>
            <w:tcW w:w="6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
        </w:trPr>
        <w:tc>
          <w:tcPr>
            <w:tcW w:w="3280" w:type="dxa"/>
            <w:vAlign w:val="bottom"/>
            <w:tcBorders>
              <w:top w:val="single" w:sz="8" w:color="EDEDEE"/>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72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78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1200" w:type="dxa"/>
            <w:vAlign w:val="bottom"/>
            <w:tcBorders>
              <w:top w:val="single" w:sz="8" w:color="EDEDEE"/>
              <w:bottom w:val="single" w:sz="8" w:color="auto"/>
            </w:tcBorders>
          </w:tcPr>
          <w:p>
            <w:pPr>
              <w:spacing w:after="0" w:line="20" w:lineRule="exact"/>
              <w:rPr>
                <w:sz w:val="1"/>
                <w:szCs w:val="1"/>
                <w:color w:val="auto"/>
              </w:rPr>
            </w:pPr>
          </w:p>
        </w:tc>
        <w:tc>
          <w:tcPr>
            <w:tcW w:w="64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960"/>
        <w:spacing w:after="0"/>
        <w:rPr>
          <w:sz w:val="20"/>
          <w:szCs w:val="20"/>
          <w:color w:val="auto"/>
        </w:rPr>
      </w:pPr>
      <w:r>
        <w:rPr>
          <w:rFonts w:ascii="Arial" w:cs="Arial" w:eastAsia="Arial" w:hAnsi="Arial"/>
          <w:sz w:val="14"/>
          <w:szCs w:val="14"/>
          <w:i w:val="1"/>
          <w:iCs w:val="1"/>
          <w:color w:val="auto"/>
        </w:rPr>
        <w:t>Note: Due to rounding, amounts in this table may not sum to totals.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144F82"/>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1" w:name="page52"/>
    <w:bookmarkEnd w:id="51"/>
    <w:p>
      <w:pPr>
        <w:ind w:left="20"/>
        <w:spacing w:after="0"/>
        <w:rPr>
          <w:sz w:val="20"/>
          <w:szCs w:val="20"/>
          <w:color w:val="auto"/>
        </w:rPr>
      </w:pPr>
      <w:r>
        <w:rPr>
          <w:rFonts w:ascii="Arial" w:cs="Arial" w:eastAsia="Arial" w:hAnsi="Arial"/>
          <w:sz w:val="18"/>
          <w:szCs w:val="18"/>
          <w:b w:val="1"/>
          <w:bCs w:val="1"/>
          <w:color w:val="auto"/>
        </w:rPr>
        <w:t>GAAP Consolidated Earnings Summary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2025 Compared with Three Months Ended March 31, 2024</w:t>
      </w:r>
    </w:p>
    <w:p>
      <w:pPr>
        <w:spacing w:after="0" w:line="129"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For the three months ended March 31, 2025, net income attributable to common stock was $301 million, or $1.40 diluted earnings per common share, compared with net income attributable to common stock of $285 million, or $1.27 diluted earnings per common share, for the three months ended March 31, 2024.</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drivers of changes in net income for the current quarter compared with net income in the year-ago quarter are as follows:</w:t>
      </w:r>
    </w:p>
    <w:p>
      <w:pPr>
        <w:spacing w:after="0" w:line="117" w:lineRule="exact"/>
        <w:rPr>
          <w:sz w:val="20"/>
          <w:szCs w:val="20"/>
          <w:color w:val="auto"/>
        </w:rPr>
      </w:pPr>
    </w:p>
    <w:p>
      <w:pPr>
        <w:ind w:right="80" w:firstLine="453"/>
        <w:spacing w:after="0" w:line="255" w:lineRule="auto"/>
        <w:tabs>
          <w:tab w:leader="none" w:pos="6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interest income decreased by $12 million in the current quarter compared with the year-ago quarter primarily due to a 22-basis point decrease in our net interest margin and a $527 million decrease in FFELP Loans as a result of the sale of that loan portfolio in the fourth quarter of 2024, offset by a $1.5 billion increase in our average Private Education Loans compared with the year-ago period. Our net interest margin decreased in the current quarter from the year-ago quarter primarily because the yields on our interest-earning assets decreased but our cost of funds increased. The yields on our interest-earning assets decreased due to the decline in the 30-day average SOFR compared to the year-ago quarter. Historically, the yields on interest-earning assets reprice more quickly than our cost of funds. As such, the impacts of the declining interest rate environment on our interest-bearing liabilities were delayed, resulting in a higher cost of funds in the current quarter than the year-ago quarter.</w:t>
      </w:r>
    </w:p>
    <w:p>
      <w:pPr>
        <w:spacing w:after="0" w:line="49" w:lineRule="exact"/>
        <w:rPr>
          <w:rFonts w:ascii="Arial" w:cs="Arial" w:eastAsia="Arial" w:hAnsi="Arial"/>
          <w:sz w:val="18"/>
          <w:szCs w:val="18"/>
          <w:color w:val="auto"/>
        </w:rPr>
      </w:pPr>
    </w:p>
    <w:p>
      <w:pPr>
        <w:ind w:right="20" w:firstLine="453"/>
        <w:spacing w:after="0" w:line="255" w:lineRule="auto"/>
        <w:tabs>
          <w:tab w:leader="none" w:pos="6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Provision for credit losses in the current quarter was $23 million, compared with $12 million in the year-ago quarter. During the first quarter of 2025, the increase in the provision for credit losses was primarily affected by new loan commitments, net of expired commitments, and changes in the economic outlook, offset by $116 million in negative provisions resulting from the $2.00 billion Private Education Loan sale during the quarter and adjustments to the weightings of our economic forecast scenarios. In the year-ago quarter, the provision for credit losses was primarily affected by $133 million negative provisions resulting from the $2.10 billion Private Education Loan sale during the quarter, an improved economic outlook, and changes in management overlays and recovery rates, offset by new loan commitments, net of expired commitments, and increases to the provision as a result of decreases in our estimates of the historical long-term average prepayment speeds used after the two-year reasonable and supportable period.</w:t>
      </w:r>
    </w:p>
    <w:p>
      <w:pPr>
        <w:spacing w:after="0" w:line="49" w:lineRule="exact"/>
        <w:rPr>
          <w:rFonts w:ascii="Arial" w:cs="Arial" w:eastAsia="Arial" w:hAnsi="Arial"/>
          <w:sz w:val="18"/>
          <w:szCs w:val="18"/>
          <w:color w:val="auto"/>
        </w:rPr>
      </w:pPr>
    </w:p>
    <w:p>
      <w:pPr>
        <w:ind w:right="40" w:firstLine="453"/>
        <w:spacing w:after="0" w:line="268" w:lineRule="auto"/>
        <w:tabs>
          <w:tab w:leader="none" w:pos="6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Gains on sales of loans, net, were $188 million in the first quarter of 2025, as a result of the $2.00 billion Private Education Loan sale that occurred in the quarter. There were $143 million in gains on sales, net, in the year-ago quarter, as a result of the $2.10 billion in Private Education Loan sale that occurred in the first quarter of 2024.</w:t>
      </w:r>
    </w:p>
    <w:p>
      <w:pPr>
        <w:spacing w:after="0" w:line="35" w:lineRule="exact"/>
        <w:rPr>
          <w:rFonts w:ascii="Arial" w:cs="Arial" w:eastAsia="Arial" w:hAnsi="Arial"/>
          <w:sz w:val="18"/>
          <w:szCs w:val="18"/>
          <w:color w:val="auto"/>
        </w:rPr>
      </w:pPr>
    </w:p>
    <w:p>
      <w:pPr>
        <w:jc w:val="both"/>
        <w:ind w:right="160" w:firstLine="453"/>
        <w:spacing w:after="0" w:line="268" w:lineRule="auto"/>
        <w:tabs>
          <w:tab w:leader="none" w:pos="6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Gains (losses) on securities, net, were $10 million of losses in the current quarter compared with $2 million in gains in the year-ago quarter. The change compared to the year-ago quarter was primarily due to an impairment recorded in the first quarter of 2025 on certain of our non-marketable equity securities, and the change in mark-to-fair value of our trading investments.</w:t>
      </w:r>
    </w:p>
    <w:p>
      <w:pPr>
        <w:spacing w:after="0" w:line="35" w:lineRule="exact"/>
        <w:rPr>
          <w:rFonts w:ascii="Arial" w:cs="Arial" w:eastAsia="Arial" w:hAnsi="Arial"/>
          <w:sz w:val="18"/>
          <w:szCs w:val="18"/>
          <w:color w:val="auto"/>
        </w:rPr>
      </w:pPr>
    </w:p>
    <w:p>
      <w:pPr>
        <w:ind w:firstLine="453"/>
        <w:spacing w:after="0" w:line="259" w:lineRule="auto"/>
        <w:tabs>
          <w:tab w:leader="none" w:pos="6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income was $29 million in both the first quarter of 2025 and the year-ago quarter. Third-party servicing fees in the first quarter of 2025 increased $3 million compared to the year-ago quarter. The increase in third-party servicing fees was due to an additional $3.6 billion of loans that we sold during the past year that we continue to service on behalf of the owners of the loans. The increase in third-party servicing fees was offset by a $3 million decrease in early withdrawal penalty fee income compared to the year-ago period, which was related to a health savings account provider who redeemed its deposits early and paid an early withdrawal penalty in the first quarter of 2024.</w:t>
      </w:r>
    </w:p>
    <w:p>
      <w:pPr>
        <w:spacing w:after="0" w:line="44" w:lineRule="exact"/>
        <w:rPr>
          <w:rFonts w:ascii="Arial" w:cs="Arial" w:eastAsia="Arial" w:hAnsi="Arial"/>
          <w:sz w:val="18"/>
          <w:szCs w:val="18"/>
          <w:color w:val="auto"/>
        </w:rPr>
      </w:pPr>
    </w:p>
    <w:p>
      <w:pPr>
        <w:ind w:right="100" w:firstLine="453"/>
        <w:spacing w:after="0" w:line="287" w:lineRule="auto"/>
        <w:tabs>
          <w:tab w:leader="none" w:pos="6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First-quarter 2025 total operating expenses were $154 million, down from $161 million in the year-ago quarter. The decrease in total operating expenses was primarily driven by lower personnel costs and lower initiative spending.</w:t>
      </w:r>
    </w:p>
    <w:p>
      <w:pPr>
        <w:spacing w:after="0" w:line="17" w:lineRule="exact"/>
        <w:rPr>
          <w:rFonts w:ascii="Arial" w:cs="Arial" w:eastAsia="Arial" w:hAnsi="Arial"/>
          <w:sz w:val="18"/>
          <w:szCs w:val="18"/>
          <w:color w:val="auto"/>
        </w:rPr>
      </w:pPr>
    </w:p>
    <w:p>
      <w:pPr>
        <w:ind w:right="120" w:firstLine="453"/>
        <w:spacing w:after="0" w:line="287" w:lineRule="auto"/>
        <w:tabs>
          <w:tab w:leader="none" w:pos="643"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2025, we recorded $1 million in amortization of acquired intangible assets, consistent with $1 million in the year-ago quarter.</w:t>
      </w:r>
    </w:p>
    <w:p>
      <w:pPr>
        <w:spacing w:after="0" w:line="17" w:lineRule="exact"/>
        <w:rPr>
          <w:rFonts w:ascii="Arial" w:cs="Arial" w:eastAsia="Arial" w:hAnsi="Arial"/>
          <w:sz w:val="18"/>
          <w:szCs w:val="18"/>
          <w:i w:val="1"/>
          <w:iCs w:val="1"/>
          <w:color w:val="auto"/>
        </w:rPr>
      </w:pPr>
    </w:p>
    <w:p>
      <w:pPr>
        <w:ind w:right="40" w:firstLine="453"/>
        <w:spacing w:after="0" w:line="268" w:lineRule="auto"/>
        <w:tabs>
          <w:tab w:leader="none" w:pos="6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First-quarter 2025 income tax expense was $99 million, compared with $97 million income tax expense in the year-ago quarter. Our effective income tax rate decreased to 24.5 percent in the first quarter of 2025 from 25.2 percent in the year-ago quarter. The decrease in the effective rate for the first quarter of 2025 was primarily due to an increase in the tax benefit related to employee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Balance Sheets</w:t>
      </w:r>
    </w:p>
    <w:p>
      <w:pPr>
        <w:spacing w:after="0" w:line="88"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table reflects the rates earned on interest-earning assets and paid on interest-bearing liabilities and reflects our net interest margin on a consolidated basis.</w:t>
      </w:r>
    </w:p>
    <w:p>
      <w:pPr>
        <w:spacing w:after="0" w:line="4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8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5"/>
                <w:szCs w:val="15"/>
                <w:b w:val="1"/>
                <w:bCs w:val="1"/>
                <w:color w:val="144F82"/>
              </w:rPr>
              <w:t>Three Months Ended March 31,</w:t>
            </w: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144F82"/>
              </w:rPr>
              <w:t>2025</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b w:val="1"/>
                <w:bCs w:val="1"/>
                <w:color w:val="144F82"/>
              </w:rPr>
              <w:t>2024</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144F82"/>
              </w:rPr>
              <w:t>(Dollars in thousands)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b w:val="1"/>
                <w:bCs w:val="1"/>
                <w:color w:val="144F82"/>
              </w:rPr>
              <w:t>Balance</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144F82"/>
              </w:rPr>
              <w:t>Rate</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144F82"/>
              </w:rPr>
              <w:t>Balance</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5"/>
                <w:szCs w:val="15"/>
                <w:b w:val="1"/>
                <w:bCs w:val="1"/>
                <w:color w:val="144F82"/>
              </w:rPr>
              <w:t>Rate</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Arial" w:cs="Arial" w:eastAsia="Arial" w:hAnsi="Arial"/>
                <w:sz w:val="15"/>
                <w:szCs w:val="15"/>
                <w:b w:val="1"/>
                <w:bCs w:val="1"/>
                <w:color w:val="144F82"/>
              </w:rPr>
              <w:t>Average Assets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DEDEE"/>
          </w:tcPr>
          <w:p>
            <w:pPr>
              <w:ind w:left="20"/>
              <w:spacing w:after="0"/>
              <w:rPr>
                <w:sz w:val="20"/>
                <w:szCs w:val="20"/>
                <w:color w:val="auto"/>
              </w:rPr>
            </w:pPr>
            <w:r>
              <w:rPr>
                <w:rFonts w:ascii="Arial" w:cs="Arial" w:eastAsia="Arial" w:hAnsi="Arial"/>
                <w:sz w:val="16"/>
                <w:szCs w:val="16"/>
                <w:color w:val="auto"/>
              </w:rPr>
              <w:t>Private Education Loans</w:t>
            </w:r>
          </w:p>
        </w:tc>
        <w:tc>
          <w:tcPr>
            <w:tcW w:w="28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22,916,916</w:t>
            </w:r>
          </w:p>
        </w:tc>
        <w:tc>
          <w:tcPr>
            <w:tcW w:w="1040" w:type="dxa"/>
            <w:vAlign w:val="bottom"/>
            <w:gridSpan w:val="2"/>
            <w:shd w:val="clear" w:color="auto" w:fill="EDEDEE"/>
          </w:tcPr>
          <w:p>
            <w:pPr>
              <w:jc w:val="right"/>
              <w:spacing w:after="0"/>
              <w:rPr>
                <w:sz w:val="20"/>
                <w:szCs w:val="20"/>
                <w:color w:val="auto"/>
              </w:rPr>
            </w:pPr>
            <w:r>
              <w:rPr>
                <w:rFonts w:ascii="Arial" w:cs="Arial" w:eastAsia="Arial" w:hAnsi="Arial"/>
                <w:sz w:val="16"/>
                <w:szCs w:val="16"/>
                <w:color w:val="auto"/>
              </w:rPr>
              <w:t>10.59 %</w:t>
            </w:r>
          </w:p>
        </w:tc>
        <w:tc>
          <w:tcPr>
            <w:tcW w:w="400" w:type="dxa"/>
            <w:vAlign w:val="bottom"/>
            <w:gridSpan w:val="2"/>
            <w:shd w:val="clear" w:color="auto" w:fill="EDEDEE"/>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21,442,744</w:t>
            </w:r>
          </w:p>
        </w:tc>
        <w:tc>
          <w:tcPr>
            <w:tcW w:w="100" w:type="dxa"/>
            <w:vAlign w:val="bottom"/>
            <w:shd w:val="clear" w:color="auto" w:fill="EDEDEE"/>
          </w:tcPr>
          <w:p>
            <w:pPr>
              <w:spacing w:after="0"/>
              <w:rPr>
                <w:sz w:val="18"/>
                <w:szCs w:val="18"/>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11.01 %</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FFELP Loans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527,012</w:t>
            </w: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17"/>
        </w:trPr>
        <w:tc>
          <w:tcPr>
            <w:tcW w:w="2860" w:type="dxa"/>
            <w:vAlign w:val="bottom"/>
            <w:shd w:val="clear" w:color="auto" w:fill="EDEDEE"/>
          </w:tcPr>
          <w:p>
            <w:pPr>
              <w:ind w:left="20"/>
              <w:spacing w:after="0"/>
              <w:rPr>
                <w:sz w:val="20"/>
                <w:szCs w:val="20"/>
                <w:color w:val="auto"/>
              </w:rPr>
            </w:pPr>
            <w:r>
              <w:rPr>
                <w:rFonts w:ascii="Arial" w:cs="Arial" w:eastAsia="Arial" w:hAnsi="Arial"/>
                <w:sz w:val="16"/>
                <w:szCs w:val="16"/>
                <w:color w:val="auto"/>
              </w:rPr>
              <w:t>Taxable securities</w:t>
            </w:r>
          </w:p>
        </w:tc>
        <w:tc>
          <w:tcPr>
            <w:tcW w:w="280" w:type="dxa"/>
            <w:vAlign w:val="bottom"/>
            <w:shd w:val="clear" w:color="auto" w:fill="EDEDEE"/>
          </w:tcPr>
          <w:p>
            <w:pPr>
              <w:spacing w:after="0"/>
              <w:rPr>
                <w:sz w:val="18"/>
                <w:szCs w:val="18"/>
                <w:color w:val="auto"/>
              </w:rPr>
            </w:pPr>
          </w:p>
        </w:tc>
        <w:tc>
          <w:tcPr>
            <w:tcW w:w="1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1,967,738</w:t>
            </w:r>
          </w:p>
        </w:tc>
        <w:tc>
          <w:tcPr>
            <w:tcW w:w="104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EDEDEE"/>
          </w:tcPr>
          <w:p>
            <w:pPr>
              <w:spacing w:after="0"/>
              <w:rPr>
                <w:sz w:val="18"/>
                <w:szCs w:val="18"/>
                <w:color w:val="auto"/>
              </w:rPr>
            </w:pPr>
          </w:p>
        </w:tc>
        <w:tc>
          <w:tcPr>
            <w:tcW w:w="300" w:type="dxa"/>
            <w:vAlign w:val="bottom"/>
            <w:shd w:val="clear" w:color="auto" w:fill="EDEDEE"/>
          </w:tcPr>
          <w:p>
            <w:pPr>
              <w:spacing w:after="0"/>
              <w:rPr>
                <w:sz w:val="18"/>
                <w:szCs w:val="18"/>
                <w:color w:val="auto"/>
              </w:rPr>
            </w:pPr>
          </w:p>
        </w:tc>
        <w:tc>
          <w:tcPr>
            <w:tcW w:w="1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2,471,613</w:t>
            </w:r>
          </w:p>
        </w:tc>
        <w:tc>
          <w:tcPr>
            <w:tcW w:w="100" w:type="dxa"/>
            <w:vAlign w:val="bottom"/>
            <w:shd w:val="clear" w:color="auto" w:fill="EDEDEE"/>
          </w:tcPr>
          <w:p>
            <w:pPr>
              <w:spacing w:after="0"/>
              <w:rPr>
                <w:sz w:val="18"/>
                <w:szCs w:val="18"/>
                <w:color w:val="auto"/>
              </w:rPr>
            </w:pPr>
          </w:p>
        </w:tc>
        <w:tc>
          <w:tcPr>
            <w:tcW w:w="92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Cash and other short-term</w:t>
            </w: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3,966,338</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3,931,978</w:t>
            </w:r>
          </w:p>
        </w:tc>
        <w:tc>
          <w:tcPr>
            <w:tcW w:w="100" w:type="dxa"/>
            <w:vAlign w:val="bottom"/>
          </w:tcPr>
          <w:p>
            <w:pPr>
              <w:spacing w:after="0"/>
              <w:rPr>
                <w:sz w:val="14"/>
                <w:szCs w:val="14"/>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60" w:type="dxa"/>
            <w:vAlign w:val="bottom"/>
            <w:tcBorders>
              <w:top w:val="single" w:sz="8" w:color="EDEDEE"/>
              <w:bottom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Total interest-earning assets</w:t>
            </w:r>
          </w:p>
        </w:tc>
        <w:tc>
          <w:tcPr>
            <w:tcW w:w="280" w:type="dxa"/>
            <w:vAlign w:val="bottom"/>
            <w:tcBorders>
              <w:top w:val="single" w:sz="8" w:color="auto"/>
              <w:bottom w:val="single" w:sz="8" w:color="EDEDEE"/>
            </w:tcBorders>
            <w:shd w:val="clear" w:color="auto" w:fill="EDEDEE"/>
          </w:tcPr>
          <w:p>
            <w:pPr>
              <w:spacing w:after="0"/>
              <w:rPr>
                <w:sz w:val="20"/>
                <w:szCs w:val="20"/>
                <w:color w:val="auto"/>
              </w:rPr>
            </w:pPr>
          </w:p>
        </w:tc>
        <w:tc>
          <w:tcPr>
            <w:tcW w:w="1180" w:type="dxa"/>
            <w:vAlign w:val="bottom"/>
            <w:tcBorders>
              <w:top w:val="single" w:sz="8" w:color="auto"/>
              <w:bottom w:val="single" w:sz="8" w:color="EDEDEE"/>
            </w:tcBorders>
            <w:shd w:val="clear" w:color="auto" w:fill="EDEDEE"/>
          </w:tcPr>
          <w:p>
            <w:pPr>
              <w:jc w:val="right"/>
              <w:spacing w:after="0"/>
              <w:rPr>
                <w:sz w:val="20"/>
                <w:szCs w:val="20"/>
                <w:color w:val="auto"/>
              </w:rPr>
            </w:pPr>
            <w:r>
              <w:rPr>
                <w:rFonts w:ascii="Arial" w:cs="Arial" w:eastAsia="Arial" w:hAnsi="Arial"/>
                <w:sz w:val="16"/>
                <w:szCs w:val="16"/>
                <w:color w:val="auto"/>
              </w:rPr>
              <w:t>28,850,992</w:t>
            </w:r>
          </w:p>
        </w:tc>
        <w:tc>
          <w:tcPr>
            <w:tcW w:w="120" w:type="dxa"/>
            <w:vAlign w:val="bottom"/>
            <w:tcBorders>
              <w:top w:val="single" w:sz="8" w:color="EDEDEE"/>
              <w:bottom w:val="single" w:sz="8" w:color="EDEDEE"/>
            </w:tcBorders>
            <w:shd w:val="clear" w:color="auto" w:fill="EDEDEE"/>
          </w:tcPr>
          <w:p>
            <w:pPr>
              <w:spacing w:after="0"/>
              <w:rPr>
                <w:sz w:val="20"/>
                <w:szCs w:val="20"/>
                <w:color w:val="auto"/>
              </w:rPr>
            </w:pPr>
          </w:p>
        </w:tc>
        <w:tc>
          <w:tcPr>
            <w:tcW w:w="920" w:type="dxa"/>
            <w:vAlign w:val="bottom"/>
            <w:tcBorders>
              <w:top w:val="single" w:sz="8" w:color="auto"/>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9.22 %</w:t>
            </w:r>
          </w:p>
        </w:tc>
        <w:tc>
          <w:tcPr>
            <w:tcW w:w="100" w:type="dxa"/>
            <w:vAlign w:val="bottom"/>
            <w:tcBorders>
              <w:top w:val="single" w:sz="8" w:color="EDEDEE"/>
              <w:bottom w:val="single" w:sz="8" w:color="EDEDEE"/>
            </w:tcBorders>
            <w:shd w:val="clear" w:color="auto" w:fill="EDEDEE"/>
          </w:tcPr>
          <w:p>
            <w:pPr>
              <w:spacing w:after="0"/>
              <w:rPr>
                <w:sz w:val="20"/>
                <w:szCs w:val="20"/>
                <w:color w:val="auto"/>
              </w:rPr>
            </w:pPr>
          </w:p>
        </w:tc>
        <w:tc>
          <w:tcPr>
            <w:tcW w:w="300" w:type="dxa"/>
            <w:vAlign w:val="bottom"/>
            <w:tcBorders>
              <w:top w:val="single" w:sz="8" w:color="auto"/>
              <w:bottom w:val="single" w:sz="8" w:color="EDEDEE"/>
            </w:tcBorders>
            <w:shd w:val="clear" w:color="auto" w:fill="EDEDEE"/>
          </w:tcPr>
          <w:p>
            <w:pPr>
              <w:spacing w:after="0"/>
              <w:rPr>
                <w:sz w:val="20"/>
                <w:szCs w:val="20"/>
                <w:color w:val="auto"/>
              </w:rPr>
            </w:pPr>
          </w:p>
        </w:tc>
        <w:tc>
          <w:tcPr>
            <w:tcW w:w="1260" w:type="dxa"/>
            <w:vAlign w:val="bottom"/>
            <w:tcBorders>
              <w:top w:val="single" w:sz="8" w:color="auto"/>
              <w:bottom w:val="single" w:sz="8" w:color="EDEDEE"/>
            </w:tcBorders>
            <w:shd w:val="clear" w:color="auto" w:fill="EDEDEE"/>
          </w:tcPr>
          <w:p>
            <w:pPr>
              <w:jc w:val="right"/>
              <w:spacing w:after="0"/>
              <w:rPr>
                <w:sz w:val="20"/>
                <w:szCs w:val="20"/>
                <w:color w:val="auto"/>
              </w:rPr>
            </w:pPr>
            <w:r>
              <w:rPr>
                <w:rFonts w:ascii="Arial" w:cs="Arial" w:eastAsia="Arial" w:hAnsi="Arial"/>
                <w:sz w:val="16"/>
                <w:szCs w:val="16"/>
                <w:color w:val="auto"/>
              </w:rPr>
              <w:t>28,373,347</w:t>
            </w:r>
          </w:p>
        </w:tc>
        <w:tc>
          <w:tcPr>
            <w:tcW w:w="100" w:type="dxa"/>
            <w:vAlign w:val="bottom"/>
            <w:tcBorders>
              <w:top w:val="single" w:sz="8" w:color="EDEDEE"/>
              <w:bottom w:val="single" w:sz="8" w:color="EDEDEE"/>
            </w:tcBorders>
            <w:shd w:val="clear" w:color="auto" w:fill="EDEDEE"/>
          </w:tcPr>
          <w:p>
            <w:pPr>
              <w:spacing w:after="0"/>
              <w:rPr>
                <w:sz w:val="20"/>
                <w:szCs w:val="20"/>
                <w:color w:val="auto"/>
              </w:rPr>
            </w:pPr>
          </w:p>
        </w:tc>
        <w:tc>
          <w:tcPr>
            <w:tcW w:w="920" w:type="dxa"/>
            <w:vAlign w:val="bottom"/>
            <w:tcBorders>
              <w:top w:val="single" w:sz="8" w:color="auto"/>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9.41 %</w:t>
            </w:r>
          </w:p>
        </w:tc>
        <w:tc>
          <w:tcPr>
            <w:tcW w:w="0" w:type="dxa"/>
            <w:vAlign w:val="bottom"/>
          </w:tcPr>
          <w:p>
            <w:pPr>
              <w:spacing w:after="0"/>
              <w:rPr>
                <w:sz w:val="1"/>
                <w:szCs w:val="1"/>
                <w:color w:val="auto"/>
              </w:rPr>
            </w:pPr>
          </w:p>
        </w:tc>
      </w:tr>
      <w:tr>
        <w:trPr>
          <w:trHeight w:val="20"/>
        </w:trPr>
        <w:tc>
          <w:tcPr>
            <w:tcW w:w="286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tcBorders>
          </w:tcPr>
          <w:p>
            <w:pPr>
              <w:spacing w:after="0" w:line="20" w:lineRule="exact"/>
              <w:rPr>
                <w:sz w:val="1"/>
                <w:szCs w:val="1"/>
                <w:color w:val="auto"/>
              </w:rPr>
            </w:pPr>
          </w:p>
        </w:tc>
        <w:tc>
          <w:tcPr>
            <w:tcW w:w="118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300" w:type="dxa"/>
            <w:vAlign w:val="bottom"/>
            <w:tcBorders>
              <w:top w:val="single" w:sz="8" w:color="EDEDEE"/>
            </w:tcBorders>
          </w:tcPr>
          <w:p>
            <w:pPr>
              <w:spacing w:after="0" w:line="20" w:lineRule="exact"/>
              <w:rPr>
                <w:sz w:val="1"/>
                <w:szCs w:val="1"/>
                <w:color w:val="auto"/>
              </w:rPr>
            </w:pPr>
          </w:p>
        </w:tc>
        <w:tc>
          <w:tcPr>
            <w:tcW w:w="1260" w:type="dxa"/>
            <w:vAlign w:val="bottom"/>
            <w:tcBorders>
              <w:top w:val="single" w:sz="8" w:color="EDEDEE"/>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EDEDEE"/>
          </w:tcPr>
          <w:p>
            <w:pPr>
              <w:ind w:left="20"/>
              <w:spacing w:after="0"/>
              <w:rPr>
                <w:sz w:val="20"/>
                <w:szCs w:val="20"/>
                <w:color w:val="auto"/>
              </w:rPr>
            </w:pPr>
            <w:r>
              <w:rPr>
                <w:rFonts w:ascii="Arial" w:cs="Arial" w:eastAsia="Arial" w:hAnsi="Arial"/>
                <w:sz w:val="16"/>
                <w:szCs w:val="16"/>
                <w:color w:val="auto"/>
              </w:rPr>
              <w:t>Non-interest-earning assets</w:t>
            </w:r>
          </w:p>
        </w:tc>
        <w:tc>
          <w:tcPr>
            <w:tcW w:w="280" w:type="dxa"/>
            <w:vAlign w:val="bottom"/>
            <w:tcBorders>
              <w:bottom w:val="single" w:sz="8" w:color="auto"/>
            </w:tcBorders>
            <w:shd w:val="clear" w:color="auto" w:fill="EDEDEE"/>
          </w:tcPr>
          <w:p>
            <w:pPr>
              <w:spacing w:after="0"/>
              <w:rPr>
                <w:sz w:val="18"/>
                <w:szCs w:val="18"/>
                <w:color w:val="auto"/>
              </w:rPr>
            </w:pPr>
          </w:p>
        </w:tc>
        <w:tc>
          <w:tcPr>
            <w:tcW w:w="1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463,749</w:t>
            </w:r>
          </w:p>
        </w:tc>
        <w:tc>
          <w:tcPr>
            <w:tcW w:w="12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300" w:type="dxa"/>
            <w:vAlign w:val="bottom"/>
            <w:tcBorders>
              <w:bottom w:val="single" w:sz="8" w:color="auto"/>
            </w:tcBorders>
            <w:shd w:val="clear" w:color="auto" w:fill="EDEDEE"/>
          </w:tcPr>
          <w:p>
            <w:pPr>
              <w:spacing w:after="0"/>
              <w:rPr>
                <w:sz w:val="18"/>
                <w:szCs w:val="18"/>
                <w:color w:val="auto"/>
              </w:rPr>
            </w:pPr>
          </w:p>
        </w:tc>
        <w:tc>
          <w:tcPr>
            <w:tcW w:w="12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346,574</w:t>
            </w:r>
          </w:p>
        </w:tc>
        <w:tc>
          <w:tcPr>
            <w:tcW w:w="10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6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Total assets</w:t>
            </w:r>
          </w:p>
        </w:tc>
        <w:tc>
          <w:tcPr>
            <w:tcW w:w="28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29,314,741</w:t>
            </w:r>
          </w:p>
        </w:tc>
        <w:tc>
          <w:tcPr>
            <w:tcW w:w="120" w:type="dxa"/>
            <w:vAlign w:val="bottom"/>
            <w:shd w:val="clear" w:color="auto" w:fill="EDEDEE"/>
          </w:tcPr>
          <w:p>
            <w:pPr>
              <w:spacing w:after="0"/>
              <w:rPr>
                <w:sz w:val="20"/>
                <w:szCs w:val="20"/>
                <w:color w:val="auto"/>
              </w:rPr>
            </w:pPr>
          </w:p>
        </w:tc>
        <w:tc>
          <w:tcPr>
            <w:tcW w:w="920" w:type="dxa"/>
            <w:vAlign w:val="bottom"/>
            <w:shd w:val="clear" w:color="auto" w:fill="EDEDEE"/>
          </w:tcPr>
          <w:p>
            <w:pPr>
              <w:spacing w:after="0"/>
              <w:rPr>
                <w:sz w:val="20"/>
                <w:szCs w:val="20"/>
                <w:color w:val="auto"/>
              </w:rPr>
            </w:pPr>
          </w:p>
        </w:tc>
        <w:tc>
          <w:tcPr>
            <w:tcW w:w="400" w:type="dxa"/>
            <w:vAlign w:val="bottom"/>
            <w:gridSpan w:val="2"/>
            <w:shd w:val="clear" w:color="auto" w:fill="EDEDEE"/>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28,719,921</w:t>
            </w:r>
          </w:p>
        </w:tc>
        <w:tc>
          <w:tcPr>
            <w:tcW w:w="100" w:type="dxa"/>
            <w:vAlign w:val="bottom"/>
            <w:shd w:val="clear" w:color="auto" w:fill="EDEDEE"/>
          </w:tcPr>
          <w:p>
            <w:pPr>
              <w:spacing w:after="0"/>
              <w:rPr>
                <w:sz w:val="20"/>
                <w:szCs w:val="20"/>
                <w:color w:val="auto"/>
              </w:rPr>
            </w:pPr>
          </w:p>
        </w:tc>
        <w:tc>
          <w:tcPr>
            <w:tcW w:w="920" w:type="dxa"/>
            <w:vAlign w:val="bottom"/>
            <w:shd w:val="clear" w:color="auto" w:fill="EDED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EDEDEE"/>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EDED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Average Liabilities and Equity</w:t>
            </w:r>
          </w:p>
        </w:tc>
        <w:tc>
          <w:tcPr>
            <w:tcW w:w="280" w:type="dxa"/>
            <w:vAlign w:val="bottom"/>
            <w:shd w:val="clear" w:color="auto" w:fill="EDEDEE"/>
          </w:tcPr>
          <w:p>
            <w:pPr>
              <w:spacing w:after="0"/>
              <w:rPr>
                <w:sz w:val="18"/>
                <w:szCs w:val="18"/>
                <w:color w:val="auto"/>
              </w:rPr>
            </w:pPr>
          </w:p>
        </w:tc>
        <w:tc>
          <w:tcPr>
            <w:tcW w:w="118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300" w:type="dxa"/>
            <w:vAlign w:val="bottom"/>
            <w:shd w:val="clear" w:color="auto" w:fill="EDEDEE"/>
          </w:tcPr>
          <w:p>
            <w:pPr>
              <w:spacing w:after="0"/>
              <w:rPr>
                <w:sz w:val="18"/>
                <w:szCs w:val="18"/>
                <w:color w:val="auto"/>
              </w:rPr>
            </w:pPr>
          </w:p>
        </w:tc>
        <w:tc>
          <w:tcPr>
            <w:tcW w:w="1260" w:type="dxa"/>
            <w:vAlign w:val="bottom"/>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Brokered deposits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9,174,527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4.01 %</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10,223,690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3.71 %</w:t>
            </w:r>
          </w:p>
        </w:tc>
        <w:tc>
          <w:tcPr>
            <w:tcW w:w="0" w:type="dxa"/>
            <w:vAlign w:val="bottom"/>
          </w:tcPr>
          <w:p>
            <w:pPr>
              <w:spacing w:after="0"/>
              <w:rPr>
                <w:sz w:val="1"/>
                <w:szCs w:val="1"/>
                <w:color w:val="auto"/>
              </w:rPr>
            </w:pPr>
          </w:p>
        </w:tc>
      </w:tr>
      <w:tr>
        <w:trPr>
          <w:trHeight w:val="217"/>
        </w:trPr>
        <w:tc>
          <w:tcPr>
            <w:tcW w:w="2860" w:type="dxa"/>
            <w:vAlign w:val="bottom"/>
            <w:shd w:val="clear" w:color="auto" w:fill="EDEDEE"/>
          </w:tcPr>
          <w:p>
            <w:pPr>
              <w:ind w:left="20"/>
              <w:spacing w:after="0"/>
              <w:rPr>
                <w:sz w:val="20"/>
                <w:szCs w:val="20"/>
                <w:color w:val="auto"/>
              </w:rPr>
            </w:pPr>
            <w:r>
              <w:rPr>
                <w:rFonts w:ascii="Arial" w:cs="Arial" w:eastAsia="Arial" w:hAnsi="Arial"/>
                <w:sz w:val="16"/>
                <w:szCs w:val="16"/>
                <w:color w:val="auto"/>
              </w:rPr>
              <w:t>Retail and other deposits</w:t>
            </w:r>
          </w:p>
        </w:tc>
        <w:tc>
          <w:tcPr>
            <w:tcW w:w="280" w:type="dxa"/>
            <w:vAlign w:val="bottom"/>
            <w:shd w:val="clear" w:color="auto" w:fill="EDEDEE"/>
          </w:tcPr>
          <w:p>
            <w:pPr>
              <w:spacing w:after="0"/>
              <w:rPr>
                <w:sz w:val="18"/>
                <w:szCs w:val="18"/>
                <w:color w:val="auto"/>
              </w:rPr>
            </w:pPr>
          </w:p>
        </w:tc>
        <w:tc>
          <w:tcPr>
            <w:tcW w:w="1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11,380,124</w:t>
            </w:r>
          </w:p>
        </w:tc>
        <w:tc>
          <w:tcPr>
            <w:tcW w:w="104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EDEDEE"/>
          </w:tcPr>
          <w:p>
            <w:pPr>
              <w:spacing w:after="0"/>
              <w:rPr>
                <w:sz w:val="18"/>
                <w:szCs w:val="18"/>
                <w:color w:val="auto"/>
              </w:rPr>
            </w:pPr>
          </w:p>
        </w:tc>
        <w:tc>
          <w:tcPr>
            <w:tcW w:w="300" w:type="dxa"/>
            <w:vAlign w:val="bottom"/>
            <w:shd w:val="clear" w:color="auto" w:fill="EDEDEE"/>
          </w:tcPr>
          <w:p>
            <w:pPr>
              <w:spacing w:after="0"/>
              <w:rPr>
                <w:sz w:val="18"/>
                <w:szCs w:val="18"/>
                <w:color w:val="auto"/>
              </w:rPr>
            </w:pPr>
          </w:p>
        </w:tc>
        <w:tc>
          <w:tcPr>
            <w:tcW w:w="1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11,233,871</w:t>
            </w:r>
          </w:p>
        </w:tc>
        <w:tc>
          <w:tcPr>
            <w:tcW w:w="100" w:type="dxa"/>
            <w:vAlign w:val="bottom"/>
            <w:shd w:val="clear" w:color="auto" w:fill="EDEDEE"/>
          </w:tcPr>
          <w:p>
            <w:pPr>
              <w:spacing w:after="0"/>
              <w:rPr>
                <w:sz w:val="18"/>
                <w:szCs w:val="18"/>
                <w:color w:val="auto"/>
              </w:rPr>
            </w:pPr>
          </w:p>
        </w:tc>
        <w:tc>
          <w:tcPr>
            <w:tcW w:w="92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line="216" w:lineRule="exact"/>
              <w:rPr>
                <w:sz w:val="20"/>
                <w:szCs w:val="20"/>
                <w:color w:val="auto"/>
              </w:rPr>
            </w:pPr>
            <w:r>
              <w:rPr>
                <w:rFonts w:ascii="Arial" w:cs="Arial" w:eastAsia="Arial" w:hAnsi="Arial"/>
                <w:sz w:val="16"/>
                <w:szCs w:val="16"/>
                <w:color w:val="auto"/>
              </w:rPr>
              <w:t>Other interest-bearing liabilities</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6,405,872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5,134,805</w:t>
            </w:r>
          </w:p>
        </w:tc>
        <w:tc>
          <w:tcPr>
            <w:tcW w:w="1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34"/>
        </w:trPr>
        <w:tc>
          <w:tcPr>
            <w:tcW w:w="2860" w:type="dxa"/>
            <w:vAlign w:val="bottom"/>
            <w:tcBorders>
              <w:top w:val="single" w:sz="8" w:color="EDEDEE"/>
              <w:bottom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Total interest-bearing liabilities</w:t>
            </w:r>
          </w:p>
        </w:tc>
        <w:tc>
          <w:tcPr>
            <w:tcW w:w="280" w:type="dxa"/>
            <w:vAlign w:val="bottom"/>
            <w:tcBorders>
              <w:top w:val="single" w:sz="8" w:color="auto"/>
              <w:bottom w:val="single" w:sz="8" w:color="EDEDEE"/>
            </w:tcBorders>
            <w:shd w:val="clear" w:color="auto" w:fill="EDEDEE"/>
          </w:tcPr>
          <w:p>
            <w:pPr>
              <w:spacing w:after="0"/>
              <w:rPr>
                <w:sz w:val="19"/>
                <w:szCs w:val="19"/>
                <w:color w:val="auto"/>
              </w:rPr>
            </w:pPr>
          </w:p>
        </w:tc>
        <w:tc>
          <w:tcPr>
            <w:tcW w:w="1180" w:type="dxa"/>
            <w:vAlign w:val="bottom"/>
            <w:tcBorders>
              <w:top w:val="single" w:sz="8" w:color="auto"/>
              <w:bottom w:val="single" w:sz="8" w:color="EDEDEE"/>
            </w:tcBorders>
            <w:shd w:val="clear" w:color="auto" w:fill="EDEDEE"/>
          </w:tcPr>
          <w:p>
            <w:pPr>
              <w:jc w:val="right"/>
              <w:spacing w:after="0"/>
              <w:rPr>
                <w:sz w:val="20"/>
                <w:szCs w:val="20"/>
                <w:color w:val="auto"/>
              </w:rPr>
            </w:pPr>
            <w:r>
              <w:rPr>
                <w:rFonts w:ascii="Arial" w:cs="Arial" w:eastAsia="Arial" w:hAnsi="Arial"/>
                <w:sz w:val="16"/>
                <w:szCs w:val="16"/>
                <w:color w:val="auto"/>
              </w:rPr>
              <w:t>26,960,523</w:t>
            </w:r>
          </w:p>
        </w:tc>
        <w:tc>
          <w:tcPr>
            <w:tcW w:w="120" w:type="dxa"/>
            <w:vAlign w:val="bottom"/>
            <w:tcBorders>
              <w:top w:val="single" w:sz="8" w:color="EDEDEE"/>
              <w:bottom w:val="single" w:sz="8" w:color="EDEDEE"/>
            </w:tcBorders>
            <w:shd w:val="clear" w:color="auto" w:fill="EDEDEE"/>
          </w:tcPr>
          <w:p>
            <w:pPr>
              <w:spacing w:after="0"/>
              <w:rPr>
                <w:sz w:val="19"/>
                <w:szCs w:val="19"/>
                <w:color w:val="auto"/>
              </w:rPr>
            </w:pPr>
          </w:p>
        </w:tc>
        <w:tc>
          <w:tcPr>
            <w:tcW w:w="920" w:type="dxa"/>
            <w:vAlign w:val="bottom"/>
            <w:tcBorders>
              <w:top w:val="single" w:sz="8" w:color="auto"/>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4.23 %</w:t>
            </w:r>
          </w:p>
        </w:tc>
        <w:tc>
          <w:tcPr>
            <w:tcW w:w="100" w:type="dxa"/>
            <w:vAlign w:val="bottom"/>
            <w:tcBorders>
              <w:top w:val="single" w:sz="8" w:color="EDEDEE"/>
              <w:bottom w:val="single" w:sz="8" w:color="EDEDEE"/>
            </w:tcBorders>
            <w:shd w:val="clear" w:color="auto" w:fill="EDEDEE"/>
          </w:tcPr>
          <w:p>
            <w:pPr>
              <w:spacing w:after="0"/>
              <w:rPr>
                <w:sz w:val="19"/>
                <w:szCs w:val="19"/>
                <w:color w:val="auto"/>
              </w:rPr>
            </w:pPr>
          </w:p>
        </w:tc>
        <w:tc>
          <w:tcPr>
            <w:tcW w:w="300" w:type="dxa"/>
            <w:vAlign w:val="bottom"/>
            <w:tcBorders>
              <w:top w:val="single" w:sz="8" w:color="auto"/>
              <w:bottom w:val="single" w:sz="8" w:color="EDEDEE"/>
            </w:tcBorders>
            <w:shd w:val="clear" w:color="auto" w:fill="EDEDEE"/>
          </w:tcPr>
          <w:p>
            <w:pPr>
              <w:spacing w:after="0"/>
              <w:rPr>
                <w:sz w:val="19"/>
                <w:szCs w:val="19"/>
                <w:color w:val="auto"/>
              </w:rPr>
            </w:pPr>
          </w:p>
        </w:tc>
        <w:tc>
          <w:tcPr>
            <w:tcW w:w="1260" w:type="dxa"/>
            <w:vAlign w:val="bottom"/>
            <w:tcBorders>
              <w:top w:val="single" w:sz="8" w:color="auto"/>
              <w:bottom w:val="single" w:sz="8" w:color="EDEDEE"/>
            </w:tcBorders>
            <w:shd w:val="clear" w:color="auto" w:fill="EDEDEE"/>
          </w:tcPr>
          <w:p>
            <w:pPr>
              <w:jc w:val="right"/>
              <w:spacing w:after="0"/>
              <w:rPr>
                <w:sz w:val="20"/>
                <w:szCs w:val="20"/>
                <w:color w:val="auto"/>
              </w:rPr>
            </w:pPr>
            <w:r>
              <w:rPr>
                <w:rFonts w:ascii="Arial" w:cs="Arial" w:eastAsia="Arial" w:hAnsi="Arial"/>
                <w:sz w:val="16"/>
                <w:szCs w:val="16"/>
                <w:color w:val="auto"/>
              </w:rPr>
              <w:t>26,592,366</w:t>
            </w:r>
          </w:p>
        </w:tc>
        <w:tc>
          <w:tcPr>
            <w:tcW w:w="100" w:type="dxa"/>
            <w:vAlign w:val="bottom"/>
            <w:tcBorders>
              <w:top w:val="single" w:sz="8" w:color="EDEDEE"/>
              <w:bottom w:val="single" w:sz="8" w:color="EDEDEE"/>
            </w:tcBorders>
            <w:shd w:val="clear" w:color="auto" w:fill="EDEDEE"/>
          </w:tcPr>
          <w:p>
            <w:pPr>
              <w:spacing w:after="0"/>
              <w:rPr>
                <w:sz w:val="19"/>
                <w:szCs w:val="19"/>
                <w:color w:val="auto"/>
              </w:rPr>
            </w:pPr>
          </w:p>
        </w:tc>
        <w:tc>
          <w:tcPr>
            <w:tcW w:w="920" w:type="dxa"/>
            <w:vAlign w:val="bottom"/>
            <w:tcBorders>
              <w:top w:val="single" w:sz="8" w:color="auto"/>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4.18 %</w:t>
            </w:r>
          </w:p>
        </w:tc>
        <w:tc>
          <w:tcPr>
            <w:tcW w:w="0" w:type="dxa"/>
            <w:vAlign w:val="bottom"/>
          </w:tcPr>
          <w:p>
            <w:pPr>
              <w:spacing w:after="0"/>
              <w:rPr>
                <w:sz w:val="1"/>
                <w:szCs w:val="1"/>
                <w:color w:val="auto"/>
              </w:rPr>
            </w:pPr>
          </w:p>
        </w:tc>
      </w:tr>
      <w:tr>
        <w:trPr>
          <w:trHeight w:val="20"/>
        </w:trPr>
        <w:tc>
          <w:tcPr>
            <w:tcW w:w="286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tcBorders>
          </w:tcPr>
          <w:p>
            <w:pPr>
              <w:spacing w:after="0" w:line="20" w:lineRule="exact"/>
              <w:rPr>
                <w:sz w:val="1"/>
                <w:szCs w:val="1"/>
                <w:color w:val="auto"/>
              </w:rPr>
            </w:pPr>
          </w:p>
        </w:tc>
        <w:tc>
          <w:tcPr>
            <w:tcW w:w="118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300" w:type="dxa"/>
            <w:vAlign w:val="bottom"/>
            <w:tcBorders>
              <w:top w:val="single" w:sz="8" w:color="EDEDEE"/>
            </w:tcBorders>
          </w:tcPr>
          <w:p>
            <w:pPr>
              <w:spacing w:after="0" w:line="20" w:lineRule="exact"/>
              <w:rPr>
                <w:sz w:val="1"/>
                <w:szCs w:val="1"/>
                <w:color w:val="auto"/>
              </w:rPr>
            </w:pPr>
          </w:p>
        </w:tc>
        <w:tc>
          <w:tcPr>
            <w:tcW w:w="1260" w:type="dxa"/>
            <w:vAlign w:val="bottom"/>
            <w:tcBorders>
              <w:top w:val="single" w:sz="8" w:color="EDEDEE"/>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DEDEE"/>
          </w:tcPr>
          <w:p>
            <w:pPr>
              <w:ind w:left="20"/>
              <w:spacing w:after="0"/>
              <w:rPr>
                <w:sz w:val="20"/>
                <w:szCs w:val="20"/>
                <w:color w:val="auto"/>
              </w:rPr>
            </w:pPr>
            <w:r>
              <w:rPr>
                <w:rFonts w:ascii="Arial" w:cs="Arial" w:eastAsia="Arial" w:hAnsi="Arial"/>
                <w:sz w:val="16"/>
                <w:szCs w:val="16"/>
                <w:color w:val="auto"/>
              </w:rPr>
              <w:t>Non-interest-bearing liabilities</w:t>
            </w:r>
          </w:p>
        </w:tc>
        <w:tc>
          <w:tcPr>
            <w:tcW w:w="280" w:type="dxa"/>
            <w:vAlign w:val="bottom"/>
            <w:shd w:val="clear" w:color="auto" w:fill="EDEDEE"/>
          </w:tcPr>
          <w:p>
            <w:pPr>
              <w:spacing w:after="0"/>
              <w:rPr>
                <w:sz w:val="18"/>
                <w:szCs w:val="18"/>
                <w:color w:val="auto"/>
              </w:rPr>
            </w:pPr>
          </w:p>
        </w:tc>
        <w:tc>
          <w:tcPr>
            <w:tcW w:w="1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75,856</w:t>
            </w:r>
          </w:p>
        </w:tc>
        <w:tc>
          <w:tcPr>
            <w:tcW w:w="12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300" w:type="dxa"/>
            <w:vAlign w:val="bottom"/>
            <w:shd w:val="clear" w:color="auto" w:fill="EDEDEE"/>
          </w:tcPr>
          <w:p>
            <w:pPr>
              <w:spacing w:after="0"/>
              <w:rPr>
                <w:sz w:val="18"/>
                <w:szCs w:val="18"/>
                <w:color w:val="auto"/>
              </w:rPr>
            </w:pPr>
          </w:p>
        </w:tc>
        <w:tc>
          <w:tcPr>
            <w:tcW w:w="1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127,243</w:t>
            </w:r>
          </w:p>
        </w:tc>
        <w:tc>
          <w:tcPr>
            <w:tcW w:w="10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6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2,278,362</w:t>
            </w:r>
          </w:p>
        </w:tc>
        <w:tc>
          <w:tcPr>
            <w:tcW w:w="120" w:type="dxa"/>
            <w:vAlign w:val="bottom"/>
            <w:tcBorders>
              <w:bottom w:val="single" w:sz="8" w:color="EDEDEE"/>
            </w:tcBorders>
          </w:tcPr>
          <w:p>
            <w:pPr>
              <w:spacing w:after="0"/>
              <w:rPr>
                <w:sz w:val="18"/>
                <w:szCs w:val="18"/>
                <w:color w:val="auto"/>
              </w:rPr>
            </w:pPr>
          </w:p>
        </w:tc>
        <w:tc>
          <w:tcPr>
            <w:tcW w:w="920" w:type="dxa"/>
            <w:vAlign w:val="bottom"/>
            <w:tcBorders>
              <w:bottom w:val="single" w:sz="8" w:color="EDEDEE"/>
            </w:tcBorders>
          </w:tcPr>
          <w:p>
            <w:pPr>
              <w:spacing w:after="0"/>
              <w:rPr>
                <w:sz w:val="18"/>
                <w:szCs w:val="18"/>
                <w:color w:val="auto"/>
              </w:rPr>
            </w:pPr>
          </w:p>
        </w:tc>
        <w:tc>
          <w:tcPr>
            <w:tcW w:w="100" w:type="dxa"/>
            <w:vAlign w:val="bottom"/>
            <w:tcBorders>
              <w:bottom w:val="single" w:sz="8" w:color="EDEDE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2,000,312</w:t>
            </w:r>
          </w:p>
        </w:tc>
        <w:tc>
          <w:tcPr>
            <w:tcW w:w="100" w:type="dxa"/>
            <w:vAlign w:val="bottom"/>
            <w:tcBorders>
              <w:bottom w:val="single" w:sz="8" w:color="EDEDEE"/>
            </w:tcBorders>
          </w:tcPr>
          <w:p>
            <w:pPr>
              <w:spacing w:after="0"/>
              <w:rPr>
                <w:sz w:val="18"/>
                <w:szCs w:val="18"/>
                <w:color w:val="auto"/>
              </w:rPr>
            </w:pPr>
          </w:p>
        </w:tc>
        <w:tc>
          <w:tcPr>
            <w:tcW w:w="920" w:type="dxa"/>
            <w:vAlign w:val="bottom"/>
            <w:tcBorders>
              <w:bottom w:val="single" w:sz="8" w:color="EDEDEE"/>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6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 liabilities and equity</w:t>
            </w:r>
          </w:p>
        </w:tc>
        <w:tc>
          <w:tcPr>
            <w:tcW w:w="28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29,314,741</w:t>
            </w:r>
          </w:p>
        </w:tc>
        <w:tc>
          <w:tcPr>
            <w:tcW w:w="120" w:type="dxa"/>
            <w:vAlign w:val="bottom"/>
            <w:tcBorders>
              <w:bottom w:val="single" w:sz="8" w:color="EDEDEE"/>
            </w:tcBorders>
            <w:shd w:val="clear" w:color="auto" w:fill="EDEDEE"/>
          </w:tcPr>
          <w:p>
            <w:pPr>
              <w:spacing w:after="0"/>
              <w:rPr>
                <w:sz w:val="20"/>
                <w:szCs w:val="20"/>
                <w:color w:val="auto"/>
              </w:rPr>
            </w:pPr>
          </w:p>
        </w:tc>
        <w:tc>
          <w:tcPr>
            <w:tcW w:w="920" w:type="dxa"/>
            <w:vAlign w:val="bottom"/>
            <w:tcBorders>
              <w:bottom w:val="single" w:sz="8" w:color="EDEDEE"/>
            </w:tcBorders>
            <w:shd w:val="clear" w:color="auto" w:fill="EDEDEE"/>
          </w:tcPr>
          <w:p>
            <w:pPr>
              <w:spacing w:after="0"/>
              <w:rPr>
                <w:sz w:val="20"/>
                <w:szCs w:val="20"/>
                <w:color w:val="auto"/>
              </w:rPr>
            </w:pPr>
          </w:p>
        </w:tc>
        <w:tc>
          <w:tcPr>
            <w:tcW w:w="100" w:type="dxa"/>
            <w:vAlign w:val="bottom"/>
            <w:tcBorders>
              <w:bottom w:val="single" w:sz="8" w:color="EDEDEE"/>
            </w:tcBorders>
            <w:shd w:val="clear" w:color="auto" w:fill="EDEDEE"/>
          </w:tcPr>
          <w:p>
            <w:pPr>
              <w:spacing w:after="0"/>
              <w:rPr>
                <w:sz w:val="20"/>
                <w:szCs w:val="20"/>
                <w:color w:val="auto"/>
              </w:rPr>
            </w:pPr>
          </w:p>
        </w:tc>
        <w:tc>
          <w:tcPr>
            <w:tcW w:w="300" w:type="dxa"/>
            <w:vAlign w:val="bottom"/>
            <w:tcBorders>
              <w:bottom w:val="single" w:sz="8" w:color="auto"/>
            </w:tcBorders>
            <w:shd w:val="clear" w:color="auto" w:fill="EDEDEE"/>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28,719,921</w:t>
            </w:r>
          </w:p>
        </w:tc>
        <w:tc>
          <w:tcPr>
            <w:tcW w:w="100" w:type="dxa"/>
            <w:vAlign w:val="bottom"/>
            <w:tcBorders>
              <w:bottom w:val="single" w:sz="8" w:color="EDEDEE"/>
            </w:tcBorders>
            <w:shd w:val="clear" w:color="auto" w:fill="EDEDEE"/>
          </w:tcPr>
          <w:p>
            <w:pPr>
              <w:spacing w:after="0"/>
              <w:rPr>
                <w:sz w:val="20"/>
                <w:szCs w:val="20"/>
                <w:color w:val="auto"/>
              </w:rPr>
            </w:pPr>
          </w:p>
        </w:tc>
        <w:tc>
          <w:tcPr>
            <w:tcW w:w="920" w:type="dxa"/>
            <w:vAlign w:val="bottom"/>
            <w:tcBorders>
              <w:bottom w:val="single" w:sz="8" w:color="EDEDEE"/>
            </w:tcBorders>
            <w:shd w:val="clear" w:color="auto" w:fill="EDED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118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EDEDEE"/>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300" w:type="dxa"/>
            <w:vAlign w:val="bottom"/>
            <w:tcBorders>
              <w:top w:val="single" w:sz="8" w:color="EDEDEE"/>
              <w:bottom w:val="single" w:sz="8" w:color="auto"/>
            </w:tcBorders>
          </w:tcPr>
          <w:p>
            <w:pPr>
              <w:spacing w:after="0" w:line="20" w:lineRule="exact"/>
              <w:rPr>
                <w:sz w:val="1"/>
                <w:szCs w:val="1"/>
                <w:color w:val="auto"/>
              </w:rPr>
            </w:pPr>
          </w:p>
        </w:tc>
        <w:tc>
          <w:tcPr>
            <w:tcW w:w="1260" w:type="dxa"/>
            <w:vAlign w:val="bottom"/>
            <w:tcBorders>
              <w:top w:val="single" w:sz="8" w:color="EDEDEE"/>
              <w:bottom w:val="single" w:sz="8" w:color="auto"/>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EDED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86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Net interest margin</w:t>
            </w:r>
          </w:p>
        </w:tc>
        <w:tc>
          <w:tcPr>
            <w:tcW w:w="280" w:type="dxa"/>
            <w:vAlign w:val="bottom"/>
            <w:shd w:val="clear" w:color="auto" w:fill="EDEDEE"/>
          </w:tcPr>
          <w:p>
            <w:pPr>
              <w:spacing w:after="0"/>
              <w:rPr>
                <w:sz w:val="20"/>
                <w:szCs w:val="20"/>
                <w:color w:val="auto"/>
              </w:rPr>
            </w:pPr>
          </w:p>
        </w:tc>
        <w:tc>
          <w:tcPr>
            <w:tcW w:w="1180" w:type="dxa"/>
            <w:vAlign w:val="bottom"/>
            <w:shd w:val="clear" w:color="auto" w:fill="EDEDEE"/>
          </w:tcPr>
          <w:p>
            <w:pPr>
              <w:spacing w:after="0"/>
              <w:rPr>
                <w:sz w:val="20"/>
                <w:szCs w:val="20"/>
                <w:color w:val="auto"/>
              </w:rPr>
            </w:pPr>
          </w:p>
        </w:tc>
        <w:tc>
          <w:tcPr>
            <w:tcW w:w="1040" w:type="dxa"/>
            <w:vAlign w:val="bottom"/>
            <w:gridSpan w:val="2"/>
            <w:shd w:val="clear" w:color="auto" w:fill="EDEDEE"/>
          </w:tcPr>
          <w:p>
            <w:pPr>
              <w:jc w:val="right"/>
              <w:spacing w:after="0"/>
              <w:rPr>
                <w:sz w:val="20"/>
                <w:szCs w:val="20"/>
                <w:color w:val="auto"/>
              </w:rPr>
            </w:pPr>
            <w:r>
              <w:rPr>
                <w:rFonts w:ascii="Arial" w:cs="Arial" w:eastAsia="Arial" w:hAnsi="Arial"/>
                <w:sz w:val="16"/>
                <w:szCs w:val="16"/>
                <w:color w:val="auto"/>
              </w:rPr>
              <w:t>5.27 %</w:t>
            </w:r>
          </w:p>
        </w:tc>
        <w:tc>
          <w:tcPr>
            <w:tcW w:w="100" w:type="dxa"/>
            <w:vAlign w:val="bottom"/>
            <w:shd w:val="clear" w:color="auto" w:fill="EDEDEE"/>
          </w:tcPr>
          <w:p>
            <w:pPr>
              <w:spacing w:after="0"/>
              <w:rPr>
                <w:sz w:val="20"/>
                <w:szCs w:val="20"/>
                <w:color w:val="auto"/>
              </w:rPr>
            </w:pPr>
          </w:p>
        </w:tc>
        <w:tc>
          <w:tcPr>
            <w:tcW w:w="300" w:type="dxa"/>
            <w:vAlign w:val="bottom"/>
            <w:shd w:val="clear" w:color="auto" w:fill="EDEDEE"/>
          </w:tcPr>
          <w:p>
            <w:pPr>
              <w:spacing w:after="0"/>
              <w:rPr>
                <w:sz w:val="20"/>
                <w:szCs w:val="20"/>
                <w:color w:val="auto"/>
              </w:rPr>
            </w:pPr>
          </w:p>
        </w:tc>
        <w:tc>
          <w:tcPr>
            <w:tcW w:w="1260" w:type="dxa"/>
            <w:vAlign w:val="bottom"/>
            <w:shd w:val="clear" w:color="auto" w:fill="EDEDEE"/>
          </w:tcPr>
          <w:p>
            <w:pPr>
              <w:spacing w:after="0"/>
              <w:rPr>
                <w:sz w:val="20"/>
                <w:szCs w:val="20"/>
                <w:color w:val="auto"/>
              </w:rPr>
            </w:pPr>
          </w:p>
        </w:tc>
        <w:tc>
          <w:tcPr>
            <w:tcW w:w="100" w:type="dxa"/>
            <w:vAlign w:val="bottom"/>
            <w:shd w:val="clear" w:color="auto" w:fill="EDEDEE"/>
          </w:tcPr>
          <w:p>
            <w:pPr>
              <w:spacing w:after="0"/>
              <w:rPr>
                <w:sz w:val="20"/>
                <w:szCs w:val="20"/>
                <w:color w:val="auto"/>
              </w:rPr>
            </w:pP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5.49 %</w:t>
            </w:r>
          </w:p>
        </w:tc>
        <w:tc>
          <w:tcPr>
            <w:tcW w:w="0" w:type="dxa"/>
            <w:vAlign w:val="bottom"/>
          </w:tcPr>
          <w:p>
            <w:pPr>
              <w:spacing w:after="0"/>
              <w:rPr>
                <w:sz w:val="1"/>
                <w:szCs w:val="1"/>
                <w:color w:val="auto"/>
              </w:rPr>
            </w:pPr>
          </w:p>
        </w:tc>
      </w:tr>
      <w:tr>
        <w:trPr>
          <w:trHeight w:val="20"/>
        </w:trPr>
        <w:tc>
          <w:tcPr>
            <w:tcW w:w="286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tcBorders>
          </w:tcPr>
          <w:p>
            <w:pPr>
              <w:spacing w:after="0" w:line="20" w:lineRule="exact"/>
              <w:rPr>
                <w:sz w:val="1"/>
                <w:szCs w:val="1"/>
                <w:color w:val="auto"/>
              </w:rPr>
            </w:pPr>
          </w:p>
        </w:tc>
        <w:tc>
          <w:tcPr>
            <w:tcW w:w="118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300" w:type="dxa"/>
            <w:vAlign w:val="bottom"/>
            <w:tcBorders>
              <w:top w:val="single" w:sz="8" w:color="EDEDEE"/>
            </w:tcBorders>
          </w:tcPr>
          <w:p>
            <w:pPr>
              <w:spacing w:after="0" w:line="20" w:lineRule="exact"/>
              <w:rPr>
                <w:sz w:val="1"/>
                <w:szCs w:val="1"/>
                <w:color w:val="auto"/>
              </w:rPr>
            </w:pPr>
          </w:p>
        </w:tc>
        <w:tc>
          <w:tcPr>
            <w:tcW w:w="1260" w:type="dxa"/>
            <w:vAlign w:val="bottom"/>
            <w:tcBorders>
              <w:top w:val="single" w:sz="8" w:color="EDEDEE"/>
            </w:tcBorders>
          </w:tcPr>
          <w:p>
            <w:pPr>
              <w:spacing w:after="0" w:line="20" w:lineRule="exact"/>
              <w:rPr>
                <w:sz w:val="1"/>
                <w:szCs w:val="1"/>
                <w:color w:val="auto"/>
              </w:rPr>
            </w:pPr>
          </w:p>
        </w:tc>
        <w:tc>
          <w:tcPr>
            <w:tcW w:w="100" w:type="dxa"/>
            <w:vAlign w:val="bottom"/>
            <w:tcBorders>
              <w:top w:val="single" w:sz="8" w:color="EDEDE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1960" w:right="1180" w:hanging="170"/>
        <w:spacing w:after="0" w:line="305" w:lineRule="auto"/>
        <w:tabs>
          <w:tab w:leader="none" w:pos="1920" w:val="left"/>
        </w:tabs>
        <w:numPr>
          <w:ilvl w:val="0"/>
          <w:numId w:val="56"/>
        </w:numPr>
        <w:rPr>
          <w:rFonts w:ascii="Arial" w:cs="Arial" w:eastAsia="Arial" w:hAnsi="Arial"/>
          <w:sz w:val="8"/>
          <w:szCs w:val="8"/>
          <w:color w:val="auto"/>
        </w:rPr>
      </w:pPr>
      <w:r>
        <w:rPr>
          <w:rFonts w:ascii="Arial" w:cs="Arial" w:eastAsia="Arial" w:hAnsi="Arial"/>
          <w:sz w:val="14"/>
          <w:szCs w:val="14"/>
          <w:color w:val="auto"/>
        </w:rPr>
        <w:t>Includes the average balance of our unsecured borrowings, as well as secured borrowings and amortization expense of transaction costs related to our term asset-backed securitizations and our Secured Borrowing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144F82"/>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309" w:right="8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Rate/Volume Analysis</w:t>
      </w:r>
    </w:p>
    <w:p>
      <w:pPr>
        <w:spacing w:after="0" w:line="304"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rate/volume analysis shows the relative contribution of changes in interest rates and asset volumes to changes in interest income, interest expense, and net interest income.</w:t>
      </w:r>
    </w:p>
    <w:p>
      <w:pPr>
        <w:spacing w:after="0" w:line="260"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4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144F82"/>
              </w:rPr>
              <w:t>Increase</w:t>
            </w:r>
          </w:p>
        </w:tc>
        <w:tc>
          <w:tcPr>
            <w:tcW w:w="24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144F82"/>
              </w:rPr>
              <w:t>Change Due To</w:t>
            </w:r>
            <w:r>
              <w:rPr>
                <w:rFonts w:ascii="Arial" w:cs="Arial" w:eastAsia="Arial" w:hAnsi="Arial"/>
                <w:sz w:val="18"/>
                <w:szCs w:val="18"/>
                <w:b w:val="1"/>
                <w:bCs w:val="1"/>
                <w:color w:val="144F82"/>
                <w:vertAlign w:val="superscript"/>
              </w:rPr>
              <w:t>(1)</w:t>
            </w:r>
          </w:p>
        </w:tc>
      </w:tr>
      <w:tr>
        <w:trPr>
          <w:trHeight w:val="196"/>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144F82"/>
              </w:rPr>
              <w:t>(Decrease)</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144F82"/>
              </w:rPr>
              <w:t>Rate</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144F82"/>
              </w:rPr>
              <w:t>Volume</w:t>
            </w:r>
          </w:p>
        </w:tc>
      </w:tr>
      <w:tr>
        <w:trPr>
          <w:trHeight w:val="210"/>
        </w:trPr>
        <w:tc>
          <w:tcPr>
            <w:tcW w:w="458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Three Months Ended March 31, 2025 vs. 2024</w:t>
            </w:r>
          </w:p>
        </w:tc>
        <w:tc>
          <w:tcPr>
            <w:tcW w:w="200" w:type="dxa"/>
            <w:vAlign w:val="bottom"/>
            <w:shd w:val="clear" w:color="auto" w:fill="EDEDEE"/>
          </w:tcPr>
          <w:p>
            <w:pPr>
              <w:spacing w:after="0"/>
              <w:rPr>
                <w:sz w:val="18"/>
                <w:szCs w:val="18"/>
                <w:color w:val="auto"/>
              </w:rPr>
            </w:pPr>
          </w:p>
        </w:tc>
        <w:tc>
          <w:tcPr>
            <w:tcW w:w="1240" w:type="dxa"/>
            <w:vAlign w:val="bottom"/>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880" w:type="dxa"/>
            <w:vAlign w:val="bottom"/>
            <w:shd w:val="clear" w:color="auto" w:fill="EDEDEE"/>
          </w:tcPr>
          <w:p>
            <w:pPr>
              <w:spacing w:after="0"/>
              <w:rPr>
                <w:sz w:val="18"/>
                <w:szCs w:val="18"/>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(7,468)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(12,911)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5,443</w:t>
            </w:r>
          </w:p>
        </w:tc>
      </w:tr>
      <w:tr>
        <w:trPr>
          <w:trHeight w:val="216"/>
        </w:trPr>
        <w:tc>
          <w:tcPr>
            <w:tcW w:w="4580" w:type="dxa"/>
            <w:vAlign w:val="bottom"/>
            <w:shd w:val="clear" w:color="auto" w:fill="EDEDEE"/>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shd w:val="clear" w:color="auto" w:fill="EDEDEE"/>
          </w:tcPr>
          <w:p>
            <w:pPr>
              <w:spacing w:after="0"/>
              <w:rPr>
                <w:sz w:val="18"/>
                <w:szCs w:val="18"/>
                <w:color w:val="auto"/>
              </w:rPr>
            </w:pPr>
          </w:p>
        </w:tc>
        <w:tc>
          <w:tcPr>
            <w:tcW w:w="1240" w:type="dxa"/>
            <w:vAlign w:val="bottom"/>
            <w:tcBorders>
              <w:bottom w:val="single" w:sz="8" w:color="auto"/>
            </w:tcBorders>
            <w:shd w:val="clear" w:color="auto" w:fill="EDEDEE"/>
          </w:tcPr>
          <w:p>
            <w:pPr>
              <w:jc w:val="right"/>
              <w:ind w:right="163"/>
              <w:spacing w:after="0"/>
              <w:rPr>
                <w:sz w:val="20"/>
                <w:szCs w:val="20"/>
                <w:color w:val="auto"/>
              </w:rPr>
            </w:pPr>
            <w:r>
              <w:rPr>
                <w:rFonts w:ascii="Arial" w:cs="Arial" w:eastAsia="Arial" w:hAnsi="Arial"/>
                <w:sz w:val="16"/>
                <w:szCs w:val="16"/>
                <w:color w:val="auto"/>
              </w:rPr>
              <w:t>4,578</w:t>
            </w:r>
          </w:p>
        </w:tc>
        <w:tc>
          <w:tcPr>
            <w:tcW w:w="24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ind w:right="83"/>
              <w:spacing w:after="0"/>
              <w:rPr>
                <w:sz w:val="20"/>
                <w:szCs w:val="20"/>
                <w:color w:val="auto"/>
              </w:rPr>
            </w:pPr>
            <w:r>
              <w:rPr>
                <w:rFonts w:ascii="Arial" w:cs="Arial" w:eastAsia="Arial" w:hAnsi="Arial"/>
                <w:sz w:val="16"/>
                <w:szCs w:val="16"/>
                <w:color w:val="auto"/>
              </w:rPr>
              <w:t>3,040</w:t>
            </w:r>
          </w:p>
        </w:tc>
        <w:tc>
          <w:tcPr>
            <w:tcW w:w="280" w:type="dxa"/>
            <w:vAlign w:val="bottom"/>
            <w:tcBorders>
              <w:bottom w:val="single" w:sz="8" w:color="auto"/>
            </w:tcBorders>
            <w:shd w:val="clear" w:color="auto" w:fill="EDEDEE"/>
          </w:tcPr>
          <w:p>
            <w:pPr>
              <w:spacing w:after="0"/>
              <w:rPr>
                <w:sz w:val="18"/>
                <w:szCs w:val="18"/>
                <w:color w:val="auto"/>
              </w:rPr>
            </w:pPr>
          </w:p>
        </w:tc>
        <w:tc>
          <w:tcPr>
            <w:tcW w:w="88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1,538</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(12,046)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(15,153)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3,107</w:t>
            </w:r>
          </w:p>
        </w:tc>
      </w:tr>
      <w:tr>
        <w:trPr>
          <w:trHeight w:val="21"/>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1800" w:right="1360" w:hanging="172"/>
        <w:spacing w:after="0" w:line="236" w:lineRule="auto"/>
        <w:tabs>
          <w:tab w:leader="none" w:pos="1773" w:val="left"/>
        </w:tabs>
        <w:numPr>
          <w:ilvl w:val="0"/>
          <w:numId w:val="57"/>
        </w:numPr>
        <w:rPr>
          <w:rFonts w:ascii="Arial" w:cs="Arial" w:eastAsia="Arial" w:hAnsi="Arial"/>
          <w:sz w:val="16"/>
          <w:szCs w:val="16"/>
          <w:color w:val="auto"/>
          <w:vertAlign w:val="superscript"/>
        </w:rPr>
      </w:pPr>
      <w:r>
        <w:rPr>
          <w:rFonts w:ascii="Arial" w:cs="Arial" w:eastAsia="Arial" w:hAnsi="Arial"/>
          <w:sz w:val="13"/>
          <w:szCs w:val="13"/>
          <w:color w:val="auto"/>
        </w:rPr>
        <w:t>Changes in income and expense due to both rate and volume have been allocated in proportion to the relationship of the absolute dollar amounts of the change in each. The changes in income and expense are calculated independently for each line in the table. The totals for the rate and volume columns are not the sum of the individual lines.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Our Loans Held for Investment Portfolio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Ending Loans Held for Investment Balances, net</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134F82"/>
        </w:rPr>
        <w:t>Total Loans Held for Investment (Private Education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23495</wp:posOffset>
            </wp:positionV>
            <wp:extent cx="39001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0" w:lineRule="exact"/>
        <w:rPr>
          <w:sz w:val="20"/>
          <w:szCs w:val="20"/>
          <w:color w:val="auto"/>
        </w:rPr>
      </w:pPr>
    </w:p>
    <w:p>
      <w:pPr>
        <w:ind w:left="2580"/>
        <w:spacing w:after="0"/>
        <w:tabs>
          <w:tab w:leader="none" w:pos="5860" w:val="left"/>
          <w:tab w:leader="none" w:pos="7260" w:val="left"/>
        </w:tabs>
        <w:rPr>
          <w:sz w:val="20"/>
          <w:szCs w:val="20"/>
          <w:color w:val="auto"/>
        </w:rPr>
      </w:pPr>
      <w:r>
        <w:rPr>
          <w:rFonts w:ascii="Arial" w:cs="Arial" w:eastAsia="Arial" w:hAnsi="Arial"/>
          <w:sz w:val="14"/>
          <w:szCs w:val="14"/>
          <w:b w:val="1"/>
          <w:bCs w:val="1"/>
          <w:color w:val="134F82"/>
        </w:rPr>
        <w:t>(Dollars in thousands)</w:t>
      </w:r>
      <w:r>
        <w:rPr>
          <w:sz w:val="20"/>
          <w:szCs w:val="20"/>
          <w:color w:val="auto"/>
        </w:rPr>
        <w:tab/>
      </w:r>
      <w:r>
        <w:rPr>
          <w:rFonts w:ascii="Arial" w:cs="Arial" w:eastAsia="Arial" w:hAnsi="Arial"/>
          <w:sz w:val="15"/>
          <w:szCs w:val="15"/>
          <w:b w:val="1"/>
          <w:bCs w:val="1"/>
          <w:color w:val="144F82"/>
        </w:rPr>
        <w:t>March 31, 2025</w:t>
      </w:r>
      <w:r>
        <w:rPr>
          <w:sz w:val="20"/>
          <w:szCs w:val="20"/>
          <w:color w:val="auto"/>
        </w:rPr>
        <w:tab/>
      </w:r>
      <w:r>
        <w:rPr>
          <w:rFonts w:ascii="Arial" w:cs="Arial" w:eastAsia="Arial" w:hAnsi="Arial"/>
          <w:sz w:val="15"/>
          <w:szCs w:val="15"/>
          <w:b w:val="1"/>
          <w:bCs w:val="1"/>
          <w:color w:val="144F82"/>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22860</wp:posOffset>
            </wp:positionV>
            <wp:extent cx="390017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00170" cy="146050"/>
                    </a:xfrm>
                    <a:prstGeom prst="rect">
                      <a:avLst/>
                    </a:prstGeom>
                    <a:noFill/>
                  </pic:spPr>
                </pic:pic>
              </a:graphicData>
            </a:graphic>
          </wp:anchor>
        </w:drawing>
      </w:r>
    </w:p>
    <w:p>
      <w:pPr>
        <w:spacing w:after="0" w:line="29"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134F82"/>
        </w:rPr>
        <w:t>Total loan portfolio:</w:t>
      </w:r>
    </w:p>
    <w:p>
      <w:pPr>
        <w:sectPr>
          <w:pgSz w:w="11900" w:h="16838" w:orient="portrait"/>
          <w:cols w:equalWidth="0" w:num="1">
            <w:col w:w="11200"/>
          </w:cols>
          <w:pgMar w:left="320" w:top="1176" w:right="379" w:bottom="1440" w:gutter="0" w:footer="0" w:header="0"/>
        </w:sectPr>
      </w:pPr>
    </w:p>
    <w:p>
      <w:pPr>
        <w:spacing w:after="0" w:line="116"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In-school</w:t>
      </w:r>
      <w:r>
        <w:rPr>
          <w:rFonts w:ascii="Arial" w:cs="Arial" w:eastAsia="Arial" w:hAnsi="Arial"/>
          <w:sz w:val="21"/>
          <w:szCs w:val="21"/>
          <w:color w:val="auto"/>
          <w:vertAlign w:val="superscript"/>
        </w:rPr>
        <w:t>(1)</w:t>
      </w:r>
    </w:p>
    <w:p>
      <w:pPr>
        <w:spacing w:after="0" w:line="150"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Grace, repayment and other</w:t>
      </w:r>
      <w:r>
        <w:rPr>
          <w:rFonts w:ascii="Arial" w:cs="Arial" w:eastAsia="Arial" w:hAnsi="Arial"/>
          <w:sz w:val="21"/>
          <w:szCs w:val="21"/>
          <w:color w:val="auto"/>
          <w:vertAlign w:val="superscript"/>
        </w:rPr>
        <w:t>(2)</w:t>
      </w:r>
    </w:p>
    <w:p>
      <w:pPr>
        <w:spacing w:after="0" w:line="7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Total, gross</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Deferred origination costs and</w:t>
      </w:r>
    </w:p>
    <w:p>
      <w:pPr>
        <w:ind w:left="2580"/>
        <w:spacing w:after="0"/>
        <w:rPr>
          <w:sz w:val="20"/>
          <w:szCs w:val="20"/>
          <w:color w:val="auto"/>
        </w:rPr>
      </w:pPr>
      <w:r>
        <w:rPr>
          <w:rFonts w:ascii="Arial" w:cs="Arial" w:eastAsia="Arial" w:hAnsi="Arial"/>
          <w:sz w:val="16"/>
          <w:szCs w:val="16"/>
          <w:color w:val="auto"/>
        </w:rPr>
        <w:t>unamortized premium/(discount)</w:t>
      </w:r>
    </w:p>
    <w:p>
      <w:pPr>
        <w:spacing w:after="0" w:line="1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Allowance for credit losses</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144F82"/>
        </w:rPr>
        <w:t>Total loans held for investment</w:t>
      </w:r>
    </w:p>
    <w:p>
      <w:pPr>
        <w:ind w:left="2580"/>
        <w:spacing w:after="0"/>
        <w:rPr>
          <w:sz w:val="20"/>
          <w:szCs w:val="20"/>
          <w:color w:val="auto"/>
        </w:rPr>
      </w:pPr>
      <w:r>
        <w:rPr>
          <w:rFonts w:ascii="Arial" w:cs="Arial" w:eastAsia="Arial" w:hAnsi="Arial"/>
          <w:sz w:val="16"/>
          <w:szCs w:val="16"/>
          <w:b w:val="1"/>
          <w:bCs w:val="1"/>
          <w:color w:val="144F82"/>
        </w:rPr>
        <w:t>portfolio, net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tabs>
          <w:tab w:leader="none" w:pos="560" w:val="left"/>
          <w:tab w:leader="none" w:pos="1520" w:val="left"/>
          <w:tab w:leader="none" w:pos="21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4,700,797</w:t>
        <w:tab/>
        <w:t>$</w:t>
      </w:r>
      <w:r>
        <w:rPr>
          <w:sz w:val="20"/>
          <w:szCs w:val="20"/>
          <w:color w:val="auto"/>
        </w:rPr>
        <w:tab/>
      </w:r>
      <w:r>
        <w:rPr>
          <w:rFonts w:ascii="Arial" w:cs="Arial" w:eastAsia="Arial" w:hAnsi="Arial"/>
          <w:sz w:val="16"/>
          <w:szCs w:val="16"/>
          <w:color w:val="auto"/>
        </w:rPr>
        <w:t>4,397,127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20955</wp:posOffset>
            </wp:positionV>
            <wp:extent cx="3900170" cy="248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00170" cy="248920"/>
                    </a:xfrm>
                    <a:prstGeom prst="rect">
                      <a:avLst/>
                    </a:prstGeom>
                    <a:noFill/>
                  </pic:spPr>
                </pic:pic>
              </a:graphicData>
            </a:graphic>
          </wp:anchor>
        </w:drawing>
      </w:r>
    </w:p>
    <w:p>
      <w:pPr>
        <w:spacing w:after="0" w:line="188" w:lineRule="exact"/>
        <w:rPr>
          <w:sz w:val="20"/>
          <w:szCs w:val="20"/>
          <w:color w:val="auto"/>
        </w:rPr>
      </w:pPr>
    </w:p>
    <w:p>
      <w:pPr>
        <w:ind w:left="500"/>
        <w:spacing w:after="0"/>
        <w:tabs>
          <w:tab w:leader="none" w:pos="2080" w:val="left"/>
        </w:tabs>
        <w:rPr>
          <w:sz w:val="20"/>
          <w:szCs w:val="20"/>
          <w:color w:val="auto"/>
        </w:rPr>
      </w:pPr>
      <w:r>
        <w:rPr>
          <w:rFonts w:ascii="Arial" w:cs="Arial" w:eastAsia="Arial" w:hAnsi="Arial"/>
          <w:sz w:val="16"/>
          <w:szCs w:val="16"/>
          <w:color w:val="auto"/>
        </w:rPr>
        <w:t>17,731,328</w:t>
      </w:r>
      <w:r>
        <w:rPr>
          <w:sz w:val="20"/>
          <w:szCs w:val="20"/>
          <w:color w:val="auto"/>
        </w:rPr>
        <w:tab/>
      </w:r>
      <w:r>
        <w:rPr>
          <w:rFonts w:ascii="Arial" w:cs="Arial" w:eastAsia="Arial" w:hAnsi="Arial"/>
          <w:sz w:val="16"/>
          <w:szCs w:val="16"/>
          <w:color w:val="auto"/>
        </w:rPr>
        <w:t>17,837,881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wp:posOffset>
            </wp:positionV>
            <wp:extent cx="19030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6" w:lineRule="exact"/>
        <w:rPr>
          <w:sz w:val="20"/>
          <w:szCs w:val="20"/>
          <w:color w:val="auto"/>
        </w:rPr>
      </w:pPr>
    </w:p>
    <w:p>
      <w:pPr>
        <w:ind w:left="500"/>
        <w:spacing w:after="0"/>
        <w:tabs>
          <w:tab w:leader="none" w:pos="2080" w:val="left"/>
        </w:tabs>
        <w:rPr>
          <w:sz w:val="20"/>
          <w:szCs w:val="20"/>
          <w:color w:val="auto"/>
        </w:rPr>
      </w:pPr>
      <w:r>
        <w:rPr>
          <w:rFonts w:ascii="Arial" w:cs="Arial" w:eastAsia="Arial" w:hAnsi="Arial"/>
          <w:sz w:val="16"/>
          <w:szCs w:val="16"/>
          <w:color w:val="auto"/>
        </w:rPr>
        <w:t>22,432,125</w:t>
      </w:r>
      <w:r>
        <w:rPr>
          <w:sz w:val="20"/>
          <w:szCs w:val="20"/>
          <w:color w:val="auto"/>
        </w:rPr>
        <w:tab/>
      </w:r>
      <w:r>
        <w:rPr>
          <w:rFonts w:ascii="Arial" w:cs="Arial" w:eastAsia="Arial" w:hAnsi="Arial"/>
          <w:sz w:val="16"/>
          <w:szCs w:val="16"/>
          <w:color w:val="auto"/>
        </w:rPr>
        <w:t>22,235,008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20955</wp:posOffset>
            </wp:positionV>
            <wp:extent cx="390017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00170" cy="240030"/>
                    </a:xfrm>
                    <a:prstGeom prst="rect">
                      <a:avLst/>
                    </a:prstGeom>
                    <a:noFill/>
                  </pic:spPr>
                </pic:pic>
              </a:graphicData>
            </a:graphic>
          </wp:anchor>
        </w:drawing>
      </w:r>
    </w:p>
    <w:p>
      <w:pPr>
        <w:spacing w:after="0" w:line="174"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6"/>
          <w:szCs w:val="16"/>
          <w:color w:val="auto"/>
        </w:rPr>
        <w:t>102,794</w:t>
      </w:r>
      <w:r>
        <w:rPr>
          <w:sz w:val="20"/>
          <w:szCs w:val="20"/>
          <w:color w:val="auto"/>
        </w:rPr>
        <w:tab/>
      </w:r>
      <w:r>
        <w:rPr>
          <w:rFonts w:ascii="Arial" w:cs="Arial" w:eastAsia="Arial" w:hAnsi="Arial"/>
          <w:sz w:val="16"/>
          <w:szCs w:val="16"/>
          <w:color w:val="auto"/>
        </w:rPr>
        <w:t>103,070</w:t>
      </w:r>
    </w:p>
    <w:p>
      <w:pPr>
        <w:spacing w:after="0" w:line="32" w:lineRule="exact"/>
        <w:rPr>
          <w:sz w:val="20"/>
          <w:szCs w:val="20"/>
          <w:color w:val="auto"/>
        </w:rPr>
      </w:pPr>
    </w:p>
    <w:p>
      <w:pPr>
        <w:jc w:val="both"/>
        <w:ind w:left="480"/>
        <w:spacing w:after="0"/>
        <w:tabs>
          <w:tab w:leader="none" w:pos="2100" w:val="left"/>
        </w:tabs>
        <w:rPr>
          <w:sz w:val="20"/>
          <w:szCs w:val="20"/>
          <w:color w:val="auto"/>
        </w:rPr>
      </w:pPr>
      <w:r>
        <w:rPr>
          <w:rFonts w:ascii="Arial" w:cs="Arial" w:eastAsia="Arial" w:hAnsi="Arial"/>
          <w:sz w:val="16"/>
          <w:szCs w:val="16"/>
          <w:color w:val="auto"/>
        </w:rPr>
        <w:t>(1,443,715)</w:t>
      </w:r>
      <w:r>
        <w:rPr>
          <w:sz w:val="20"/>
          <w:szCs w:val="20"/>
          <w:color w:val="auto"/>
        </w:rPr>
        <w:tab/>
      </w:r>
      <w:r>
        <w:rPr>
          <w:rFonts w:ascii="Arial" w:cs="Arial" w:eastAsia="Arial" w:hAnsi="Arial"/>
          <w:sz w:val="16"/>
          <w:szCs w:val="16"/>
          <w:color w:val="auto"/>
        </w:rPr>
        <w:t>(1,435,920)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20955</wp:posOffset>
            </wp:positionV>
            <wp:extent cx="3900170"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00170" cy="240030"/>
                    </a:xfrm>
                    <a:prstGeom prst="rect">
                      <a:avLst/>
                    </a:prstGeom>
                    <a:noFill/>
                  </pic:spPr>
                </pic:pic>
              </a:graphicData>
            </a:graphic>
          </wp:anchor>
        </w:drawing>
      </w:r>
    </w:p>
    <w:p>
      <w:pPr>
        <w:spacing w:after="0" w:line="147" w:lineRule="exact"/>
        <w:rPr>
          <w:sz w:val="20"/>
          <w:szCs w:val="20"/>
          <w:color w:val="auto"/>
        </w:rPr>
      </w:pPr>
    </w:p>
    <w:p>
      <w:pPr>
        <w:spacing w:after="0"/>
        <w:tabs>
          <w:tab w:leader="none" w:pos="480" w:val="left"/>
          <w:tab w:leader="none" w:pos="1520" w:val="left"/>
          <w:tab w:leader="none" w:pos="20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21,091,204</w:t>
        <w:tab/>
        <w:t>$</w:t>
      </w:r>
      <w:r>
        <w:rPr>
          <w:sz w:val="20"/>
          <w:szCs w:val="20"/>
          <w:color w:val="auto"/>
        </w:rPr>
        <w:tab/>
      </w:r>
      <w:r>
        <w:rPr>
          <w:rFonts w:ascii="Arial" w:cs="Arial" w:eastAsia="Arial" w:hAnsi="Arial"/>
          <w:sz w:val="15"/>
          <w:szCs w:val="15"/>
          <w:color w:val="auto"/>
        </w:rPr>
        <w:t>20,902,158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19030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5000" w:space="720"/>
            <w:col w:w="5480"/>
          </w:cols>
          <w:pgMar w:left="320" w:top="1176" w:right="379" w:bottom="1440" w:gutter="0" w:footer="0" w:header="0"/>
          <w:type w:val="continuous"/>
        </w:sectPr>
      </w:pPr>
    </w:p>
    <w:p>
      <w:pPr>
        <w:spacing w:after="0" w:line="253" w:lineRule="exact"/>
        <w:rPr>
          <w:sz w:val="20"/>
          <w:szCs w:val="20"/>
          <w:color w:val="auto"/>
        </w:rPr>
      </w:pPr>
    </w:p>
    <w:p>
      <w:pPr>
        <w:ind w:left="2320" w:hanging="368"/>
        <w:spacing w:after="0"/>
        <w:tabs>
          <w:tab w:leader="none" w:pos="2320" w:val="left"/>
        </w:tabs>
        <w:numPr>
          <w:ilvl w:val="0"/>
          <w:numId w:val="58"/>
        </w:numPr>
        <w:rPr>
          <w:rFonts w:ascii="Arial" w:cs="Arial" w:eastAsia="Arial" w:hAnsi="Arial"/>
          <w:sz w:val="16"/>
          <w:szCs w:val="16"/>
          <w:color w:val="auto"/>
          <w:vertAlign w:val="superscript"/>
        </w:rPr>
      </w:pPr>
      <w:r>
        <w:rPr>
          <w:rFonts w:ascii="Arial" w:cs="Arial" w:eastAsia="Arial" w:hAnsi="Arial"/>
          <w:sz w:val="13"/>
          <w:szCs w:val="13"/>
          <w:color w:val="auto"/>
        </w:rPr>
        <w:t>Loans for customers still attending school and who are not yet required to make payments on the loans.</w:t>
      </w:r>
    </w:p>
    <w:p>
      <w:pPr>
        <w:spacing w:after="0" w:line="293" w:lineRule="exact"/>
        <w:rPr>
          <w:rFonts w:ascii="Arial" w:cs="Arial" w:eastAsia="Arial" w:hAnsi="Arial"/>
          <w:sz w:val="16"/>
          <w:szCs w:val="16"/>
          <w:color w:val="auto"/>
          <w:vertAlign w:val="superscript"/>
        </w:rPr>
      </w:pPr>
    </w:p>
    <w:p>
      <w:pPr>
        <w:ind w:left="2280" w:right="1840" w:hanging="328"/>
        <w:spacing w:after="0" w:line="236" w:lineRule="auto"/>
        <w:tabs>
          <w:tab w:leader="none" w:pos="2290" w:val="left"/>
        </w:tabs>
        <w:numPr>
          <w:ilvl w:val="0"/>
          <w:numId w:val="58"/>
        </w:numPr>
        <w:rPr>
          <w:rFonts w:ascii="Arial" w:cs="Arial" w:eastAsia="Arial" w:hAnsi="Arial"/>
          <w:sz w:val="16"/>
          <w:szCs w:val="16"/>
          <w:color w:val="auto"/>
          <w:vertAlign w:val="superscript"/>
        </w:rPr>
      </w:pPr>
      <w:r>
        <w:rPr>
          <w:rFonts w:ascii="Arial" w:cs="Arial" w:eastAsia="Arial" w:hAnsi="Arial"/>
          <w:sz w:val="13"/>
          <w:szCs w:val="13"/>
          <w:color w:val="auto"/>
        </w:rPr>
        <w:t>Includes loans in deferment or forbearance. 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34F82"/>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6" w:right="37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Average Loans Held for Investment Balances (net of unamortized premium/(discount))</w:t>
      </w:r>
    </w:p>
    <w:p>
      <w:pPr>
        <w:spacing w:after="0" w:line="276" w:lineRule="exact"/>
        <w:rPr>
          <w:sz w:val="20"/>
          <w:szCs w:val="20"/>
          <w:color w:val="auto"/>
        </w:rPr>
      </w:pPr>
    </w:p>
    <w:tbl>
      <w:tblPr>
        <w:tblLayout w:type="fixed"/>
        <w:tblInd w:w="2240" w:type="dxa"/>
        <w:tblCellMar>
          <w:top w:w="0" w:type="dxa"/>
          <w:left w:w="0" w:type="dxa"/>
          <w:bottom w:w="0" w:type="dxa"/>
          <w:right w:w="0" w:type="dxa"/>
        </w:tblCellMar>
      </w:tblPr>
      <w:tr>
        <w:trPr>
          <w:trHeight w:val="162"/>
        </w:trPr>
        <w:tc>
          <w:tcPr>
            <w:tcW w:w="2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144F82"/>
              </w:rPr>
              <w:t>Three Months Ended</w:t>
            </w:r>
          </w:p>
        </w:tc>
        <w:tc>
          <w:tcPr>
            <w:tcW w:w="720" w:type="dxa"/>
            <w:vAlign w:val="bottom"/>
            <w:tcBorders>
              <w:top w:val="single" w:sz="8" w:color="auto"/>
            </w:tcBorders>
          </w:tcPr>
          <w:p>
            <w:pPr>
              <w:spacing w:after="0"/>
              <w:rPr>
                <w:sz w:val="14"/>
                <w:szCs w:val="14"/>
                <w:color w:val="auto"/>
              </w:rPr>
            </w:pPr>
          </w:p>
        </w:tc>
      </w:tr>
      <w:tr>
        <w:trPr>
          <w:trHeight w:val="189"/>
        </w:trPr>
        <w:tc>
          <w:tcPr>
            <w:tcW w:w="2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44F82"/>
              </w:rPr>
              <w:t>March 31,</w:t>
            </w: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95"/>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144F82"/>
              </w:rPr>
              <w:t>2025</w:t>
            </w: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144F82"/>
              </w:rPr>
              <w:t>2024</w:t>
            </w:r>
          </w:p>
        </w:tc>
        <w:tc>
          <w:tcPr>
            <w:tcW w:w="720" w:type="dxa"/>
            <w:vAlign w:val="bottom"/>
            <w:tcBorders>
              <w:bottom w:val="single" w:sz="8" w:color="auto"/>
            </w:tcBorders>
          </w:tcPr>
          <w:p>
            <w:pPr>
              <w:spacing w:after="0"/>
              <w:rPr>
                <w:sz w:val="16"/>
                <w:szCs w:val="16"/>
                <w:color w:val="auto"/>
              </w:rPr>
            </w:pPr>
          </w:p>
        </w:tc>
      </w:tr>
      <w:tr>
        <w:trPr>
          <w:trHeight w:val="211"/>
        </w:trPr>
        <w:tc>
          <w:tcPr>
            <w:tcW w:w="2240" w:type="dxa"/>
            <w:vAlign w:val="bottom"/>
            <w:shd w:val="clear" w:color="auto" w:fill="EDEDEE"/>
          </w:tcPr>
          <w:p>
            <w:pPr>
              <w:ind w:left="20"/>
              <w:spacing w:after="0"/>
              <w:rPr>
                <w:sz w:val="20"/>
                <w:szCs w:val="20"/>
                <w:color w:val="auto"/>
              </w:rPr>
            </w:pPr>
            <w:r>
              <w:rPr>
                <w:rFonts w:ascii="Arial" w:cs="Arial" w:eastAsia="Arial" w:hAnsi="Arial"/>
                <w:sz w:val="16"/>
                <w:szCs w:val="16"/>
                <w:color w:val="auto"/>
              </w:rPr>
              <w:t>Private Education Loans</w:t>
            </w:r>
          </w:p>
        </w:tc>
        <w:tc>
          <w:tcPr>
            <w:tcW w:w="280" w:type="dxa"/>
            <w:vAlign w:val="bottom"/>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DEDEE"/>
          </w:tcPr>
          <w:p>
            <w:pPr>
              <w:jc w:val="right"/>
              <w:ind w:right="101"/>
              <w:spacing w:after="0"/>
              <w:rPr>
                <w:sz w:val="20"/>
                <w:szCs w:val="20"/>
                <w:color w:val="auto"/>
              </w:rPr>
            </w:pPr>
            <w:r>
              <w:rPr>
                <w:rFonts w:ascii="Arial" w:cs="Arial" w:eastAsia="Arial" w:hAnsi="Arial"/>
                <w:sz w:val="16"/>
                <w:szCs w:val="16"/>
                <w:color w:val="auto"/>
              </w:rPr>
              <w:t>22,916,916</w:t>
            </w:r>
          </w:p>
        </w:tc>
        <w:tc>
          <w:tcPr>
            <w:tcW w:w="860" w:type="dxa"/>
            <w:vAlign w:val="bottom"/>
            <w:shd w:val="clear" w:color="auto" w:fill="EDEDEE"/>
          </w:tcPr>
          <w:p>
            <w:pPr>
              <w:jc w:val="right"/>
              <w:ind w:right="3"/>
              <w:spacing w:after="0"/>
              <w:rPr>
                <w:sz w:val="20"/>
                <w:szCs w:val="20"/>
                <w:color w:val="auto"/>
              </w:rPr>
            </w:pPr>
            <w:r>
              <w:rPr>
                <w:rFonts w:ascii="Arial" w:cs="Arial" w:eastAsia="Arial" w:hAnsi="Arial"/>
                <w:sz w:val="16"/>
                <w:szCs w:val="16"/>
                <w:color w:val="auto"/>
              </w:rPr>
              <w:t>100 %</w:t>
            </w:r>
          </w:p>
        </w:tc>
        <w:tc>
          <w:tcPr>
            <w:tcW w:w="420" w:type="dxa"/>
            <w:vAlign w:val="bottom"/>
            <w:shd w:val="clear" w:color="auto" w:fill="EDEDEE"/>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DEDEE"/>
          </w:tcPr>
          <w:p>
            <w:pPr>
              <w:jc w:val="right"/>
              <w:ind w:right="181"/>
              <w:spacing w:after="0"/>
              <w:rPr>
                <w:sz w:val="20"/>
                <w:szCs w:val="20"/>
                <w:color w:val="auto"/>
              </w:rPr>
            </w:pPr>
            <w:r>
              <w:rPr>
                <w:rFonts w:ascii="Arial" w:cs="Arial" w:eastAsia="Arial" w:hAnsi="Arial"/>
                <w:sz w:val="16"/>
                <w:szCs w:val="16"/>
                <w:color w:val="auto"/>
              </w:rPr>
              <w:t>21,442,744</w:t>
            </w:r>
          </w:p>
        </w:tc>
        <w:tc>
          <w:tcPr>
            <w:tcW w:w="7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98 %</w:t>
            </w:r>
          </w:p>
        </w:tc>
      </w:tr>
      <w:tr>
        <w:trPr>
          <w:trHeight w:val="216"/>
        </w:trPr>
        <w:tc>
          <w:tcPr>
            <w:tcW w:w="2240" w:type="dxa"/>
            <w:vAlign w:val="bottom"/>
            <w:tcBorders>
              <w:bottom w:val="single" w:sz="8" w:color="EDEDEE"/>
            </w:tcBorders>
          </w:tcPr>
          <w:p>
            <w:pPr>
              <w:ind w:left="20"/>
              <w:spacing w:after="0" w:line="216" w:lineRule="exact"/>
              <w:rPr>
                <w:sz w:val="20"/>
                <w:szCs w:val="20"/>
                <w:color w:val="auto"/>
              </w:rPr>
            </w:pPr>
            <w:r>
              <w:rPr>
                <w:rFonts w:ascii="Arial" w:cs="Arial" w:eastAsia="Arial" w:hAnsi="Arial"/>
                <w:sz w:val="16"/>
                <w:szCs w:val="16"/>
                <w:color w:val="auto"/>
              </w:rPr>
              <w:t>FFELP Loans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527,012</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r>
      <w:tr>
        <w:trPr>
          <w:trHeight w:val="234"/>
        </w:trPr>
        <w:tc>
          <w:tcPr>
            <w:tcW w:w="224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 portfolio</w:t>
            </w:r>
          </w:p>
        </w:tc>
        <w:tc>
          <w:tcPr>
            <w:tcW w:w="280" w:type="dxa"/>
            <w:vAlign w:val="bottom"/>
            <w:tcBorders>
              <w:bottom w:val="single" w:sz="8" w:color="auto"/>
            </w:tcBorders>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DEDEE"/>
          </w:tcPr>
          <w:p>
            <w:pPr>
              <w:jc w:val="right"/>
              <w:ind w:right="101"/>
              <w:spacing w:after="0"/>
              <w:rPr>
                <w:sz w:val="20"/>
                <w:szCs w:val="20"/>
                <w:color w:val="auto"/>
              </w:rPr>
            </w:pPr>
            <w:r>
              <w:rPr>
                <w:rFonts w:ascii="Arial" w:cs="Arial" w:eastAsia="Arial" w:hAnsi="Arial"/>
                <w:sz w:val="16"/>
                <w:szCs w:val="16"/>
                <w:color w:val="auto"/>
              </w:rPr>
              <w:t>22,916,916</w:t>
            </w:r>
          </w:p>
        </w:tc>
        <w:tc>
          <w:tcPr>
            <w:tcW w:w="860" w:type="dxa"/>
            <w:vAlign w:val="bottom"/>
            <w:tcBorders>
              <w:bottom w:val="single" w:sz="8" w:color="auto"/>
            </w:tcBorders>
            <w:shd w:val="clear" w:color="auto" w:fill="EDEDEE"/>
          </w:tcPr>
          <w:p>
            <w:pPr>
              <w:jc w:val="right"/>
              <w:ind w:right="3"/>
              <w:spacing w:after="0"/>
              <w:rPr>
                <w:sz w:val="20"/>
                <w:szCs w:val="20"/>
                <w:color w:val="auto"/>
              </w:rPr>
            </w:pPr>
            <w:r>
              <w:rPr>
                <w:rFonts w:ascii="Arial" w:cs="Arial" w:eastAsia="Arial" w:hAnsi="Arial"/>
                <w:sz w:val="16"/>
                <w:szCs w:val="16"/>
                <w:color w:val="auto"/>
              </w:rPr>
              <w:t>100 %</w:t>
            </w:r>
          </w:p>
        </w:tc>
        <w:tc>
          <w:tcPr>
            <w:tcW w:w="420" w:type="dxa"/>
            <w:vAlign w:val="bottom"/>
            <w:tcBorders>
              <w:bottom w:val="single" w:sz="8" w:color="auto"/>
            </w:tcBorders>
            <w:shd w:val="clear" w:color="auto" w:fill="EDEDEE"/>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DEDEE"/>
          </w:tcPr>
          <w:p>
            <w:pPr>
              <w:jc w:val="right"/>
              <w:ind w:right="181"/>
              <w:spacing w:after="0"/>
              <w:rPr>
                <w:sz w:val="20"/>
                <w:szCs w:val="20"/>
                <w:color w:val="auto"/>
              </w:rPr>
            </w:pPr>
            <w:r>
              <w:rPr>
                <w:rFonts w:ascii="Arial" w:cs="Arial" w:eastAsia="Arial" w:hAnsi="Arial"/>
                <w:sz w:val="16"/>
                <w:szCs w:val="16"/>
                <w:color w:val="auto"/>
              </w:rPr>
              <w:t>21,969,756</w:t>
            </w:r>
          </w:p>
        </w:tc>
        <w:tc>
          <w:tcPr>
            <w:tcW w:w="7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240" w:type="dxa"/>
            <w:vAlign w:val="bottom"/>
            <w:tcBorders>
              <w:top w:val="single" w:sz="8" w:color="EDEDEE"/>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1140" w:type="dxa"/>
            <w:vAlign w:val="bottom"/>
            <w:tcBorders>
              <w:top w:val="single" w:sz="8" w:color="EDEDEE"/>
              <w:bottom w:val="single" w:sz="8" w:color="auto"/>
            </w:tcBorders>
          </w:tcPr>
          <w:p>
            <w:pPr>
              <w:spacing w:after="0" w:line="20" w:lineRule="exact"/>
              <w:rPr>
                <w:sz w:val="1"/>
                <w:szCs w:val="1"/>
                <w:color w:val="auto"/>
              </w:rPr>
            </w:pPr>
          </w:p>
        </w:tc>
        <w:tc>
          <w:tcPr>
            <w:tcW w:w="860" w:type="dxa"/>
            <w:vAlign w:val="bottom"/>
            <w:tcBorders>
              <w:top w:val="single" w:sz="8" w:color="EDEDEE"/>
              <w:bottom w:val="single" w:sz="8" w:color="auto"/>
            </w:tcBorders>
          </w:tcPr>
          <w:p>
            <w:pPr>
              <w:spacing w:after="0" w:line="20" w:lineRule="exact"/>
              <w:rPr>
                <w:sz w:val="1"/>
                <w:szCs w:val="1"/>
                <w:color w:val="auto"/>
              </w:rPr>
            </w:pPr>
          </w:p>
        </w:tc>
        <w:tc>
          <w:tcPr>
            <w:tcW w:w="420" w:type="dxa"/>
            <w:vAlign w:val="bottom"/>
            <w:tcBorders>
              <w:top w:val="single" w:sz="8" w:color="EDEDEE"/>
              <w:bottom w:val="single" w:sz="8" w:color="auto"/>
            </w:tcBorders>
          </w:tcPr>
          <w:p>
            <w:pPr>
              <w:spacing w:after="0" w:line="20" w:lineRule="exact"/>
              <w:rPr>
                <w:sz w:val="1"/>
                <w:szCs w:val="1"/>
                <w:color w:val="auto"/>
              </w:rPr>
            </w:pPr>
          </w:p>
        </w:tc>
        <w:tc>
          <w:tcPr>
            <w:tcW w:w="1140" w:type="dxa"/>
            <w:vAlign w:val="bottom"/>
            <w:tcBorders>
              <w:top w:val="single" w:sz="8" w:color="EDEDEE"/>
              <w:bottom w:val="single" w:sz="8" w:color="auto"/>
            </w:tcBorders>
          </w:tcPr>
          <w:p>
            <w:pPr>
              <w:spacing w:after="0" w:line="20" w:lineRule="exact"/>
              <w:rPr>
                <w:sz w:val="1"/>
                <w:szCs w:val="1"/>
                <w:color w:val="auto"/>
              </w:rPr>
            </w:pPr>
          </w:p>
        </w:tc>
        <w:tc>
          <w:tcPr>
            <w:tcW w:w="720" w:type="dxa"/>
            <w:vAlign w:val="bottom"/>
            <w:tcBorders>
              <w:top w:val="single" w:sz="8" w:color="EDEDEE"/>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2200" w:right="1660" w:hanging="167"/>
        <w:spacing w:after="0" w:line="216" w:lineRule="auto"/>
        <w:tabs>
          <w:tab w:leader="none" w:pos="2173" w:val="left"/>
        </w:tabs>
        <w:numPr>
          <w:ilvl w:val="0"/>
          <w:numId w:val="59"/>
        </w:numPr>
        <w:rPr>
          <w:rFonts w:ascii="Arial" w:cs="Arial" w:eastAsia="Arial" w:hAnsi="Arial"/>
          <w:sz w:val="16"/>
          <w:szCs w:val="16"/>
          <w:color w:val="auto"/>
          <w:vertAlign w:val="superscript"/>
        </w:rPr>
      </w:pPr>
      <w:r>
        <w:rPr>
          <w:rFonts w:ascii="Arial" w:cs="Arial" w:eastAsia="Arial" w:hAnsi="Arial"/>
          <w:sz w:val="13"/>
          <w:szCs w:val="13"/>
          <w:color w:val="auto"/>
        </w:rPr>
        <w:t>FFELP Loans were transferred to loans held for sale during the third quarter of 2024 and subsequently sold in the fourth quarter of 2024.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Loans Held for Investment, Net </w:t>
      </w:r>
      <w:r>
        <w:rPr>
          <w:rFonts w:ascii="Arial" w:cs="Arial" w:eastAsia="Arial" w:hAnsi="Arial"/>
          <w:sz w:val="18"/>
          <w:szCs w:val="18"/>
          <w:color w:val="auto"/>
        </w:rPr>
        <w:t>—</w:t>
      </w:r>
      <w:r>
        <w:rPr>
          <w:rFonts w:ascii="Arial" w:cs="Arial" w:eastAsia="Arial" w:hAnsi="Arial"/>
          <w:sz w:val="18"/>
          <w:szCs w:val="18"/>
          <w:i w:val="1"/>
          <w:iCs w:val="1"/>
          <w:color w:val="auto"/>
        </w:rPr>
        <w:t xml:space="preserve"> Activity</w:t>
      </w:r>
    </w:p>
    <w:p>
      <w:pPr>
        <w:spacing w:after="0" w:line="278" w:lineRule="exact"/>
        <w:rPr>
          <w:sz w:val="20"/>
          <w:szCs w:val="20"/>
          <w:color w:val="auto"/>
        </w:rPr>
      </w:pPr>
    </w:p>
    <w:tbl>
      <w:tblPr>
        <w:tblLayout w:type="fixed"/>
        <w:tblInd w:w="3120" w:type="dxa"/>
        <w:tblCellMar>
          <w:top w:w="0" w:type="dxa"/>
          <w:left w:w="0" w:type="dxa"/>
          <w:bottom w:w="0" w:type="dxa"/>
          <w:right w:w="0" w:type="dxa"/>
        </w:tblCellMar>
      </w:tblPr>
      <w:tr>
        <w:trPr>
          <w:trHeight w:val="162"/>
        </w:trPr>
        <w:tc>
          <w:tcPr>
            <w:tcW w:w="34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144F82"/>
              </w:rPr>
              <w:t>Total Loans Held for</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80"/>
              <w:spacing w:after="0" w:line="149" w:lineRule="exact"/>
              <w:rPr>
                <w:sz w:val="20"/>
                <w:szCs w:val="20"/>
                <w:color w:val="auto"/>
              </w:rPr>
            </w:pPr>
            <w:r>
              <w:rPr>
                <w:rFonts w:ascii="Arial" w:cs="Arial" w:eastAsia="Arial" w:hAnsi="Arial"/>
                <w:sz w:val="15"/>
                <w:szCs w:val="15"/>
                <w:b w:val="1"/>
                <w:bCs w:val="1"/>
                <w:color w:val="144F82"/>
              </w:rPr>
              <w:t>Investment, net</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80"/>
              <w:spacing w:after="0" w:line="156" w:lineRule="exact"/>
              <w:rPr>
                <w:sz w:val="20"/>
                <w:szCs w:val="20"/>
                <w:color w:val="auto"/>
              </w:rPr>
            </w:pPr>
            <w:r>
              <w:rPr>
                <w:rFonts w:ascii="Arial" w:cs="Arial" w:eastAsia="Arial" w:hAnsi="Arial"/>
                <w:sz w:val="15"/>
                <w:szCs w:val="15"/>
                <w:b w:val="1"/>
                <w:bCs w:val="1"/>
                <w:color w:val="144F82"/>
              </w:rPr>
              <w:t>(Private</w:t>
            </w:r>
          </w:p>
        </w:tc>
        <w:tc>
          <w:tcPr>
            <w:tcW w:w="0" w:type="dxa"/>
            <w:vAlign w:val="bottom"/>
          </w:tcPr>
          <w:p>
            <w:pPr>
              <w:spacing w:after="0"/>
              <w:rPr>
                <w:sz w:val="1"/>
                <w:szCs w:val="1"/>
                <w:color w:val="auto"/>
              </w:rPr>
            </w:pPr>
          </w:p>
        </w:tc>
      </w:tr>
      <w:tr>
        <w:trPr>
          <w:trHeight w:val="181"/>
        </w:trPr>
        <w:tc>
          <w:tcPr>
            <w:tcW w:w="3480" w:type="dxa"/>
            <w:vAlign w:val="bottom"/>
          </w:tcPr>
          <w:p>
            <w:pPr>
              <w:spacing w:after="0"/>
              <w:rPr>
                <w:sz w:val="20"/>
                <w:szCs w:val="20"/>
                <w:color w:val="auto"/>
              </w:rPr>
            </w:pPr>
            <w:r>
              <w:rPr>
                <w:rFonts w:ascii="Arial" w:cs="Arial" w:eastAsia="Arial" w:hAnsi="Arial"/>
                <w:sz w:val="14"/>
                <w:szCs w:val="14"/>
                <w:b w:val="1"/>
                <w:bCs w:val="1"/>
                <w:color w:val="144F82"/>
              </w:rPr>
              <w:t>Three Months Ended March 31, 2025</w:t>
            </w:r>
          </w:p>
        </w:tc>
        <w:tc>
          <w:tcPr>
            <w:tcW w:w="180" w:type="dxa"/>
            <w:vAlign w:val="bottom"/>
          </w:tcPr>
          <w:p>
            <w:pPr>
              <w:spacing w:after="0"/>
              <w:rPr>
                <w:sz w:val="15"/>
                <w:szCs w:val="15"/>
                <w:color w:val="auto"/>
              </w:rPr>
            </w:pPr>
          </w:p>
        </w:tc>
        <w:tc>
          <w:tcPr>
            <w:tcW w:w="1400" w:type="dxa"/>
            <w:vAlign w:val="bottom"/>
          </w:tcPr>
          <w:p>
            <w:pPr>
              <w:jc w:val="center"/>
              <w:ind w:right="100"/>
              <w:spacing w:after="0"/>
              <w:rPr>
                <w:sz w:val="20"/>
                <w:szCs w:val="20"/>
                <w:color w:val="auto"/>
              </w:rPr>
            </w:pPr>
            <w:r>
              <w:rPr>
                <w:rFonts w:ascii="Arial" w:cs="Arial" w:eastAsia="Arial" w:hAnsi="Arial"/>
                <w:sz w:val="15"/>
                <w:szCs w:val="15"/>
                <w:b w:val="1"/>
                <w:bCs w:val="1"/>
                <w:color w:val="144F82"/>
              </w:rPr>
              <w:t>Education</w:t>
            </w:r>
          </w:p>
        </w:tc>
        <w:tc>
          <w:tcPr>
            <w:tcW w:w="0" w:type="dxa"/>
            <w:vAlign w:val="bottom"/>
          </w:tcPr>
          <w:p>
            <w:pPr>
              <w:spacing w:after="0"/>
              <w:rPr>
                <w:sz w:val="1"/>
                <w:szCs w:val="1"/>
                <w:color w:val="auto"/>
              </w:rPr>
            </w:pPr>
          </w:p>
        </w:tc>
      </w:tr>
      <w:tr>
        <w:trPr>
          <w:trHeight w:val="189"/>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44F82"/>
              </w:rPr>
              <w:t>(dollars in thousands)</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144F82"/>
              </w:rPr>
              <w:t>Loans)</w:t>
            </w:r>
          </w:p>
        </w:tc>
        <w:tc>
          <w:tcPr>
            <w:tcW w:w="0" w:type="dxa"/>
            <w:vAlign w:val="bottom"/>
          </w:tcPr>
          <w:p>
            <w:pPr>
              <w:spacing w:after="0"/>
              <w:rPr>
                <w:sz w:val="1"/>
                <w:szCs w:val="1"/>
                <w:color w:val="auto"/>
              </w:rPr>
            </w:pPr>
          </w:p>
        </w:tc>
      </w:tr>
      <w:tr>
        <w:trPr>
          <w:trHeight w:val="209"/>
        </w:trPr>
        <w:tc>
          <w:tcPr>
            <w:tcW w:w="3480" w:type="dxa"/>
            <w:vAlign w:val="bottom"/>
            <w:shd w:val="clear" w:color="auto" w:fill="EDEDEE"/>
          </w:tcPr>
          <w:p>
            <w:pPr>
              <w:spacing w:after="0"/>
              <w:rPr>
                <w:sz w:val="20"/>
                <w:szCs w:val="20"/>
                <w:color w:val="auto"/>
              </w:rPr>
            </w:pPr>
            <w:r>
              <w:rPr>
                <w:rFonts w:ascii="Arial" w:cs="Arial" w:eastAsia="Arial" w:hAnsi="Arial"/>
                <w:sz w:val="16"/>
                <w:szCs w:val="16"/>
                <w:b w:val="1"/>
                <w:bCs w:val="1"/>
                <w:color w:val="144F82"/>
              </w:rPr>
              <w:t>Beginning balance</w:t>
            </w:r>
          </w:p>
        </w:tc>
        <w:tc>
          <w:tcPr>
            <w:tcW w:w="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20,902,158</w:t>
            </w: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6"/>
                <w:szCs w:val="16"/>
                <w:color w:val="auto"/>
              </w:rPr>
              <w:t>Acquisitions and originations: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EDEDEE"/>
          </w:tcPr>
          <w:p>
            <w:pPr>
              <w:ind w:left="120"/>
              <w:spacing w:after="0"/>
              <w:rPr>
                <w:sz w:val="20"/>
                <w:szCs w:val="20"/>
                <w:color w:val="auto"/>
              </w:rPr>
            </w:pPr>
            <w:r>
              <w:rPr>
                <w:rFonts w:ascii="Arial" w:cs="Arial" w:eastAsia="Arial" w:hAnsi="Arial"/>
                <w:sz w:val="16"/>
                <w:szCs w:val="16"/>
                <w:color w:val="auto"/>
              </w:rPr>
              <w:t>Fixed-rate</w:t>
            </w:r>
          </w:p>
        </w:tc>
        <w:tc>
          <w:tcPr>
            <w:tcW w:w="180" w:type="dxa"/>
            <w:vAlign w:val="bottom"/>
            <w:shd w:val="clear" w:color="auto" w:fill="EDEDEE"/>
          </w:tcPr>
          <w:p>
            <w:pPr>
              <w:spacing w:after="0"/>
              <w:rPr>
                <w:sz w:val="18"/>
                <w:szCs w:val="18"/>
                <w:color w:val="auto"/>
              </w:rPr>
            </w:pPr>
          </w:p>
        </w:tc>
        <w:tc>
          <w:tcPr>
            <w:tcW w:w="14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2,471,686</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EDEDEE"/>
            </w:tcBorders>
          </w:tcPr>
          <w:p>
            <w:pPr>
              <w:ind w:left="120"/>
              <w:spacing w:after="0"/>
              <w:rPr>
                <w:sz w:val="20"/>
                <w:szCs w:val="20"/>
                <w:color w:val="auto"/>
              </w:rPr>
            </w:pPr>
            <w:r>
              <w:rPr>
                <w:rFonts w:ascii="Arial" w:cs="Arial" w:eastAsia="Arial" w:hAnsi="Arial"/>
                <w:sz w:val="16"/>
                <w:szCs w:val="16"/>
                <w:color w:val="auto"/>
              </w:rPr>
              <w:t>Variable-rate</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311,650</w:t>
            </w:r>
          </w:p>
        </w:tc>
        <w:tc>
          <w:tcPr>
            <w:tcW w:w="0" w:type="dxa"/>
            <w:vAlign w:val="bottom"/>
          </w:tcPr>
          <w:p>
            <w:pPr>
              <w:spacing w:after="0"/>
              <w:rPr>
                <w:sz w:val="1"/>
                <w:szCs w:val="1"/>
                <w:color w:val="auto"/>
              </w:rPr>
            </w:pPr>
          </w:p>
        </w:tc>
      </w:tr>
      <w:tr>
        <w:trPr>
          <w:trHeight w:val="210"/>
        </w:trPr>
        <w:tc>
          <w:tcPr>
            <w:tcW w:w="3480" w:type="dxa"/>
            <w:vAlign w:val="bottom"/>
            <w:shd w:val="clear" w:color="auto" w:fill="EDEDEE"/>
          </w:tcPr>
          <w:p>
            <w:pPr>
              <w:spacing w:after="0"/>
              <w:rPr>
                <w:sz w:val="20"/>
                <w:szCs w:val="20"/>
                <w:color w:val="auto"/>
              </w:rPr>
            </w:pPr>
            <w:r>
              <w:rPr>
                <w:rFonts w:ascii="Arial" w:cs="Arial" w:eastAsia="Arial" w:hAnsi="Arial"/>
                <w:sz w:val="16"/>
                <w:szCs w:val="16"/>
                <w:color w:val="auto"/>
              </w:rPr>
              <w:t>Total acquisitions and originations</w:t>
            </w:r>
          </w:p>
        </w:tc>
        <w:tc>
          <w:tcPr>
            <w:tcW w:w="180" w:type="dxa"/>
            <w:vAlign w:val="bottom"/>
            <w:shd w:val="clear" w:color="auto" w:fill="EDEDEE"/>
          </w:tcPr>
          <w:p>
            <w:pPr>
              <w:spacing w:after="0"/>
              <w:rPr>
                <w:sz w:val="18"/>
                <w:szCs w:val="18"/>
                <w:color w:val="auto"/>
              </w:rPr>
            </w:pPr>
          </w:p>
        </w:tc>
        <w:tc>
          <w:tcPr>
            <w:tcW w:w="14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2,783,336</w:t>
            </w:r>
          </w:p>
        </w:tc>
        <w:tc>
          <w:tcPr>
            <w:tcW w:w="0" w:type="dxa"/>
            <w:vAlign w:val="bottom"/>
          </w:tcPr>
          <w:p>
            <w:pPr>
              <w:spacing w:after="0"/>
              <w:rPr>
                <w:sz w:val="1"/>
                <w:szCs w:val="1"/>
                <w:color w:val="auto"/>
              </w:rPr>
            </w:pPr>
          </w:p>
        </w:tc>
      </w:tr>
      <w:tr>
        <w:trPr>
          <w:trHeight w:val="162"/>
        </w:trPr>
        <w:tc>
          <w:tcPr>
            <w:tcW w:w="3480" w:type="dxa"/>
            <w:vAlign w:val="bottom"/>
          </w:tcPr>
          <w:p>
            <w:pPr>
              <w:spacing w:after="0" w:line="162" w:lineRule="exact"/>
              <w:rPr>
                <w:sz w:val="20"/>
                <w:szCs w:val="20"/>
                <w:color w:val="auto"/>
              </w:rPr>
            </w:pPr>
            <w:r>
              <w:rPr>
                <w:rFonts w:ascii="Arial" w:cs="Arial" w:eastAsia="Arial" w:hAnsi="Arial"/>
                <w:sz w:val="16"/>
                <w:szCs w:val="16"/>
                <w:color w:val="auto"/>
              </w:rPr>
              <w:t>Capitalized interest and deferred origination</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112,216</w:t>
            </w: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6"/>
                <w:szCs w:val="16"/>
                <w:color w:val="auto"/>
              </w:rPr>
              <w:t>cost premium amortization</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3480" w:type="dxa"/>
            <w:vAlign w:val="bottom"/>
            <w:shd w:val="clear" w:color="auto" w:fill="EDEDEE"/>
          </w:tcPr>
          <w:p>
            <w:pPr>
              <w:spacing w:after="0"/>
              <w:rPr>
                <w:sz w:val="20"/>
                <w:szCs w:val="20"/>
                <w:color w:val="auto"/>
              </w:rPr>
            </w:pPr>
            <w:r>
              <w:rPr>
                <w:rFonts w:ascii="Arial" w:cs="Arial" w:eastAsia="Arial" w:hAnsi="Arial"/>
                <w:sz w:val="16"/>
                <w:szCs w:val="16"/>
                <w:color w:val="auto"/>
              </w:rPr>
              <w:t>Sales</w:t>
            </w:r>
          </w:p>
        </w:tc>
        <w:tc>
          <w:tcPr>
            <w:tcW w:w="180" w:type="dxa"/>
            <w:vAlign w:val="bottom"/>
            <w:shd w:val="clear" w:color="auto" w:fill="EDEDEE"/>
          </w:tcPr>
          <w:p>
            <w:pPr>
              <w:spacing w:after="0"/>
              <w:rPr>
                <w:sz w:val="24"/>
                <w:szCs w:val="24"/>
                <w:color w:val="auto"/>
              </w:rPr>
            </w:pPr>
          </w:p>
        </w:tc>
        <w:tc>
          <w:tcPr>
            <w:tcW w:w="14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(1,847,734)</w:t>
            </w:r>
          </w:p>
        </w:tc>
        <w:tc>
          <w:tcPr>
            <w:tcW w:w="0" w:type="dxa"/>
            <w:vAlign w:val="bottom"/>
          </w:tcPr>
          <w:p>
            <w:pPr>
              <w:spacing w:after="0"/>
              <w:rPr>
                <w:sz w:val="1"/>
                <w:szCs w:val="1"/>
                <w:color w:val="auto"/>
              </w:rPr>
            </w:pPr>
          </w:p>
        </w:tc>
      </w:tr>
      <w:tr>
        <w:trPr>
          <w:trHeight w:val="96"/>
        </w:trPr>
        <w:tc>
          <w:tcPr>
            <w:tcW w:w="3480" w:type="dxa"/>
            <w:vAlign w:val="bottom"/>
            <w:shd w:val="clear" w:color="auto" w:fill="EDEDEE"/>
          </w:tcPr>
          <w:p>
            <w:pPr>
              <w:spacing w:after="0"/>
              <w:rPr>
                <w:sz w:val="8"/>
                <w:szCs w:val="8"/>
                <w:color w:val="auto"/>
              </w:rPr>
            </w:pPr>
          </w:p>
        </w:tc>
        <w:tc>
          <w:tcPr>
            <w:tcW w:w="180" w:type="dxa"/>
            <w:vAlign w:val="bottom"/>
            <w:shd w:val="clear" w:color="auto" w:fill="EDEDEE"/>
          </w:tcPr>
          <w:p>
            <w:pPr>
              <w:spacing w:after="0"/>
              <w:rPr>
                <w:sz w:val="8"/>
                <w:szCs w:val="8"/>
                <w:color w:val="auto"/>
              </w:rPr>
            </w:pPr>
          </w:p>
        </w:tc>
        <w:tc>
          <w:tcPr>
            <w:tcW w:w="1400" w:type="dxa"/>
            <w:vAlign w:val="bottom"/>
            <w:vMerge w:val="continue"/>
            <w:shd w:val="clear" w:color="auto" w:fill="EDEDE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6"/>
                <w:szCs w:val="16"/>
                <w:color w:val="auto"/>
              </w:rPr>
              <w:t>Loan consolidations to third parties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(227,266)</w:t>
            </w:r>
          </w:p>
        </w:tc>
        <w:tc>
          <w:tcPr>
            <w:tcW w:w="0" w:type="dxa"/>
            <w:vAlign w:val="bottom"/>
          </w:tcPr>
          <w:p>
            <w:pPr>
              <w:spacing w:after="0"/>
              <w:rPr>
                <w:sz w:val="1"/>
                <w:szCs w:val="1"/>
                <w:color w:val="auto"/>
              </w:rPr>
            </w:pPr>
          </w:p>
        </w:tc>
      </w:tr>
      <w:tr>
        <w:trPr>
          <w:trHeight w:val="217"/>
        </w:trPr>
        <w:tc>
          <w:tcPr>
            <w:tcW w:w="3480" w:type="dxa"/>
            <w:vAlign w:val="bottom"/>
            <w:shd w:val="clear" w:color="auto" w:fill="EDEDEE"/>
          </w:tcPr>
          <w:p>
            <w:pPr>
              <w:spacing w:after="0"/>
              <w:rPr>
                <w:sz w:val="20"/>
                <w:szCs w:val="20"/>
                <w:color w:val="auto"/>
              </w:rPr>
            </w:pPr>
            <w:r>
              <w:rPr>
                <w:rFonts w:ascii="Arial" w:cs="Arial" w:eastAsia="Arial" w:hAnsi="Arial"/>
                <w:sz w:val="16"/>
                <w:szCs w:val="16"/>
                <w:color w:val="auto"/>
              </w:rPr>
              <w:t>Allowance</w:t>
            </w:r>
          </w:p>
        </w:tc>
        <w:tc>
          <w:tcPr>
            <w:tcW w:w="180" w:type="dxa"/>
            <w:vAlign w:val="bottom"/>
            <w:shd w:val="clear" w:color="auto" w:fill="EDEDEE"/>
          </w:tcPr>
          <w:p>
            <w:pPr>
              <w:spacing w:after="0"/>
              <w:rPr>
                <w:sz w:val="18"/>
                <w:szCs w:val="18"/>
                <w:color w:val="auto"/>
              </w:rPr>
            </w:pPr>
          </w:p>
        </w:tc>
        <w:tc>
          <w:tcPr>
            <w:tcW w:w="14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(7,795)</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EDEDEE"/>
            </w:tcBorders>
          </w:tcPr>
          <w:p>
            <w:pPr>
              <w:spacing w:after="0"/>
              <w:rPr>
                <w:sz w:val="20"/>
                <w:szCs w:val="20"/>
                <w:color w:val="auto"/>
              </w:rPr>
            </w:pPr>
            <w:r>
              <w:rPr>
                <w:rFonts w:ascii="Arial" w:cs="Arial" w:eastAsia="Arial" w:hAnsi="Arial"/>
                <w:sz w:val="16"/>
                <w:szCs w:val="16"/>
                <w:color w:val="auto"/>
              </w:rPr>
              <w:t>Repayments and 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(623,711)</w:t>
            </w:r>
          </w:p>
        </w:tc>
        <w:tc>
          <w:tcPr>
            <w:tcW w:w="0" w:type="dxa"/>
            <w:vAlign w:val="bottom"/>
          </w:tcPr>
          <w:p>
            <w:pPr>
              <w:spacing w:after="0"/>
              <w:rPr>
                <w:sz w:val="1"/>
                <w:szCs w:val="1"/>
                <w:color w:val="auto"/>
              </w:rPr>
            </w:pPr>
          </w:p>
        </w:tc>
      </w:tr>
      <w:tr>
        <w:trPr>
          <w:trHeight w:val="235"/>
        </w:trPr>
        <w:tc>
          <w:tcPr>
            <w:tcW w:w="348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b w:val="1"/>
                <w:bCs w:val="1"/>
                <w:color w:val="144F82"/>
              </w:rPr>
              <w:t>Ending balance</w:t>
            </w:r>
          </w:p>
        </w:tc>
        <w:tc>
          <w:tcPr>
            <w:tcW w:w="1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21,091,204</w:t>
            </w:r>
          </w:p>
        </w:tc>
        <w:tc>
          <w:tcPr>
            <w:tcW w:w="0" w:type="dxa"/>
            <w:vAlign w:val="bottom"/>
          </w:tcPr>
          <w:p>
            <w:pPr>
              <w:spacing w:after="0"/>
              <w:rPr>
                <w:sz w:val="1"/>
                <w:szCs w:val="1"/>
                <w:color w:val="auto"/>
              </w:rPr>
            </w:pPr>
          </w:p>
        </w:tc>
      </w:tr>
      <w:tr>
        <w:trPr>
          <w:trHeight w:val="20"/>
        </w:trPr>
        <w:tc>
          <w:tcPr>
            <w:tcW w:w="3480" w:type="dxa"/>
            <w:vAlign w:val="bottom"/>
            <w:tcBorders>
              <w:top w:val="single" w:sz="8" w:color="EDEDEE"/>
            </w:tcBorders>
          </w:tcPr>
          <w:p>
            <w:pPr>
              <w:spacing w:after="0" w:line="20" w:lineRule="exact"/>
              <w:rPr>
                <w:sz w:val="1"/>
                <w:szCs w:val="1"/>
                <w:color w:val="auto"/>
              </w:rPr>
            </w:pPr>
          </w:p>
        </w:tc>
        <w:tc>
          <w:tcPr>
            <w:tcW w:w="180" w:type="dxa"/>
            <w:vAlign w:val="bottom"/>
            <w:tcBorders>
              <w:top w:val="single" w:sz="8" w:color="EDEDEE"/>
              <w:bottom w:val="single" w:sz="8" w:color="auto"/>
            </w:tcBorders>
          </w:tcPr>
          <w:p>
            <w:pPr>
              <w:spacing w:after="0" w:line="20" w:lineRule="exact"/>
              <w:rPr>
                <w:sz w:val="1"/>
                <w:szCs w:val="1"/>
                <w:color w:val="auto"/>
              </w:rPr>
            </w:pPr>
          </w:p>
        </w:tc>
        <w:tc>
          <w:tcPr>
            <w:tcW w:w="14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340" w:type="dxa"/>
        <w:tblCellMar>
          <w:top w:w="0" w:type="dxa"/>
          <w:left w:w="0" w:type="dxa"/>
          <w:bottom w:w="0" w:type="dxa"/>
          <w:right w:w="0" w:type="dxa"/>
        </w:tblCellMar>
      </w:tblPr>
      <w:tr>
        <w:trPr>
          <w:trHeight w:val="162"/>
        </w:trPr>
        <w:tc>
          <w:tcPr>
            <w:tcW w:w="38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134F82"/>
              </w:rPr>
              <w:t>Three Months Ended March 31, 2024</w:t>
            </w:r>
          </w:p>
        </w:tc>
        <w:tc>
          <w:tcPr>
            <w:tcW w:w="3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ind w:right="241"/>
              <w:spacing w:after="0"/>
              <w:rPr>
                <w:sz w:val="20"/>
                <w:szCs w:val="20"/>
                <w:color w:val="auto"/>
              </w:rPr>
            </w:pPr>
            <w:r>
              <w:rPr>
                <w:rFonts w:ascii="Arial" w:cs="Arial" w:eastAsia="Arial" w:hAnsi="Arial"/>
                <w:sz w:val="14"/>
                <w:szCs w:val="14"/>
                <w:b w:val="1"/>
                <w:bCs w:val="1"/>
                <w:color w:val="134F82"/>
              </w:rPr>
              <w:t>Private</w:t>
            </w: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381"/>
              <w:spacing w:after="0"/>
              <w:rPr>
                <w:sz w:val="20"/>
                <w:szCs w:val="20"/>
                <w:color w:val="auto"/>
              </w:rPr>
            </w:pPr>
            <w:r>
              <w:rPr>
                <w:rFonts w:ascii="Arial" w:cs="Arial" w:eastAsia="Arial" w:hAnsi="Arial"/>
                <w:sz w:val="14"/>
                <w:szCs w:val="14"/>
                <w:b w:val="1"/>
                <w:bCs w:val="1"/>
                <w:color w:val="134F82"/>
              </w:rPr>
              <w:t>FFELP</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134F82"/>
              </w:rPr>
              <w:t>Total Loans</w:t>
            </w:r>
          </w:p>
        </w:tc>
        <w:tc>
          <w:tcPr>
            <w:tcW w:w="0" w:type="dxa"/>
            <w:vAlign w:val="bottom"/>
          </w:tcPr>
          <w:p>
            <w:pPr>
              <w:spacing w:after="0"/>
              <w:rPr>
                <w:sz w:val="1"/>
                <w:szCs w:val="1"/>
                <w:color w:val="auto"/>
              </w:rPr>
            </w:pPr>
          </w:p>
        </w:tc>
      </w:tr>
      <w:tr>
        <w:trPr>
          <w:trHeight w:val="148"/>
        </w:trPr>
        <w:tc>
          <w:tcPr>
            <w:tcW w:w="3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134F82"/>
              </w:rPr>
              <w:t>Education</w:t>
            </w:r>
          </w:p>
        </w:tc>
        <w:tc>
          <w:tcPr>
            <w:tcW w:w="3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134F82"/>
              </w:rPr>
              <w:t>Held for</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34F82"/>
              </w:rPr>
              <w:t>(dollars in thousands)</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134F82"/>
              </w:rPr>
              <w:t>Loans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134F82"/>
              </w:rPr>
              <w:t>Loans</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134F82"/>
              </w:rPr>
              <w:t>Investment, net</w:t>
            </w:r>
          </w:p>
        </w:tc>
        <w:tc>
          <w:tcPr>
            <w:tcW w:w="0" w:type="dxa"/>
            <w:vAlign w:val="bottom"/>
          </w:tcPr>
          <w:p>
            <w:pPr>
              <w:spacing w:after="0"/>
              <w:rPr>
                <w:sz w:val="1"/>
                <w:szCs w:val="1"/>
                <w:color w:val="auto"/>
              </w:rPr>
            </w:pPr>
          </w:p>
        </w:tc>
      </w:tr>
      <w:tr>
        <w:trPr>
          <w:trHeight w:val="209"/>
        </w:trPr>
        <w:tc>
          <w:tcPr>
            <w:tcW w:w="3800" w:type="dxa"/>
            <w:vAlign w:val="bottom"/>
            <w:shd w:val="clear" w:color="auto" w:fill="EDEDEE"/>
          </w:tcPr>
          <w:p>
            <w:pPr>
              <w:spacing w:after="0"/>
              <w:rPr>
                <w:sz w:val="20"/>
                <w:szCs w:val="20"/>
                <w:color w:val="auto"/>
              </w:rPr>
            </w:pPr>
            <w:r>
              <w:rPr>
                <w:rFonts w:ascii="Arial" w:cs="Arial" w:eastAsia="Arial" w:hAnsi="Arial"/>
                <w:sz w:val="16"/>
                <w:szCs w:val="16"/>
                <w:b w:val="1"/>
                <w:bCs w:val="1"/>
                <w:color w:val="144F82"/>
              </w:rPr>
              <w:t>Beginning balance</w:t>
            </w:r>
          </w:p>
        </w:tc>
        <w:tc>
          <w:tcPr>
            <w:tcW w:w="30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DEDEE"/>
          </w:tcPr>
          <w:p>
            <w:pPr>
              <w:jc w:val="right"/>
              <w:ind w:right="61"/>
              <w:spacing w:after="0"/>
              <w:rPr>
                <w:sz w:val="20"/>
                <w:szCs w:val="20"/>
                <w:color w:val="auto"/>
              </w:rPr>
            </w:pPr>
            <w:r>
              <w:rPr>
                <w:rFonts w:ascii="Arial" w:cs="Arial" w:eastAsia="Arial" w:hAnsi="Arial"/>
                <w:sz w:val="16"/>
                <w:szCs w:val="16"/>
                <w:color w:val="auto"/>
              </w:rPr>
              <w:t>19,772,293</w:t>
            </w:r>
          </w:p>
        </w:tc>
        <w:tc>
          <w:tcPr>
            <w:tcW w:w="340" w:type="dxa"/>
            <w:vAlign w:val="bottom"/>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EDEE"/>
          </w:tcPr>
          <w:p>
            <w:pPr>
              <w:jc w:val="right"/>
              <w:ind w:right="41"/>
              <w:spacing w:after="0"/>
              <w:rPr>
                <w:sz w:val="20"/>
                <w:szCs w:val="20"/>
                <w:color w:val="auto"/>
              </w:rPr>
            </w:pPr>
            <w:r>
              <w:rPr>
                <w:rFonts w:ascii="Arial" w:cs="Arial" w:eastAsia="Arial" w:hAnsi="Arial"/>
                <w:sz w:val="16"/>
                <w:szCs w:val="16"/>
                <w:color w:val="auto"/>
              </w:rPr>
              <w:t>534,064</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20,306,357</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6"/>
                <w:szCs w:val="16"/>
                <w:color w:val="auto"/>
              </w:rPr>
              <w:t>Acquisitions and originations: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EDEDEE"/>
          </w:tcPr>
          <w:p>
            <w:pPr>
              <w:ind w:left="120"/>
              <w:spacing w:after="0"/>
              <w:rPr>
                <w:sz w:val="20"/>
                <w:szCs w:val="20"/>
                <w:color w:val="auto"/>
              </w:rPr>
            </w:pPr>
            <w:r>
              <w:rPr>
                <w:rFonts w:ascii="Arial" w:cs="Arial" w:eastAsia="Arial" w:hAnsi="Arial"/>
                <w:sz w:val="16"/>
                <w:szCs w:val="16"/>
                <w:color w:val="auto"/>
              </w:rPr>
              <w:t>Fixed-rate</w:t>
            </w:r>
          </w:p>
        </w:tc>
        <w:tc>
          <w:tcPr>
            <w:tcW w:w="300" w:type="dxa"/>
            <w:vAlign w:val="bottom"/>
            <w:shd w:val="clear" w:color="auto" w:fill="EDEDEE"/>
          </w:tcPr>
          <w:p>
            <w:pPr>
              <w:spacing w:after="0"/>
              <w:rPr>
                <w:sz w:val="18"/>
                <w:szCs w:val="18"/>
                <w:color w:val="auto"/>
              </w:rPr>
            </w:pPr>
          </w:p>
        </w:tc>
        <w:tc>
          <w:tcPr>
            <w:tcW w:w="1440" w:type="dxa"/>
            <w:vAlign w:val="bottom"/>
            <w:shd w:val="clear" w:color="auto" w:fill="EDEDEE"/>
          </w:tcPr>
          <w:p>
            <w:pPr>
              <w:jc w:val="right"/>
              <w:ind w:right="61"/>
              <w:spacing w:after="0"/>
              <w:rPr>
                <w:sz w:val="20"/>
                <w:szCs w:val="20"/>
                <w:color w:val="auto"/>
              </w:rPr>
            </w:pPr>
            <w:r>
              <w:rPr>
                <w:rFonts w:ascii="Arial" w:cs="Arial" w:eastAsia="Arial" w:hAnsi="Arial"/>
                <w:sz w:val="16"/>
                <w:szCs w:val="16"/>
                <w:color w:val="auto"/>
              </w:rPr>
              <w:t>2,475,569</w:t>
            </w:r>
          </w:p>
        </w:tc>
        <w:tc>
          <w:tcPr>
            <w:tcW w:w="340" w:type="dxa"/>
            <w:vAlign w:val="bottom"/>
            <w:shd w:val="clear" w:color="auto" w:fill="EDEDEE"/>
          </w:tcPr>
          <w:p>
            <w:pPr>
              <w:spacing w:after="0"/>
              <w:rPr>
                <w:sz w:val="18"/>
                <w:szCs w:val="18"/>
                <w:color w:val="auto"/>
              </w:rPr>
            </w:pPr>
          </w:p>
        </w:tc>
        <w:tc>
          <w:tcPr>
            <w:tcW w:w="1080" w:type="dxa"/>
            <w:vAlign w:val="bottom"/>
            <w:shd w:val="clear" w:color="auto" w:fill="EDEDEE"/>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18"/>
                <w:szCs w:val="18"/>
                <w:color w:val="auto"/>
              </w:rPr>
            </w:pPr>
          </w:p>
        </w:tc>
        <w:tc>
          <w:tcPr>
            <w:tcW w:w="140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2,475,569</w:t>
            </w:r>
          </w:p>
        </w:tc>
        <w:tc>
          <w:tcPr>
            <w:tcW w:w="0" w:type="dxa"/>
            <w:vAlign w:val="bottom"/>
          </w:tcPr>
          <w:p>
            <w:pPr>
              <w:spacing w:after="0"/>
              <w:rPr>
                <w:sz w:val="1"/>
                <w:szCs w:val="1"/>
                <w:color w:val="auto"/>
              </w:rPr>
            </w:pPr>
          </w:p>
        </w:tc>
      </w:tr>
      <w:tr>
        <w:trPr>
          <w:trHeight w:val="215"/>
        </w:trPr>
        <w:tc>
          <w:tcPr>
            <w:tcW w:w="3800" w:type="dxa"/>
            <w:vAlign w:val="bottom"/>
            <w:tcBorders>
              <w:bottom w:val="single" w:sz="8" w:color="EDEDEE"/>
            </w:tcBorders>
          </w:tcPr>
          <w:p>
            <w:pPr>
              <w:ind w:left="120"/>
              <w:spacing w:after="0"/>
              <w:rPr>
                <w:sz w:val="20"/>
                <w:szCs w:val="20"/>
                <w:color w:val="auto"/>
              </w:rPr>
            </w:pPr>
            <w:r>
              <w:rPr>
                <w:rFonts w:ascii="Arial" w:cs="Arial" w:eastAsia="Arial" w:hAnsi="Arial"/>
                <w:sz w:val="16"/>
                <w:szCs w:val="16"/>
                <w:color w:val="auto"/>
              </w:rPr>
              <w:t>Variable-rate</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117,724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117,724</w:t>
            </w:r>
          </w:p>
        </w:tc>
        <w:tc>
          <w:tcPr>
            <w:tcW w:w="0" w:type="dxa"/>
            <w:vAlign w:val="bottom"/>
          </w:tcPr>
          <w:p>
            <w:pPr>
              <w:spacing w:after="0"/>
              <w:rPr>
                <w:sz w:val="1"/>
                <w:szCs w:val="1"/>
                <w:color w:val="auto"/>
              </w:rPr>
            </w:pPr>
          </w:p>
        </w:tc>
      </w:tr>
      <w:tr>
        <w:trPr>
          <w:trHeight w:val="210"/>
        </w:trPr>
        <w:tc>
          <w:tcPr>
            <w:tcW w:w="3800" w:type="dxa"/>
            <w:vAlign w:val="bottom"/>
            <w:shd w:val="clear" w:color="auto" w:fill="EDEDEE"/>
          </w:tcPr>
          <w:p>
            <w:pPr>
              <w:spacing w:after="0"/>
              <w:rPr>
                <w:sz w:val="20"/>
                <w:szCs w:val="20"/>
                <w:color w:val="auto"/>
              </w:rPr>
            </w:pPr>
            <w:r>
              <w:rPr>
                <w:rFonts w:ascii="Arial" w:cs="Arial" w:eastAsia="Arial" w:hAnsi="Arial"/>
                <w:sz w:val="16"/>
                <w:szCs w:val="16"/>
                <w:color w:val="auto"/>
              </w:rPr>
              <w:t>Total acquisitions and originations</w:t>
            </w:r>
          </w:p>
        </w:tc>
        <w:tc>
          <w:tcPr>
            <w:tcW w:w="300" w:type="dxa"/>
            <w:vAlign w:val="bottom"/>
            <w:shd w:val="clear" w:color="auto" w:fill="EDEDEE"/>
          </w:tcPr>
          <w:p>
            <w:pPr>
              <w:spacing w:after="0"/>
              <w:rPr>
                <w:sz w:val="18"/>
                <w:szCs w:val="18"/>
                <w:color w:val="auto"/>
              </w:rPr>
            </w:pPr>
          </w:p>
        </w:tc>
        <w:tc>
          <w:tcPr>
            <w:tcW w:w="1440" w:type="dxa"/>
            <w:vAlign w:val="bottom"/>
            <w:shd w:val="clear" w:color="auto" w:fill="EDEDEE"/>
          </w:tcPr>
          <w:p>
            <w:pPr>
              <w:jc w:val="right"/>
              <w:ind w:right="61"/>
              <w:spacing w:after="0"/>
              <w:rPr>
                <w:sz w:val="20"/>
                <w:szCs w:val="20"/>
                <w:color w:val="auto"/>
              </w:rPr>
            </w:pPr>
            <w:r>
              <w:rPr>
                <w:rFonts w:ascii="Arial" w:cs="Arial" w:eastAsia="Arial" w:hAnsi="Arial"/>
                <w:sz w:val="16"/>
                <w:szCs w:val="16"/>
                <w:color w:val="auto"/>
              </w:rPr>
              <w:t>2,593,293</w:t>
            </w:r>
          </w:p>
        </w:tc>
        <w:tc>
          <w:tcPr>
            <w:tcW w:w="340" w:type="dxa"/>
            <w:vAlign w:val="bottom"/>
            <w:shd w:val="clear" w:color="auto" w:fill="EDEDEE"/>
          </w:tcPr>
          <w:p>
            <w:pPr>
              <w:spacing w:after="0"/>
              <w:rPr>
                <w:sz w:val="18"/>
                <w:szCs w:val="18"/>
                <w:color w:val="auto"/>
              </w:rPr>
            </w:pPr>
          </w:p>
        </w:tc>
        <w:tc>
          <w:tcPr>
            <w:tcW w:w="1080" w:type="dxa"/>
            <w:vAlign w:val="bottom"/>
            <w:shd w:val="clear" w:color="auto" w:fill="EDEDEE"/>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18"/>
                <w:szCs w:val="18"/>
                <w:color w:val="auto"/>
              </w:rPr>
            </w:pPr>
          </w:p>
        </w:tc>
        <w:tc>
          <w:tcPr>
            <w:tcW w:w="140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2,593,293</w:t>
            </w:r>
          </w:p>
        </w:tc>
        <w:tc>
          <w:tcPr>
            <w:tcW w:w="0" w:type="dxa"/>
            <w:vAlign w:val="bottom"/>
          </w:tcPr>
          <w:p>
            <w:pPr>
              <w:spacing w:after="0"/>
              <w:rPr>
                <w:sz w:val="1"/>
                <w:szCs w:val="1"/>
                <w:color w:val="auto"/>
              </w:rPr>
            </w:pPr>
          </w:p>
        </w:tc>
      </w:tr>
      <w:tr>
        <w:trPr>
          <w:trHeight w:val="162"/>
        </w:trPr>
        <w:tc>
          <w:tcPr>
            <w:tcW w:w="3800" w:type="dxa"/>
            <w:vAlign w:val="bottom"/>
          </w:tcPr>
          <w:p>
            <w:pPr>
              <w:spacing w:after="0" w:line="162" w:lineRule="exact"/>
              <w:rPr>
                <w:sz w:val="20"/>
                <w:szCs w:val="20"/>
                <w:color w:val="auto"/>
              </w:rPr>
            </w:pPr>
            <w:r>
              <w:rPr>
                <w:rFonts w:ascii="Arial" w:cs="Arial" w:eastAsia="Arial" w:hAnsi="Arial"/>
                <w:sz w:val="16"/>
                <w:szCs w:val="16"/>
                <w:color w:val="auto"/>
              </w:rPr>
              <w:t>Capitalized interest and deferred origination cost</w:t>
            </w:r>
          </w:p>
        </w:tc>
        <w:tc>
          <w:tcPr>
            <w:tcW w:w="300" w:type="dxa"/>
            <w:vAlign w:val="bottom"/>
          </w:tcPr>
          <w:p>
            <w:pPr>
              <w:spacing w:after="0"/>
              <w:rPr>
                <w:sz w:val="14"/>
                <w:szCs w:val="14"/>
                <w:color w:val="auto"/>
              </w:rPr>
            </w:pPr>
          </w:p>
        </w:tc>
        <w:tc>
          <w:tcPr>
            <w:tcW w:w="1440" w:type="dxa"/>
            <w:vAlign w:val="bottom"/>
            <w:vMerge w:val="restart"/>
          </w:tcPr>
          <w:p>
            <w:pPr>
              <w:jc w:val="right"/>
              <w:ind w:right="61"/>
              <w:spacing w:after="0"/>
              <w:rPr>
                <w:sz w:val="20"/>
                <w:szCs w:val="20"/>
                <w:color w:val="auto"/>
              </w:rPr>
            </w:pPr>
            <w:r>
              <w:rPr>
                <w:rFonts w:ascii="Arial" w:cs="Arial" w:eastAsia="Arial" w:hAnsi="Arial"/>
                <w:sz w:val="16"/>
                <w:szCs w:val="16"/>
                <w:color w:val="auto"/>
              </w:rPr>
              <w:t>109,801</w:t>
            </w:r>
          </w:p>
        </w:tc>
        <w:tc>
          <w:tcPr>
            <w:tcW w:w="340" w:type="dxa"/>
            <w:vAlign w:val="bottom"/>
          </w:tcPr>
          <w:p>
            <w:pPr>
              <w:spacing w:after="0"/>
              <w:rPr>
                <w:sz w:val="14"/>
                <w:szCs w:val="14"/>
                <w:color w:val="auto"/>
              </w:rPr>
            </w:pPr>
          </w:p>
        </w:tc>
        <w:tc>
          <w:tcPr>
            <w:tcW w:w="1080" w:type="dxa"/>
            <w:vAlign w:val="bottom"/>
            <w:vMerge w:val="restart"/>
          </w:tcPr>
          <w:p>
            <w:pPr>
              <w:jc w:val="right"/>
              <w:ind w:right="41"/>
              <w:spacing w:after="0"/>
              <w:rPr>
                <w:sz w:val="20"/>
                <w:szCs w:val="20"/>
                <w:color w:val="auto"/>
              </w:rPr>
            </w:pPr>
            <w:r>
              <w:rPr>
                <w:rFonts w:ascii="Arial" w:cs="Arial" w:eastAsia="Arial" w:hAnsi="Arial"/>
                <w:sz w:val="16"/>
                <w:szCs w:val="16"/>
                <w:color w:val="auto"/>
              </w:rPr>
              <w:t>5,573</w:t>
            </w:r>
          </w:p>
        </w:tc>
        <w:tc>
          <w:tcPr>
            <w:tcW w:w="240" w:type="dxa"/>
            <w:vAlign w:val="bottom"/>
          </w:tcPr>
          <w:p>
            <w:pPr>
              <w:spacing w:after="0"/>
              <w:rPr>
                <w:sz w:val="14"/>
                <w:szCs w:val="14"/>
                <w:color w:val="auto"/>
              </w:rPr>
            </w:pPr>
          </w:p>
        </w:tc>
        <w:tc>
          <w:tcPr>
            <w:tcW w:w="1400" w:type="dxa"/>
            <w:vAlign w:val="bottom"/>
            <w:vMerge w:val="restart"/>
          </w:tcPr>
          <w:p>
            <w:pPr>
              <w:jc w:val="right"/>
              <w:ind w:right="1"/>
              <w:spacing w:after="0"/>
              <w:rPr>
                <w:sz w:val="20"/>
                <w:szCs w:val="20"/>
                <w:color w:val="auto"/>
              </w:rPr>
            </w:pPr>
            <w:r>
              <w:rPr>
                <w:rFonts w:ascii="Arial" w:cs="Arial" w:eastAsia="Arial" w:hAnsi="Arial"/>
                <w:sz w:val="16"/>
                <w:szCs w:val="16"/>
                <w:color w:val="auto"/>
              </w:rPr>
              <w:t>115,374</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6"/>
                <w:szCs w:val="16"/>
                <w:color w:val="auto"/>
              </w:rPr>
              <w:t>premium amortization</w:t>
            </w:r>
          </w:p>
        </w:tc>
        <w:tc>
          <w:tcPr>
            <w:tcW w:w="3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3800" w:type="dxa"/>
            <w:vAlign w:val="bottom"/>
            <w:shd w:val="clear" w:color="auto" w:fill="EDEDEE"/>
          </w:tcPr>
          <w:p>
            <w:pPr>
              <w:spacing w:after="0"/>
              <w:rPr>
                <w:sz w:val="20"/>
                <w:szCs w:val="20"/>
                <w:color w:val="auto"/>
              </w:rPr>
            </w:pPr>
            <w:r>
              <w:rPr>
                <w:rFonts w:ascii="Arial" w:cs="Arial" w:eastAsia="Arial" w:hAnsi="Arial"/>
                <w:sz w:val="16"/>
                <w:szCs w:val="16"/>
                <w:color w:val="auto"/>
              </w:rPr>
              <w:t>Sales</w:t>
            </w:r>
          </w:p>
        </w:tc>
        <w:tc>
          <w:tcPr>
            <w:tcW w:w="300" w:type="dxa"/>
            <w:vAlign w:val="bottom"/>
            <w:shd w:val="clear" w:color="auto" w:fill="EDEDEE"/>
          </w:tcPr>
          <w:p>
            <w:pPr>
              <w:spacing w:after="0"/>
              <w:rPr>
                <w:sz w:val="24"/>
                <w:szCs w:val="24"/>
                <w:color w:val="auto"/>
              </w:rPr>
            </w:pPr>
          </w:p>
        </w:tc>
        <w:tc>
          <w:tcPr>
            <w:tcW w:w="1440" w:type="dxa"/>
            <w:vAlign w:val="bottom"/>
            <w:vMerge w:val="restart"/>
            <w:shd w:val="clear" w:color="auto" w:fill="EDEDEE"/>
          </w:tcPr>
          <w:p>
            <w:pPr>
              <w:jc w:val="right"/>
              <w:ind w:right="1"/>
              <w:spacing w:after="0"/>
              <w:rPr>
                <w:sz w:val="20"/>
                <w:szCs w:val="20"/>
                <w:color w:val="auto"/>
              </w:rPr>
            </w:pPr>
            <w:r>
              <w:rPr>
                <w:rFonts w:ascii="Arial" w:cs="Arial" w:eastAsia="Arial" w:hAnsi="Arial"/>
                <w:sz w:val="16"/>
                <w:szCs w:val="16"/>
                <w:color w:val="auto"/>
              </w:rPr>
              <w:t>(1,958,995)</w:t>
            </w:r>
          </w:p>
        </w:tc>
        <w:tc>
          <w:tcPr>
            <w:tcW w:w="340" w:type="dxa"/>
            <w:vAlign w:val="bottom"/>
            <w:shd w:val="clear" w:color="auto" w:fill="EDEDEE"/>
          </w:tcPr>
          <w:p>
            <w:pPr>
              <w:spacing w:after="0"/>
              <w:rPr>
                <w:sz w:val="24"/>
                <w:szCs w:val="24"/>
                <w:color w:val="auto"/>
              </w:rPr>
            </w:pPr>
          </w:p>
        </w:tc>
        <w:tc>
          <w:tcPr>
            <w:tcW w:w="1080" w:type="dxa"/>
            <w:vAlign w:val="bottom"/>
            <w:vMerge w:val="restart"/>
            <w:shd w:val="clear" w:color="auto" w:fill="EDEDEE"/>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24"/>
                <w:szCs w:val="24"/>
                <w:color w:val="auto"/>
              </w:rPr>
            </w:pPr>
          </w:p>
        </w:tc>
        <w:tc>
          <w:tcPr>
            <w:tcW w:w="14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(1,958,995)</w:t>
            </w:r>
          </w:p>
        </w:tc>
        <w:tc>
          <w:tcPr>
            <w:tcW w:w="0" w:type="dxa"/>
            <w:vAlign w:val="bottom"/>
          </w:tcPr>
          <w:p>
            <w:pPr>
              <w:spacing w:after="0"/>
              <w:rPr>
                <w:sz w:val="1"/>
                <w:szCs w:val="1"/>
                <w:color w:val="auto"/>
              </w:rPr>
            </w:pPr>
          </w:p>
        </w:tc>
      </w:tr>
      <w:tr>
        <w:trPr>
          <w:trHeight w:val="97"/>
        </w:trPr>
        <w:tc>
          <w:tcPr>
            <w:tcW w:w="3800" w:type="dxa"/>
            <w:vAlign w:val="bottom"/>
            <w:shd w:val="clear" w:color="auto" w:fill="EDEDEE"/>
          </w:tcPr>
          <w:p>
            <w:pPr>
              <w:spacing w:after="0"/>
              <w:rPr>
                <w:sz w:val="8"/>
                <w:szCs w:val="8"/>
                <w:color w:val="auto"/>
              </w:rPr>
            </w:pPr>
          </w:p>
        </w:tc>
        <w:tc>
          <w:tcPr>
            <w:tcW w:w="300" w:type="dxa"/>
            <w:vAlign w:val="bottom"/>
            <w:shd w:val="clear" w:color="auto" w:fill="EDEDEE"/>
          </w:tcPr>
          <w:p>
            <w:pPr>
              <w:spacing w:after="0"/>
              <w:rPr>
                <w:sz w:val="8"/>
                <w:szCs w:val="8"/>
                <w:color w:val="auto"/>
              </w:rPr>
            </w:pPr>
          </w:p>
        </w:tc>
        <w:tc>
          <w:tcPr>
            <w:tcW w:w="1440" w:type="dxa"/>
            <w:vAlign w:val="bottom"/>
            <w:vMerge w:val="continue"/>
            <w:shd w:val="clear" w:color="auto" w:fill="EDEDEE"/>
          </w:tcPr>
          <w:p>
            <w:pPr>
              <w:spacing w:after="0"/>
              <w:rPr>
                <w:sz w:val="8"/>
                <w:szCs w:val="8"/>
                <w:color w:val="auto"/>
              </w:rPr>
            </w:pPr>
          </w:p>
        </w:tc>
        <w:tc>
          <w:tcPr>
            <w:tcW w:w="340" w:type="dxa"/>
            <w:vAlign w:val="bottom"/>
            <w:shd w:val="clear" w:color="auto" w:fill="EDEDEE"/>
          </w:tcPr>
          <w:p>
            <w:pPr>
              <w:spacing w:after="0"/>
              <w:rPr>
                <w:sz w:val="8"/>
                <w:szCs w:val="8"/>
                <w:color w:val="auto"/>
              </w:rPr>
            </w:pPr>
          </w:p>
        </w:tc>
        <w:tc>
          <w:tcPr>
            <w:tcW w:w="1080" w:type="dxa"/>
            <w:vAlign w:val="bottom"/>
            <w:vMerge w:val="continue"/>
            <w:shd w:val="clear" w:color="auto" w:fill="EDEDEE"/>
          </w:tcPr>
          <w:p>
            <w:pPr>
              <w:spacing w:after="0"/>
              <w:rPr>
                <w:sz w:val="8"/>
                <w:szCs w:val="8"/>
                <w:color w:val="auto"/>
              </w:rPr>
            </w:pPr>
          </w:p>
        </w:tc>
        <w:tc>
          <w:tcPr>
            <w:tcW w:w="240" w:type="dxa"/>
            <w:vAlign w:val="bottom"/>
            <w:shd w:val="clear" w:color="auto" w:fill="EDEDEE"/>
          </w:tcPr>
          <w:p>
            <w:pPr>
              <w:spacing w:after="0"/>
              <w:rPr>
                <w:sz w:val="8"/>
                <w:szCs w:val="8"/>
                <w:color w:val="auto"/>
              </w:rPr>
            </w:pPr>
          </w:p>
        </w:tc>
        <w:tc>
          <w:tcPr>
            <w:tcW w:w="1400" w:type="dxa"/>
            <w:vAlign w:val="bottom"/>
            <w:vMerge w:val="continue"/>
            <w:shd w:val="clear" w:color="auto" w:fill="EDEDE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6"/>
                <w:szCs w:val="16"/>
                <w:color w:val="auto"/>
              </w:rPr>
              <w:t>Loan consolidations to third parties</w:t>
            </w:r>
          </w:p>
        </w:tc>
        <w:tc>
          <w:tcPr>
            <w:tcW w:w="3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(200,039)</w:t>
            </w: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(13,880)</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(213,919)</w:t>
            </w:r>
          </w:p>
        </w:tc>
        <w:tc>
          <w:tcPr>
            <w:tcW w:w="0" w:type="dxa"/>
            <w:vAlign w:val="bottom"/>
          </w:tcPr>
          <w:p>
            <w:pPr>
              <w:spacing w:after="0"/>
              <w:rPr>
                <w:sz w:val="1"/>
                <w:szCs w:val="1"/>
                <w:color w:val="auto"/>
              </w:rPr>
            </w:pPr>
          </w:p>
        </w:tc>
      </w:tr>
      <w:tr>
        <w:trPr>
          <w:trHeight w:val="217"/>
        </w:trPr>
        <w:tc>
          <w:tcPr>
            <w:tcW w:w="3800" w:type="dxa"/>
            <w:vAlign w:val="bottom"/>
            <w:shd w:val="clear" w:color="auto" w:fill="EDEDEE"/>
          </w:tcPr>
          <w:p>
            <w:pPr>
              <w:spacing w:after="0"/>
              <w:rPr>
                <w:sz w:val="20"/>
                <w:szCs w:val="20"/>
                <w:color w:val="auto"/>
              </w:rPr>
            </w:pPr>
            <w:r>
              <w:rPr>
                <w:rFonts w:ascii="Arial" w:cs="Arial" w:eastAsia="Arial" w:hAnsi="Arial"/>
                <w:sz w:val="16"/>
                <w:szCs w:val="16"/>
                <w:color w:val="auto"/>
              </w:rPr>
              <w:t>Allowance</w:t>
            </w:r>
          </w:p>
        </w:tc>
        <w:tc>
          <w:tcPr>
            <w:tcW w:w="300" w:type="dxa"/>
            <w:vAlign w:val="bottom"/>
            <w:shd w:val="clear" w:color="auto" w:fill="EDEDEE"/>
          </w:tcPr>
          <w:p>
            <w:pPr>
              <w:spacing w:after="0"/>
              <w:rPr>
                <w:sz w:val="18"/>
                <w:szCs w:val="18"/>
                <w:color w:val="auto"/>
              </w:rPr>
            </w:pPr>
          </w:p>
        </w:tc>
        <w:tc>
          <w:tcPr>
            <w:tcW w:w="144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(10,326)</w:t>
            </w:r>
          </w:p>
        </w:tc>
        <w:tc>
          <w:tcPr>
            <w:tcW w:w="340" w:type="dxa"/>
            <w:vAlign w:val="bottom"/>
            <w:shd w:val="clear" w:color="auto" w:fill="EDEDEE"/>
          </w:tcPr>
          <w:p>
            <w:pPr>
              <w:spacing w:after="0"/>
              <w:rPr>
                <w:sz w:val="18"/>
                <w:szCs w:val="18"/>
                <w:color w:val="auto"/>
              </w:rPr>
            </w:pPr>
          </w:p>
        </w:tc>
        <w:tc>
          <w:tcPr>
            <w:tcW w:w="1080" w:type="dxa"/>
            <w:vAlign w:val="bottom"/>
            <w:shd w:val="clear" w:color="auto" w:fill="EDEDEE"/>
          </w:tcPr>
          <w:p>
            <w:pPr>
              <w:jc w:val="right"/>
              <w:ind w:right="41"/>
              <w:spacing w:after="0"/>
              <w:rPr>
                <w:sz w:val="20"/>
                <w:szCs w:val="20"/>
                <w:color w:val="auto"/>
              </w:rPr>
            </w:pPr>
            <w:r>
              <w:rPr>
                <w:rFonts w:ascii="Arial" w:cs="Arial" w:eastAsia="Arial" w:hAnsi="Arial"/>
                <w:sz w:val="16"/>
                <w:szCs w:val="16"/>
                <w:color w:val="auto"/>
              </w:rPr>
              <w:t>40</w:t>
            </w:r>
          </w:p>
        </w:tc>
        <w:tc>
          <w:tcPr>
            <w:tcW w:w="240" w:type="dxa"/>
            <w:vAlign w:val="bottom"/>
            <w:shd w:val="clear" w:color="auto" w:fill="EDEDEE"/>
          </w:tcPr>
          <w:p>
            <w:pPr>
              <w:spacing w:after="0"/>
              <w:rPr>
                <w:sz w:val="18"/>
                <w:szCs w:val="18"/>
                <w:color w:val="auto"/>
              </w:rPr>
            </w:pPr>
          </w:p>
        </w:tc>
        <w:tc>
          <w:tcPr>
            <w:tcW w:w="14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(10,286)</w:t>
            </w:r>
          </w:p>
        </w:tc>
        <w:tc>
          <w:tcPr>
            <w:tcW w:w="0" w:type="dxa"/>
            <w:vAlign w:val="bottom"/>
          </w:tcPr>
          <w:p>
            <w:pPr>
              <w:spacing w:after="0"/>
              <w:rPr>
                <w:sz w:val="1"/>
                <w:szCs w:val="1"/>
                <w:color w:val="auto"/>
              </w:rPr>
            </w:pPr>
          </w:p>
        </w:tc>
      </w:tr>
      <w:tr>
        <w:trPr>
          <w:trHeight w:val="215"/>
        </w:trPr>
        <w:tc>
          <w:tcPr>
            <w:tcW w:w="3800" w:type="dxa"/>
            <w:vAlign w:val="bottom"/>
            <w:tcBorders>
              <w:bottom w:val="single" w:sz="8" w:color="EDEDEE"/>
            </w:tcBorders>
          </w:tcPr>
          <w:p>
            <w:pPr>
              <w:spacing w:after="0"/>
              <w:rPr>
                <w:sz w:val="20"/>
                <w:szCs w:val="20"/>
                <w:color w:val="auto"/>
              </w:rPr>
            </w:pPr>
            <w:r>
              <w:rPr>
                <w:rFonts w:ascii="Arial" w:cs="Arial" w:eastAsia="Arial" w:hAnsi="Arial"/>
                <w:sz w:val="16"/>
                <w:szCs w:val="16"/>
                <w:color w:val="auto"/>
              </w:rPr>
              <w:t>Repayments and other</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(618,244)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(12,791)</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(631,035)</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b w:val="1"/>
                <w:bCs w:val="1"/>
                <w:color w:val="144F82"/>
              </w:rPr>
              <w:t>Ending balance</w:t>
            </w:r>
          </w:p>
        </w:tc>
        <w:tc>
          <w:tcPr>
            <w:tcW w:w="300" w:type="dxa"/>
            <w:vAlign w:val="bottom"/>
            <w:tcBorders>
              <w:bottom w:val="single" w:sz="8" w:color="auto"/>
            </w:tcBorders>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EDEDEE"/>
          </w:tcPr>
          <w:p>
            <w:pPr>
              <w:jc w:val="right"/>
              <w:ind w:right="61"/>
              <w:spacing w:after="0"/>
              <w:rPr>
                <w:sz w:val="20"/>
                <w:szCs w:val="20"/>
                <w:color w:val="auto"/>
              </w:rPr>
            </w:pPr>
            <w:r>
              <w:rPr>
                <w:rFonts w:ascii="Arial" w:cs="Arial" w:eastAsia="Arial" w:hAnsi="Arial"/>
                <w:sz w:val="16"/>
                <w:szCs w:val="16"/>
                <w:color w:val="auto"/>
              </w:rPr>
              <w:t>19,687,783</w:t>
            </w:r>
          </w:p>
        </w:tc>
        <w:tc>
          <w:tcPr>
            <w:tcW w:w="340" w:type="dxa"/>
            <w:vAlign w:val="bottom"/>
            <w:tcBorders>
              <w:bottom w:val="single" w:sz="8" w:color="auto"/>
            </w:tcBorders>
            <w:shd w:val="clear" w:color="auto" w:fill="EDEDEE"/>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DEDEE"/>
          </w:tcPr>
          <w:p>
            <w:pPr>
              <w:jc w:val="right"/>
              <w:ind w:right="41"/>
              <w:spacing w:after="0"/>
              <w:rPr>
                <w:sz w:val="20"/>
                <w:szCs w:val="20"/>
                <w:color w:val="auto"/>
              </w:rPr>
            </w:pPr>
            <w:r>
              <w:rPr>
                <w:rFonts w:ascii="Arial" w:cs="Arial" w:eastAsia="Arial" w:hAnsi="Arial"/>
                <w:sz w:val="16"/>
                <w:szCs w:val="16"/>
                <w:color w:val="auto"/>
              </w:rPr>
              <w:t>513,006</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EDEDEE"/>
          </w:tcPr>
          <w:p>
            <w:pPr>
              <w:jc w:val="right"/>
              <w:ind w:right="1"/>
              <w:spacing w:after="0"/>
              <w:rPr>
                <w:sz w:val="20"/>
                <w:szCs w:val="20"/>
                <w:color w:val="auto"/>
              </w:rPr>
            </w:pPr>
            <w:r>
              <w:rPr>
                <w:rFonts w:ascii="Arial" w:cs="Arial" w:eastAsia="Arial" w:hAnsi="Arial"/>
                <w:sz w:val="16"/>
                <w:szCs w:val="16"/>
                <w:color w:val="auto"/>
              </w:rPr>
              <w:t>20,200,789</w:t>
            </w:r>
          </w:p>
        </w:tc>
        <w:tc>
          <w:tcPr>
            <w:tcW w:w="0" w:type="dxa"/>
            <w:vAlign w:val="bottom"/>
          </w:tcPr>
          <w:p>
            <w:pPr>
              <w:spacing w:after="0"/>
              <w:rPr>
                <w:sz w:val="1"/>
                <w:szCs w:val="1"/>
                <w:color w:val="auto"/>
              </w:rPr>
            </w:pPr>
          </w:p>
        </w:tc>
      </w:tr>
      <w:tr>
        <w:trPr>
          <w:trHeight w:val="20"/>
        </w:trPr>
        <w:tc>
          <w:tcPr>
            <w:tcW w:w="3800" w:type="dxa"/>
            <w:vAlign w:val="bottom"/>
            <w:tcBorders>
              <w:top w:val="single" w:sz="8" w:color="EDEDEE"/>
            </w:tcBorders>
          </w:tcPr>
          <w:p>
            <w:pPr>
              <w:spacing w:after="0" w:line="20" w:lineRule="exact"/>
              <w:rPr>
                <w:sz w:val="1"/>
                <w:szCs w:val="1"/>
                <w:color w:val="auto"/>
              </w:rPr>
            </w:pPr>
          </w:p>
        </w:tc>
        <w:tc>
          <w:tcPr>
            <w:tcW w:w="300" w:type="dxa"/>
            <w:vAlign w:val="bottom"/>
            <w:tcBorders>
              <w:top w:val="single" w:sz="8" w:color="EDEDEE"/>
              <w:bottom w:val="single" w:sz="8" w:color="auto"/>
            </w:tcBorders>
          </w:tcPr>
          <w:p>
            <w:pPr>
              <w:spacing w:after="0" w:line="20" w:lineRule="exact"/>
              <w:rPr>
                <w:sz w:val="1"/>
                <w:szCs w:val="1"/>
                <w:color w:val="auto"/>
              </w:rPr>
            </w:pPr>
          </w:p>
        </w:tc>
        <w:tc>
          <w:tcPr>
            <w:tcW w:w="1440" w:type="dxa"/>
            <w:vAlign w:val="bottom"/>
            <w:tcBorders>
              <w:top w:val="single" w:sz="8" w:color="EDEDEE"/>
              <w:bottom w:val="single" w:sz="8" w:color="auto"/>
            </w:tcBorders>
          </w:tcPr>
          <w:p>
            <w:pPr>
              <w:spacing w:after="0" w:line="20" w:lineRule="exact"/>
              <w:rPr>
                <w:sz w:val="1"/>
                <w:szCs w:val="1"/>
                <w:color w:val="auto"/>
              </w:rPr>
            </w:pPr>
          </w:p>
        </w:tc>
        <w:tc>
          <w:tcPr>
            <w:tcW w:w="340" w:type="dxa"/>
            <w:vAlign w:val="bottom"/>
            <w:tcBorders>
              <w:top w:val="single" w:sz="8" w:color="EDEDEE"/>
              <w:bottom w:val="single" w:sz="8" w:color="auto"/>
            </w:tcBorders>
          </w:tcPr>
          <w:p>
            <w:pPr>
              <w:spacing w:after="0" w:line="20" w:lineRule="exact"/>
              <w:rPr>
                <w:sz w:val="1"/>
                <w:szCs w:val="1"/>
                <w:color w:val="auto"/>
              </w:rPr>
            </w:pPr>
          </w:p>
        </w:tc>
        <w:tc>
          <w:tcPr>
            <w:tcW w:w="108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14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“Loan consolidations to third parties” and “Repayments and other” are both significantly affected by the volume of loans in our held for investment portfolio in full principal and interest repayment status. The amount of loans in full principal and interest repayment status in our Private Education Loans held for investment portfolio at March 31, 2025</w:t>
      </w:r>
    </w:p>
    <w:p>
      <w:pPr>
        <w:sectPr>
          <w:pgSz w:w="11900" w:h="16838" w:orient="portrait"/>
          <w:cols w:equalWidth="0" w:num="1">
            <w:col w:w="11080"/>
          </w:cols>
          <w:pgMar w:left="320" w:top="143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144F82"/>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32" w:right="499" w:bottom="1440" w:gutter="0" w:footer="0" w:header="0"/>
          <w:type w:val="continuous"/>
        </w:sectPr>
      </w:pPr>
    </w:p>
    <w:bookmarkStart w:id="55" w:name="page56"/>
    <w:bookmarkEnd w:id="55"/>
    <w:p>
      <w:pPr>
        <w:ind w:right="40"/>
        <w:spacing w:after="0" w:line="268" w:lineRule="auto"/>
        <w:rPr>
          <w:sz w:val="20"/>
          <w:szCs w:val="20"/>
          <w:color w:val="auto"/>
        </w:rPr>
      </w:pPr>
      <w:r>
        <w:rPr>
          <w:rFonts w:ascii="Arial" w:cs="Arial" w:eastAsia="Arial" w:hAnsi="Arial"/>
          <w:sz w:val="18"/>
          <w:szCs w:val="18"/>
          <w:color w:val="auto"/>
        </w:rPr>
        <w:t>increased by 4.5 percent compared with March 31, 2024, and now totals 39 percent of our Private Education Loans held for investment portfolio at March 31, 2025. The balance of loans held for investment in full principal and interest repayment status was affected in 2024 and in the first three months of 2025 by loan sales.</w:t>
      </w:r>
    </w:p>
    <w:p>
      <w:pPr>
        <w:spacing w:after="0" w:line="63"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“Loan consolidations to third parties” for the three months ended March 31, 2025 total 2.8 percent of our Private Education Loans held for investment portfolio in full principal and interest repayment status at March 31, 2025, or 1.1 percent of our total Private Education Loans held for investment portfolio at March 31, 2025, compared with the year-ago period of 2.6 percent of our Private Education Loans held for investment portfolio in full principal and interest repayment status, or 1.0 percent of our total Private Education Loans held for investment portfolio, respectively. The increase in consolidations compared to the year-ago period is primarily attributable to lower interest rates in 2025. Historical experience has shown that loan consolidation activity is heightened in the period when the loan initially enters full principal and interest repayment status and then subsides over time.</w:t>
      </w:r>
    </w:p>
    <w:p>
      <w:pPr>
        <w:spacing w:after="0" w:line="75"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The “Repayments and other” category includes all scheduled repayments, as well as voluntary prepayments, made on loans in repayment (including loans in full principal and interest repayment status) and also includes charge-offs. Consequently, this category can be significantly affected by the volume of loans in repayment.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Private Education Loan Originations</w:t>
      </w:r>
    </w:p>
    <w:p>
      <w:pPr>
        <w:spacing w:after="0" w:line="115" w:lineRule="exact"/>
        <w:rPr>
          <w:sz w:val="20"/>
          <w:szCs w:val="20"/>
          <w:color w:val="auto"/>
        </w:rPr>
      </w:pPr>
    </w:p>
    <w:p>
      <w:pPr>
        <w:ind w:right="320" w:firstLine="445"/>
        <w:spacing w:after="0" w:line="287" w:lineRule="auto"/>
        <w:rPr>
          <w:sz w:val="20"/>
          <w:szCs w:val="20"/>
          <w:color w:val="auto"/>
        </w:rPr>
      </w:pPr>
      <w:r>
        <w:rPr>
          <w:rFonts w:ascii="Arial" w:cs="Arial" w:eastAsia="Arial" w:hAnsi="Arial"/>
          <w:sz w:val="18"/>
          <w:szCs w:val="18"/>
          <w:color w:val="auto"/>
        </w:rPr>
        <w:t>The following table summarizes our Private Education Loan originations. Originations represent loans that were funded or acquired during the period presented.</w:t>
      </w:r>
    </w:p>
    <w:p>
      <w:pPr>
        <w:spacing w:after="0" w:line="287" w:lineRule="exact"/>
        <w:rPr>
          <w:sz w:val="20"/>
          <w:szCs w:val="20"/>
          <w:color w:val="auto"/>
        </w:rPr>
      </w:pPr>
    </w:p>
    <w:tbl>
      <w:tblPr>
        <w:tblLayout w:type="fixed"/>
        <w:tblInd w:w="1420" w:type="dxa"/>
        <w:tblCellMar>
          <w:top w:w="0" w:type="dxa"/>
          <w:left w:w="0" w:type="dxa"/>
          <w:bottom w:w="0" w:type="dxa"/>
          <w:right w:w="0" w:type="dxa"/>
        </w:tblCellMar>
      </w:tblPr>
      <w:tr>
        <w:trPr>
          <w:trHeight w:val="176"/>
        </w:trPr>
        <w:tc>
          <w:tcPr>
            <w:tcW w:w="35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3"/>
          </w:tcPr>
          <w:p>
            <w:pPr>
              <w:jc w:val="right"/>
              <w:ind w:right="899"/>
              <w:spacing w:after="0" w:line="175" w:lineRule="exact"/>
              <w:rPr>
                <w:sz w:val="20"/>
                <w:szCs w:val="20"/>
                <w:color w:val="auto"/>
              </w:rPr>
            </w:pPr>
            <w:r>
              <w:rPr>
                <w:rFonts w:ascii="Arial" w:cs="Arial" w:eastAsia="Arial" w:hAnsi="Arial"/>
                <w:sz w:val="16"/>
                <w:szCs w:val="16"/>
                <w:b w:val="1"/>
                <w:bCs w:val="1"/>
                <w:color w:val="144F82"/>
              </w:rPr>
              <w:t>Three Months Ended</w:t>
            </w: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144F82"/>
              </w:rPr>
              <w:t>March 31,</w:t>
            </w:r>
          </w:p>
        </w:tc>
        <w:tc>
          <w:tcPr>
            <w:tcW w:w="1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144F82"/>
              </w:rPr>
              <w:t>2025</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144F82"/>
              </w:rPr>
              <w:t>%</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144F82"/>
              </w:rPr>
              <w:t>2024</w:t>
            </w: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144F82"/>
              </w:rPr>
              <w:t>%</w:t>
            </w:r>
          </w:p>
        </w:tc>
        <w:tc>
          <w:tcPr>
            <w:tcW w:w="0" w:type="dxa"/>
            <w:vAlign w:val="bottom"/>
          </w:tcPr>
          <w:p>
            <w:pPr>
              <w:spacing w:after="0"/>
              <w:rPr>
                <w:sz w:val="1"/>
                <w:szCs w:val="1"/>
                <w:color w:val="auto"/>
              </w:rPr>
            </w:pPr>
          </w:p>
        </w:tc>
      </w:tr>
      <w:tr>
        <w:trPr>
          <w:trHeight w:val="365"/>
        </w:trPr>
        <w:tc>
          <w:tcPr>
            <w:tcW w:w="35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Smart Option - interest only</w:t>
            </w:r>
            <w:r>
              <w:rPr>
                <w:rFonts w:ascii="Arial" w:cs="Arial" w:eastAsia="Arial" w:hAnsi="Arial"/>
                <w:sz w:val="21"/>
                <w:szCs w:val="21"/>
                <w:color w:val="auto"/>
                <w:vertAlign w:val="superscript"/>
              </w:rPr>
              <w:t>(1)</w:t>
            </w:r>
          </w:p>
        </w:tc>
        <w:tc>
          <w:tcPr>
            <w:tcW w:w="340" w:type="dxa"/>
            <w:vAlign w:val="bottom"/>
            <w:tcBorders>
              <w:bottom w:val="single" w:sz="8" w:color="EDEDEE"/>
            </w:tcBorders>
            <w:shd w:val="clear" w:color="auto" w:fill="EDEDEE"/>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DEDEE"/>
            </w:tcBorders>
            <w:shd w:val="clear" w:color="auto" w:fill="EDEDEE"/>
          </w:tcPr>
          <w:p>
            <w:pPr>
              <w:jc w:val="right"/>
              <w:ind w:right="179"/>
              <w:spacing w:after="0"/>
              <w:rPr>
                <w:sz w:val="20"/>
                <w:szCs w:val="20"/>
                <w:color w:val="auto"/>
              </w:rPr>
            </w:pPr>
            <w:r>
              <w:rPr>
                <w:rFonts w:ascii="Arial" w:cs="Arial" w:eastAsia="Arial" w:hAnsi="Arial"/>
                <w:sz w:val="16"/>
                <w:szCs w:val="16"/>
                <w:color w:val="auto"/>
              </w:rPr>
              <w:t>537,895</w:t>
            </w:r>
          </w:p>
        </w:tc>
        <w:tc>
          <w:tcPr>
            <w:tcW w:w="9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6"/>
                <w:szCs w:val="16"/>
                <w:color w:val="auto"/>
              </w:rPr>
              <w:t>19 %</w:t>
            </w:r>
          </w:p>
        </w:tc>
        <w:tc>
          <w:tcPr>
            <w:tcW w:w="460" w:type="dxa"/>
            <w:vAlign w:val="bottom"/>
            <w:tcBorders>
              <w:bottom w:val="single" w:sz="8" w:color="EDEDEE"/>
            </w:tcBorders>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DEDEE"/>
            </w:tcBorders>
            <w:shd w:val="clear" w:color="auto" w:fill="EDEDEE"/>
          </w:tcPr>
          <w:p>
            <w:pPr>
              <w:jc w:val="right"/>
              <w:ind w:right="299"/>
              <w:spacing w:after="0"/>
              <w:rPr>
                <w:sz w:val="20"/>
                <w:szCs w:val="20"/>
                <w:color w:val="auto"/>
              </w:rPr>
            </w:pPr>
            <w:r>
              <w:rPr>
                <w:rFonts w:ascii="Arial" w:cs="Arial" w:eastAsia="Arial" w:hAnsi="Arial"/>
                <w:sz w:val="16"/>
                <w:szCs w:val="16"/>
                <w:color w:val="auto"/>
              </w:rPr>
              <w:t>480,250</w:t>
            </w:r>
          </w:p>
        </w:tc>
        <w:tc>
          <w:tcPr>
            <w:tcW w:w="66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338"/>
        </w:trPr>
        <w:tc>
          <w:tcPr>
            <w:tcW w:w="3580" w:type="dxa"/>
            <w:vAlign w:val="bottom"/>
          </w:tcPr>
          <w:p>
            <w:pPr>
              <w:ind w:left="20"/>
              <w:spacing w:after="0"/>
              <w:rPr>
                <w:sz w:val="20"/>
                <w:szCs w:val="20"/>
                <w:color w:val="auto"/>
              </w:rPr>
            </w:pPr>
            <w:r>
              <w:rPr>
                <w:rFonts w:ascii="Arial" w:cs="Arial" w:eastAsia="Arial" w:hAnsi="Arial"/>
                <w:sz w:val="16"/>
                <w:szCs w:val="16"/>
                <w:color w:val="auto"/>
              </w:rPr>
              <w:t>Smart Option - fixed pay</w:t>
            </w:r>
            <w:r>
              <w:rPr>
                <w:rFonts w:ascii="Arial" w:cs="Arial" w:eastAsia="Arial" w:hAnsi="Arial"/>
                <w:sz w:val="21"/>
                <w:szCs w:val="21"/>
                <w:color w:val="auto"/>
                <w:vertAlign w:val="superscript"/>
              </w:rPr>
              <w:t>(1)</w:t>
            </w:r>
          </w:p>
        </w:tc>
        <w:tc>
          <w:tcPr>
            <w:tcW w:w="340" w:type="dxa"/>
            <w:vAlign w:val="bottom"/>
          </w:tcPr>
          <w:p>
            <w:pPr>
              <w:spacing w:after="0"/>
              <w:rPr>
                <w:sz w:val="24"/>
                <w:szCs w:val="24"/>
                <w:color w:val="auto"/>
              </w:rPr>
            </w:pPr>
          </w:p>
        </w:tc>
        <w:tc>
          <w:tcPr>
            <w:tcW w:w="1220" w:type="dxa"/>
            <w:vAlign w:val="bottom"/>
            <w:vMerge w:val="restart"/>
          </w:tcPr>
          <w:p>
            <w:pPr>
              <w:jc w:val="right"/>
              <w:ind w:right="179"/>
              <w:spacing w:after="0"/>
              <w:rPr>
                <w:sz w:val="20"/>
                <w:szCs w:val="20"/>
                <w:color w:val="auto"/>
              </w:rPr>
            </w:pPr>
            <w:r>
              <w:rPr>
                <w:rFonts w:ascii="Arial" w:cs="Arial" w:eastAsia="Arial" w:hAnsi="Arial"/>
                <w:sz w:val="16"/>
                <w:szCs w:val="16"/>
                <w:color w:val="auto"/>
              </w:rPr>
              <w:t>919,012</w:t>
            </w: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color w:val="auto"/>
              </w:rPr>
              <w:t>33</w:t>
            </w:r>
          </w:p>
        </w:tc>
        <w:tc>
          <w:tcPr>
            <w:tcW w:w="460" w:type="dxa"/>
            <w:vAlign w:val="bottom"/>
          </w:tcPr>
          <w:p>
            <w:pPr>
              <w:spacing w:after="0"/>
              <w:rPr>
                <w:sz w:val="24"/>
                <w:szCs w:val="24"/>
                <w:color w:val="auto"/>
              </w:rPr>
            </w:pPr>
          </w:p>
        </w:tc>
        <w:tc>
          <w:tcPr>
            <w:tcW w:w="1240" w:type="dxa"/>
            <w:vAlign w:val="bottom"/>
            <w:vMerge w:val="restart"/>
          </w:tcPr>
          <w:p>
            <w:pPr>
              <w:jc w:val="right"/>
              <w:ind w:right="299"/>
              <w:spacing w:after="0"/>
              <w:rPr>
                <w:sz w:val="20"/>
                <w:szCs w:val="20"/>
                <w:color w:val="auto"/>
              </w:rPr>
            </w:pPr>
            <w:r>
              <w:rPr>
                <w:rFonts w:ascii="Arial" w:cs="Arial" w:eastAsia="Arial" w:hAnsi="Arial"/>
                <w:sz w:val="16"/>
                <w:szCs w:val="16"/>
                <w:color w:val="auto"/>
              </w:rPr>
              <w:t>861,677</w:t>
            </w: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53"/>
        </w:trPr>
        <w:tc>
          <w:tcPr>
            <w:tcW w:w="3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3"/>
        </w:trPr>
        <w:tc>
          <w:tcPr>
            <w:tcW w:w="35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Smart Option - deferred</w:t>
            </w:r>
            <w:r>
              <w:rPr>
                <w:rFonts w:ascii="Arial" w:cs="Arial" w:eastAsia="Arial" w:hAnsi="Arial"/>
                <w:sz w:val="21"/>
                <w:szCs w:val="21"/>
                <w:color w:val="auto"/>
                <w:vertAlign w:val="superscript"/>
              </w:rPr>
              <w:t>(1)</w:t>
            </w:r>
          </w:p>
        </w:tc>
        <w:tc>
          <w:tcPr>
            <w:tcW w:w="340" w:type="dxa"/>
            <w:vAlign w:val="bottom"/>
            <w:tcBorders>
              <w:bottom w:val="single" w:sz="8" w:color="EDEDEE"/>
            </w:tcBorders>
            <w:shd w:val="clear" w:color="auto" w:fill="EDEDEE"/>
          </w:tcPr>
          <w:p>
            <w:pPr>
              <w:spacing w:after="0"/>
              <w:rPr>
                <w:sz w:val="24"/>
                <w:szCs w:val="24"/>
                <w:color w:val="auto"/>
              </w:rPr>
            </w:pPr>
          </w:p>
        </w:tc>
        <w:tc>
          <w:tcPr>
            <w:tcW w:w="1220" w:type="dxa"/>
            <w:vAlign w:val="bottom"/>
            <w:tcBorders>
              <w:bottom w:val="single" w:sz="8" w:color="EDEDEE"/>
            </w:tcBorders>
            <w:shd w:val="clear" w:color="auto" w:fill="EDEDEE"/>
          </w:tcPr>
          <w:p>
            <w:pPr>
              <w:jc w:val="right"/>
              <w:ind w:right="179"/>
              <w:spacing w:after="0"/>
              <w:rPr>
                <w:sz w:val="20"/>
                <w:szCs w:val="20"/>
                <w:color w:val="auto"/>
              </w:rPr>
            </w:pPr>
            <w:r>
              <w:rPr>
                <w:rFonts w:ascii="Arial" w:cs="Arial" w:eastAsia="Arial" w:hAnsi="Arial"/>
                <w:sz w:val="16"/>
                <w:szCs w:val="16"/>
                <w:color w:val="auto"/>
              </w:rPr>
              <w:t>1,123,347</w:t>
            </w:r>
          </w:p>
        </w:tc>
        <w:tc>
          <w:tcPr>
            <w:tcW w:w="920" w:type="dxa"/>
            <w:vAlign w:val="bottom"/>
            <w:tcBorders>
              <w:bottom w:val="single" w:sz="8" w:color="EDEDEE"/>
            </w:tcBorders>
            <w:shd w:val="clear" w:color="auto" w:fill="EDEDEE"/>
          </w:tcPr>
          <w:p>
            <w:pPr>
              <w:jc w:val="right"/>
              <w:ind w:right="179"/>
              <w:spacing w:after="0"/>
              <w:rPr>
                <w:sz w:val="20"/>
                <w:szCs w:val="20"/>
                <w:color w:val="auto"/>
              </w:rPr>
            </w:pPr>
            <w:r>
              <w:rPr>
                <w:rFonts w:ascii="Arial" w:cs="Arial" w:eastAsia="Arial" w:hAnsi="Arial"/>
                <w:sz w:val="16"/>
                <w:szCs w:val="16"/>
                <w:color w:val="auto"/>
              </w:rPr>
              <w:t>41</w:t>
            </w:r>
          </w:p>
        </w:tc>
        <w:tc>
          <w:tcPr>
            <w:tcW w:w="460" w:type="dxa"/>
            <w:vAlign w:val="bottom"/>
            <w:tcBorders>
              <w:bottom w:val="single" w:sz="8" w:color="EDEDEE"/>
            </w:tcBorders>
            <w:shd w:val="clear" w:color="auto" w:fill="EDEDEE"/>
          </w:tcPr>
          <w:p>
            <w:pPr>
              <w:spacing w:after="0"/>
              <w:rPr>
                <w:sz w:val="24"/>
                <w:szCs w:val="24"/>
                <w:color w:val="auto"/>
              </w:rPr>
            </w:pPr>
          </w:p>
        </w:tc>
        <w:tc>
          <w:tcPr>
            <w:tcW w:w="1240" w:type="dxa"/>
            <w:vAlign w:val="bottom"/>
            <w:tcBorders>
              <w:bottom w:val="single" w:sz="8" w:color="EDEDEE"/>
            </w:tcBorders>
            <w:shd w:val="clear" w:color="auto" w:fill="EDEDEE"/>
          </w:tcPr>
          <w:p>
            <w:pPr>
              <w:jc w:val="right"/>
              <w:ind w:right="299"/>
              <w:spacing w:after="0"/>
              <w:rPr>
                <w:sz w:val="20"/>
                <w:szCs w:val="20"/>
                <w:color w:val="auto"/>
              </w:rPr>
            </w:pPr>
            <w:r>
              <w:rPr>
                <w:rFonts w:ascii="Arial" w:cs="Arial" w:eastAsia="Arial" w:hAnsi="Arial"/>
                <w:sz w:val="16"/>
                <w:szCs w:val="16"/>
                <w:color w:val="auto"/>
              </w:rPr>
              <w:t>1,079,912</w:t>
            </w:r>
          </w:p>
        </w:tc>
        <w:tc>
          <w:tcPr>
            <w:tcW w:w="660" w:type="dxa"/>
            <w:vAlign w:val="bottom"/>
            <w:tcBorders>
              <w:bottom w:val="single" w:sz="8" w:color="EDEDEE"/>
            </w:tcBorders>
            <w:shd w:val="clear" w:color="auto" w:fill="EDEDEE"/>
          </w:tcPr>
          <w:p>
            <w:pPr>
              <w:jc w:val="right"/>
              <w:ind w:right="1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EDEDEE"/>
            </w:tcBorders>
          </w:tcPr>
          <w:p>
            <w:pPr>
              <w:ind w:left="20"/>
              <w:spacing w:after="0" w:line="216" w:lineRule="exact"/>
              <w:rPr>
                <w:sz w:val="20"/>
                <w:szCs w:val="20"/>
                <w:color w:val="auto"/>
              </w:rPr>
            </w:pPr>
            <w:r>
              <w:rPr>
                <w:rFonts w:ascii="Arial" w:cs="Arial" w:eastAsia="Arial" w:hAnsi="Arial"/>
                <w:sz w:val="16"/>
                <w:szCs w:val="16"/>
                <w:color w:val="auto"/>
              </w:rPr>
              <w:t>Graduate Loan</w:t>
            </w:r>
            <w:r>
              <w:rPr>
                <w:rFonts w:ascii="Arial" w:cs="Arial" w:eastAsia="Arial" w:hAnsi="Arial"/>
                <w:sz w:val="21"/>
                <w:szCs w:val="21"/>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191,224</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160,231</w:t>
            </w: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5"/>
        </w:trPr>
        <w:tc>
          <w:tcPr>
            <w:tcW w:w="358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 Private Education Loan originations</w:t>
            </w:r>
          </w:p>
        </w:tc>
        <w:tc>
          <w:tcPr>
            <w:tcW w:w="340" w:type="dxa"/>
            <w:vAlign w:val="bottom"/>
            <w:tcBorders>
              <w:bottom w:val="single" w:sz="8" w:color="auto"/>
            </w:tcBorders>
            <w:shd w:val="clear" w:color="auto" w:fill="EDEDEE"/>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DEDEE"/>
          </w:tcPr>
          <w:p>
            <w:pPr>
              <w:jc w:val="right"/>
              <w:ind w:right="179"/>
              <w:spacing w:after="0"/>
              <w:rPr>
                <w:sz w:val="20"/>
                <w:szCs w:val="20"/>
                <w:color w:val="auto"/>
              </w:rPr>
            </w:pPr>
            <w:r>
              <w:rPr>
                <w:rFonts w:ascii="Arial" w:cs="Arial" w:eastAsia="Arial" w:hAnsi="Arial"/>
                <w:sz w:val="16"/>
                <w:szCs w:val="16"/>
                <w:color w:val="auto"/>
              </w:rPr>
              <w:t>2,771,478</w:t>
            </w: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100 %</w:t>
            </w:r>
          </w:p>
        </w:tc>
        <w:tc>
          <w:tcPr>
            <w:tcW w:w="460" w:type="dxa"/>
            <w:vAlign w:val="bottom"/>
            <w:tcBorders>
              <w:bottom w:val="single" w:sz="8" w:color="auto"/>
            </w:tcBorders>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DEDEE"/>
          </w:tcPr>
          <w:p>
            <w:pPr>
              <w:jc w:val="right"/>
              <w:ind w:right="299"/>
              <w:spacing w:after="0"/>
              <w:rPr>
                <w:sz w:val="20"/>
                <w:szCs w:val="20"/>
                <w:color w:val="auto"/>
              </w:rPr>
            </w:pPr>
            <w:r>
              <w:rPr>
                <w:rFonts w:ascii="Arial" w:cs="Arial" w:eastAsia="Arial" w:hAnsi="Arial"/>
                <w:sz w:val="16"/>
                <w:szCs w:val="16"/>
                <w:color w:val="auto"/>
              </w:rPr>
              <w:t>2,582,070</w:t>
            </w:r>
          </w:p>
        </w:tc>
        <w:tc>
          <w:tcPr>
            <w:tcW w:w="6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3580" w:type="dxa"/>
            <w:vAlign w:val="bottom"/>
            <w:tcBorders>
              <w:top w:val="single" w:sz="8" w:color="EDEDEE"/>
            </w:tcBorders>
          </w:tcPr>
          <w:p>
            <w:pPr>
              <w:spacing w:after="0" w:line="20" w:lineRule="exact"/>
              <w:rPr>
                <w:sz w:val="1"/>
                <w:szCs w:val="1"/>
                <w:color w:val="auto"/>
              </w:rPr>
            </w:pPr>
          </w:p>
        </w:tc>
        <w:tc>
          <w:tcPr>
            <w:tcW w:w="340" w:type="dxa"/>
            <w:vAlign w:val="bottom"/>
            <w:tcBorders>
              <w:top w:val="single" w:sz="8" w:color="EDEDEE"/>
              <w:bottom w:val="single" w:sz="8" w:color="auto"/>
            </w:tcBorders>
          </w:tcPr>
          <w:p>
            <w:pPr>
              <w:spacing w:after="0" w:line="20" w:lineRule="exact"/>
              <w:rPr>
                <w:sz w:val="1"/>
                <w:szCs w:val="1"/>
                <w:color w:val="auto"/>
              </w:rPr>
            </w:pPr>
          </w:p>
        </w:tc>
        <w:tc>
          <w:tcPr>
            <w:tcW w:w="1220" w:type="dxa"/>
            <w:vAlign w:val="bottom"/>
            <w:tcBorders>
              <w:top w:val="single" w:sz="8" w:color="EDEDEE"/>
              <w:bottom w:val="single" w:sz="8" w:color="auto"/>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460" w:type="dxa"/>
            <w:vAlign w:val="bottom"/>
            <w:tcBorders>
              <w:top w:val="single" w:sz="8" w:color="EDEDEE"/>
              <w:bottom w:val="single" w:sz="8" w:color="auto"/>
            </w:tcBorders>
          </w:tcPr>
          <w:p>
            <w:pPr>
              <w:spacing w:after="0" w:line="20" w:lineRule="exact"/>
              <w:rPr>
                <w:sz w:val="1"/>
                <w:szCs w:val="1"/>
                <w:color w:val="auto"/>
              </w:rPr>
            </w:pPr>
          </w:p>
        </w:tc>
        <w:tc>
          <w:tcPr>
            <w:tcW w:w="1240" w:type="dxa"/>
            <w:vAlign w:val="bottom"/>
            <w:tcBorders>
              <w:top w:val="single" w:sz="8" w:color="EDEDEE"/>
              <w:bottom w:val="single" w:sz="8" w:color="auto"/>
            </w:tcBorders>
          </w:tcPr>
          <w:p>
            <w:pPr>
              <w:spacing w:after="0" w:line="20" w:lineRule="exact"/>
              <w:rPr>
                <w:sz w:val="1"/>
                <w:szCs w:val="1"/>
                <w:color w:val="auto"/>
              </w:rPr>
            </w:pPr>
          </w:p>
        </w:tc>
        <w:tc>
          <w:tcPr>
            <w:tcW w:w="66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EDEDEE"/>
          </w:tcPr>
          <w:p>
            <w:pPr>
              <w:ind w:left="20"/>
              <w:spacing w:after="0"/>
              <w:rPr>
                <w:sz w:val="20"/>
                <w:szCs w:val="20"/>
                <w:color w:val="auto"/>
              </w:rPr>
            </w:pPr>
            <w:r>
              <w:rPr>
                <w:rFonts w:ascii="Arial" w:cs="Arial" w:eastAsia="Arial" w:hAnsi="Arial"/>
                <w:sz w:val="16"/>
                <w:szCs w:val="16"/>
                <w:color w:val="auto"/>
              </w:rPr>
              <w:t>Percentage of loans with a cosigner</w:t>
            </w:r>
          </w:p>
        </w:tc>
        <w:tc>
          <w:tcPr>
            <w:tcW w:w="340" w:type="dxa"/>
            <w:vAlign w:val="bottom"/>
            <w:shd w:val="clear" w:color="auto" w:fill="EDEDEE"/>
          </w:tcPr>
          <w:p>
            <w:pPr>
              <w:spacing w:after="0"/>
              <w:rPr>
                <w:sz w:val="18"/>
                <w:szCs w:val="18"/>
                <w:color w:val="auto"/>
              </w:rPr>
            </w:pPr>
          </w:p>
        </w:tc>
        <w:tc>
          <w:tcPr>
            <w:tcW w:w="12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93.5 %</w:t>
            </w:r>
          </w:p>
        </w:tc>
        <w:tc>
          <w:tcPr>
            <w:tcW w:w="920" w:type="dxa"/>
            <w:vAlign w:val="bottom"/>
            <w:shd w:val="clear" w:color="auto" w:fill="EDEDEE"/>
          </w:tcPr>
          <w:p>
            <w:pPr>
              <w:spacing w:after="0"/>
              <w:rPr>
                <w:sz w:val="18"/>
                <w:szCs w:val="18"/>
                <w:color w:val="auto"/>
              </w:rPr>
            </w:pPr>
          </w:p>
        </w:tc>
        <w:tc>
          <w:tcPr>
            <w:tcW w:w="460" w:type="dxa"/>
            <w:vAlign w:val="bottom"/>
            <w:shd w:val="clear" w:color="auto" w:fill="EDEDEE"/>
          </w:tcPr>
          <w:p>
            <w:pPr>
              <w:spacing w:after="0"/>
              <w:rPr>
                <w:sz w:val="18"/>
                <w:szCs w:val="18"/>
                <w:color w:val="auto"/>
              </w:rPr>
            </w:pPr>
          </w:p>
        </w:tc>
        <w:tc>
          <w:tcPr>
            <w:tcW w:w="124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rPr>
              <w:t>90.7 %</w:t>
            </w:r>
          </w:p>
        </w:tc>
        <w:tc>
          <w:tcPr>
            <w:tcW w:w="66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580" w:type="dxa"/>
            <w:vAlign w:val="bottom"/>
          </w:tcPr>
          <w:p>
            <w:pPr>
              <w:ind w:left="20"/>
              <w:spacing w:after="0"/>
              <w:rPr>
                <w:sz w:val="20"/>
                <w:szCs w:val="20"/>
                <w:color w:val="auto"/>
              </w:rPr>
            </w:pPr>
            <w:r>
              <w:rPr>
                <w:rFonts w:ascii="Arial" w:cs="Arial" w:eastAsia="Arial" w:hAnsi="Arial"/>
                <w:sz w:val="16"/>
                <w:szCs w:val="16"/>
                <w:color w:val="auto"/>
              </w:rPr>
              <w:t>Average FICO at approval</w:t>
            </w:r>
            <w:r>
              <w:rPr>
                <w:rFonts w:ascii="Arial" w:cs="Arial" w:eastAsia="Arial" w:hAnsi="Arial"/>
                <w:sz w:val="21"/>
                <w:szCs w:val="21"/>
                <w:color w:val="auto"/>
                <w:vertAlign w:val="superscript"/>
              </w:rPr>
              <w:t>(3)</w:t>
            </w:r>
          </w:p>
        </w:tc>
        <w:tc>
          <w:tcPr>
            <w:tcW w:w="340" w:type="dxa"/>
            <w:vAlign w:val="bottom"/>
          </w:tcPr>
          <w:p>
            <w:pPr>
              <w:spacing w:after="0"/>
              <w:rPr>
                <w:sz w:val="24"/>
                <w:szCs w:val="24"/>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753</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748</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left="1460" w:right="2000" w:hanging="156"/>
        <w:spacing w:after="0" w:line="295" w:lineRule="auto"/>
        <w:tabs>
          <w:tab w:leader="none" w:pos="1420" w:val="left"/>
        </w:tabs>
        <w:numPr>
          <w:ilvl w:val="0"/>
          <w:numId w:val="60"/>
        </w:numPr>
        <w:rPr>
          <w:rFonts w:ascii="Arial" w:cs="Arial" w:eastAsia="Arial" w:hAnsi="Arial"/>
          <w:sz w:val="14"/>
          <w:szCs w:val="14"/>
          <w:color w:val="auto"/>
          <w:vertAlign w:val="superscript"/>
        </w:rPr>
      </w:pPr>
      <w:r>
        <w:rPr>
          <w:rFonts w:ascii="Arial" w:cs="Arial" w:eastAsia="Arial" w:hAnsi="Arial"/>
          <w:sz w:val="11"/>
          <w:szCs w:val="11"/>
          <w:color w:val="auto"/>
        </w:rPr>
        <w:t>Interest only, fixed pay, and deferred describe the payment option while in school or in grace period. See Item 1. “Business - Our Business - Private Education Loans” in the 2024 Form 10-K for a further discussion.</w:t>
      </w:r>
    </w:p>
    <w:p>
      <w:pPr>
        <w:spacing w:after="0" w:line="11" w:lineRule="exact"/>
        <w:rPr>
          <w:rFonts w:ascii="Arial" w:cs="Arial" w:eastAsia="Arial" w:hAnsi="Arial"/>
          <w:sz w:val="14"/>
          <w:szCs w:val="14"/>
          <w:color w:val="auto"/>
          <w:vertAlign w:val="superscript"/>
        </w:rPr>
      </w:pPr>
    </w:p>
    <w:p>
      <w:pPr>
        <w:ind w:left="1460" w:right="1460" w:hanging="156"/>
        <w:spacing w:after="0"/>
        <w:tabs>
          <w:tab w:leader="none" w:pos="1432" w:val="left"/>
        </w:tabs>
        <w:numPr>
          <w:ilvl w:val="0"/>
          <w:numId w:val="60"/>
        </w:numPr>
        <w:rPr>
          <w:rFonts w:ascii="Arial" w:cs="Arial" w:eastAsia="Arial" w:hAnsi="Arial"/>
          <w:sz w:val="15"/>
          <w:szCs w:val="15"/>
          <w:color w:val="auto"/>
          <w:vertAlign w:val="superscript"/>
        </w:rPr>
      </w:pPr>
      <w:r>
        <w:rPr>
          <w:rFonts w:ascii="Arial" w:cs="Arial" w:eastAsia="Arial" w:hAnsi="Arial"/>
          <w:sz w:val="12"/>
          <w:szCs w:val="12"/>
          <w:color w:val="auto"/>
        </w:rPr>
        <w:t>For the three months ended March 31, 2025, the Graduate Loan originations include $8.7 million of Smart Option Loans where the student was in a graduate status. For the three months ended March 31, 2024, the Graduate Loan originations include $11.7 million of Smart Option Loans where the student was in a graduate status.</w:t>
      </w:r>
    </w:p>
    <w:p>
      <w:pPr>
        <w:spacing w:after="0" w:line="37" w:lineRule="exact"/>
        <w:rPr>
          <w:rFonts w:ascii="Arial" w:cs="Arial" w:eastAsia="Arial" w:hAnsi="Arial"/>
          <w:sz w:val="15"/>
          <w:szCs w:val="15"/>
          <w:color w:val="auto"/>
          <w:vertAlign w:val="superscript"/>
        </w:rPr>
      </w:pPr>
    </w:p>
    <w:p>
      <w:pPr>
        <w:ind w:left="1420" w:hanging="116"/>
        <w:spacing w:after="0"/>
        <w:tabs>
          <w:tab w:leader="none" w:pos="1420" w:val="left"/>
        </w:tabs>
        <w:numPr>
          <w:ilvl w:val="0"/>
          <w:numId w:val="60"/>
        </w:numPr>
        <w:rPr>
          <w:rFonts w:ascii="Arial" w:cs="Arial" w:eastAsia="Arial" w:hAnsi="Arial"/>
          <w:sz w:val="14"/>
          <w:szCs w:val="14"/>
          <w:color w:val="auto"/>
          <w:vertAlign w:val="superscript"/>
        </w:rPr>
      </w:pPr>
      <w:r>
        <w:rPr>
          <w:rFonts w:ascii="Arial" w:cs="Arial" w:eastAsia="Arial" w:hAnsi="Arial"/>
          <w:sz w:val="11"/>
          <w:szCs w:val="11"/>
          <w:color w:val="auto"/>
        </w:rPr>
        <w:t>Represents the higher credit score of the cosigner or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134F82"/>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82"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102235</wp:posOffset>
            </wp:positionV>
            <wp:extent cx="58718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ectPr>
          <w:pgSz w:w="11900" w:h="16838" w:orient="portrait"/>
          <w:cols w:equalWidth="0" w:num="1">
            <w:col w:w="10480"/>
          </w:cols>
          <w:pgMar w:left="320" w:top="128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60"/>
        <w:spacing w:after="0"/>
        <w:rPr>
          <w:sz w:val="20"/>
          <w:szCs w:val="20"/>
          <w:color w:val="auto"/>
        </w:rPr>
      </w:pPr>
      <w:r>
        <w:rPr>
          <w:rFonts w:ascii="Arial" w:cs="Arial" w:eastAsia="Arial" w:hAnsi="Arial"/>
          <w:sz w:val="12"/>
          <w:szCs w:val="12"/>
          <w:b w:val="1"/>
          <w:bCs w:val="1"/>
          <w:color w:val="144F82"/>
        </w:rPr>
        <w:t>Three Months Ended March 31,</w:t>
      </w:r>
    </w:p>
    <w:p>
      <w:pPr>
        <w:ind w:left="1060"/>
        <w:spacing w:after="0"/>
        <w:rPr>
          <w:sz w:val="20"/>
          <w:szCs w:val="20"/>
          <w:color w:val="auto"/>
        </w:rPr>
      </w:pPr>
      <w:r>
        <w:rPr>
          <w:rFonts w:ascii="Arial" w:cs="Arial" w:eastAsia="Arial" w:hAnsi="Arial"/>
          <w:sz w:val="13"/>
          <w:szCs w:val="13"/>
          <w:b w:val="1"/>
          <w:bCs w:val="1"/>
          <w:color w:val="144F82"/>
        </w:rPr>
        <w:t>(dollars in thousands)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06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b w:val="1"/>
                <w:bCs w:val="1"/>
                <w:color w:val="144F82"/>
                <w:w w:val="96"/>
              </w:rPr>
              <w:t>2025</w:t>
            </w:r>
          </w:p>
        </w:tc>
        <w:tc>
          <w:tcPr>
            <w:tcW w:w="1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144F82"/>
              </w:rPr>
              <w:t>2024</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60" w:type="dxa"/>
            <w:vAlign w:val="bottom"/>
          </w:tcPr>
          <w:p>
            <w:pPr>
              <w:jc w:val="center"/>
              <w:ind w:right="197"/>
              <w:spacing w:after="0"/>
              <w:rPr>
                <w:sz w:val="20"/>
                <w:szCs w:val="20"/>
                <w:color w:val="auto"/>
              </w:rPr>
            </w:pPr>
            <w:r>
              <w:rPr>
                <w:rFonts w:ascii="Arial" w:cs="Arial" w:eastAsia="Arial" w:hAnsi="Arial"/>
                <w:sz w:val="13"/>
                <w:szCs w:val="13"/>
                <w:b w:val="1"/>
                <w:bCs w:val="1"/>
                <w:color w:val="144F82"/>
                <w:w w:val="89"/>
              </w:rPr>
              <w:t>Total</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144F82"/>
                <w:w w:val="96"/>
              </w:rPr>
              <w:t>Private</w:t>
            </w:r>
          </w:p>
        </w:tc>
        <w:tc>
          <w:tcPr>
            <w:tcW w:w="1320" w:type="dxa"/>
            <w:vAlign w:val="bottom"/>
            <w:vMerge w:val="restart"/>
          </w:tcPr>
          <w:p>
            <w:pPr>
              <w:ind w:left="500"/>
              <w:spacing w:after="0"/>
              <w:rPr>
                <w:sz w:val="20"/>
                <w:szCs w:val="20"/>
                <w:color w:val="auto"/>
              </w:rPr>
            </w:pPr>
            <w:r>
              <w:rPr>
                <w:rFonts w:ascii="Arial" w:cs="Arial" w:eastAsia="Arial" w:hAnsi="Arial"/>
                <w:sz w:val="13"/>
                <w:szCs w:val="13"/>
                <w:b w:val="1"/>
                <w:bCs w:val="1"/>
                <w:color w:val="144F82"/>
              </w:rPr>
              <w:t>FFELP</w:t>
            </w:r>
          </w:p>
        </w:tc>
        <w:tc>
          <w:tcPr>
            <w:tcW w:w="126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144F82"/>
                <w:w w:val="89"/>
              </w:rPr>
              <w:t>Total</w:t>
            </w:r>
          </w:p>
        </w:tc>
        <w:tc>
          <w:tcPr>
            <w:tcW w:w="0" w:type="dxa"/>
            <w:vAlign w:val="bottom"/>
          </w:tcPr>
          <w:p>
            <w:pPr>
              <w:spacing w:after="0"/>
              <w:rPr>
                <w:sz w:val="1"/>
                <w:szCs w:val="1"/>
                <w:color w:val="auto"/>
              </w:rPr>
            </w:pPr>
          </w:p>
        </w:tc>
      </w:tr>
      <w:tr>
        <w:trPr>
          <w:trHeight w:val="121"/>
        </w:trPr>
        <w:tc>
          <w:tcPr>
            <w:tcW w:w="2060" w:type="dxa"/>
            <w:vAlign w:val="bottom"/>
          </w:tcPr>
          <w:p>
            <w:pPr>
              <w:jc w:val="center"/>
              <w:ind w:right="197"/>
              <w:spacing w:after="0" w:line="122" w:lineRule="exact"/>
              <w:rPr>
                <w:sz w:val="20"/>
                <w:szCs w:val="20"/>
                <w:color w:val="auto"/>
              </w:rPr>
            </w:pPr>
            <w:r>
              <w:rPr>
                <w:rFonts w:ascii="Arial" w:cs="Arial" w:eastAsia="Arial" w:hAnsi="Arial"/>
                <w:sz w:val="13"/>
                <w:szCs w:val="13"/>
                <w:b w:val="1"/>
                <w:bCs w:val="1"/>
                <w:color w:val="144F82"/>
                <w:w w:val="97"/>
              </w:rPr>
              <w:t>Portfolio</w:t>
            </w:r>
          </w:p>
        </w:tc>
        <w:tc>
          <w:tcPr>
            <w:tcW w:w="14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144F82"/>
                <w:w w:val="95"/>
              </w:rPr>
              <w:t>Education</w:t>
            </w:r>
          </w:p>
        </w:tc>
        <w:tc>
          <w:tcPr>
            <w:tcW w:w="13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60" w:type="dxa"/>
            <w:vAlign w:val="bottom"/>
          </w:tcPr>
          <w:p>
            <w:pPr>
              <w:jc w:val="center"/>
              <w:ind w:right="157"/>
              <w:spacing w:after="0"/>
              <w:rPr>
                <w:sz w:val="20"/>
                <w:szCs w:val="20"/>
                <w:color w:val="auto"/>
              </w:rPr>
            </w:pPr>
            <w:r>
              <w:rPr>
                <w:rFonts w:ascii="Arial" w:cs="Arial" w:eastAsia="Arial" w:hAnsi="Arial"/>
                <w:sz w:val="13"/>
                <w:szCs w:val="13"/>
                <w:b w:val="1"/>
                <w:bCs w:val="1"/>
                <w:color w:val="144F82"/>
                <w:w w:val="97"/>
              </w:rPr>
              <w:t>(Private Education Loans)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144F82"/>
                <w:w w:val="99"/>
              </w:rPr>
              <w:t>Loans</w:t>
            </w:r>
          </w:p>
        </w:tc>
        <w:tc>
          <w:tcPr>
            <w:tcW w:w="1320" w:type="dxa"/>
            <w:vAlign w:val="bottom"/>
          </w:tcPr>
          <w:p>
            <w:pPr>
              <w:ind w:left="520"/>
              <w:spacing w:after="0"/>
              <w:rPr>
                <w:sz w:val="20"/>
                <w:szCs w:val="20"/>
                <w:color w:val="auto"/>
              </w:rPr>
            </w:pPr>
            <w:r>
              <w:rPr>
                <w:rFonts w:ascii="Arial" w:cs="Arial" w:eastAsia="Arial" w:hAnsi="Arial"/>
                <w:sz w:val="13"/>
                <w:szCs w:val="13"/>
                <w:b w:val="1"/>
                <w:bCs w:val="1"/>
                <w:color w:val="144F82"/>
              </w:rPr>
              <w:t>Loans</w:t>
            </w:r>
          </w:p>
        </w:tc>
        <w:tc>
          <w:tcPr>
            <w:tcW w:w="1260" w:type="dxa"/>
            <w:vAlign w:val="bottom"/>
          </w:tcPr>
          <w:p>
            <w:pPr>
              <w:jc w:val="center"/>
              <w:ind w:left="37"/>
              <w:spacing w:after="0"/>
              <w:rPr>
                <w:sz w:val="20"/>
                <w:szCs w:val="20"/>
                <w:color w:val="auto"/>
              </w:rPr>
            </w:pPr>
            <w:r>
              <w:rPr>
                <w:rFonts w:ascii="Arial" w:cs="Arial" w:eastAsia="Arial" w:hAnsi="Arial"/>
                <w:sz w:val="13"/>
                <w:szCs w:val="13"/>
                <w:b w:val="1"/>
                <w:bCs w:val="1"/>
                <w:color w:val="144F82"/>
                <w:w w:val="97"/>
              </w:rPr>
              <w:t>Portfolio</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540" w:space="720"/>
            <w:col w:w="6220"/>
          </w:cols>
          <w:pgMar w:left="320" w:top="1284" w:right="1099" w:bottom="1440" w:gutter="0" w:footer="0" w:header="0"/>
          <w:type w:val="continuous"/>
        </w:sectPr>
      </w:pPr>
    </w:p>
    <w:tbl>
      <w:tblPr>
        <w:tblLayout w:type="fixed"/>
        <w:tblInd w:w="1040" w:type="dxa"/>
        <w:tblCellMar>
          <w:top w:w="0" w:type="dxa"/>
          <w:left w:w="0" w:type="dxa"/>
          <w:bottom w:w="0" w:type="dxa"/>
          <w:right w:w="0" w:type="dxa"/>
        </w:tblCellMar>
      </w:tblPr>
      <w:tr>
        <w:trPr>
          <w:trHeight w:val="204"/>
        </w:trPr>
        <w:tc>
          <w:tcPr>
            <w:tcW w:w="3080" w:type="dxa"/>
            <w:vAlign w:val="bottom"/>
            <w:tcBorders>
              <w:top w:val="single" w:sz="8" w:color="auto"/>
            </w:tcBorders>
            <w:shd w:val="clear" w:color="auto" w:fill="EDEDEE"/>
          </w:tcPr>
          <w:p>
            <w:pPr>
              <w:ind w:left="20"/>
              <w:spacing w:after="0"/>
              <w:rPr>
                <w:sz w:val="20"/>
                <w:szCs w:val="20"/>
                <w:color w:val="auto"/>
              </w:rPr>
            </w:pPr>
            <w:r>
              <w:rPr>
                <w:rFonts w:ascii="Arial" w:cs="Arial" w:eastAsia="Arial" w:hAnsi="Arial"/>
                <w:sz w:val="14"/>
                <w:szCs w:val="14"/>
                <w:b w:val="1"/>
                <w:bCs w:val="1"/>
                <w:color w:val="144F82"/>
              </w:rPr>
              <w:t>Beginning balance</w:t>
            </w:r>
          </w:p>
        </w:tc>
        <w:tc>
          <w:tcPr>
            <w:tcW w:w="740" w:type="dxa"/>
            <w:vAlign w:val="bottom"/>
            <w:tcBorders>
              <w:top w:val="single" w:sz="8" w:color="auto"/>
            </w:tcBorders>
            <w:shd w:val="clear" w:color="auto" w:fill="EDEDEE"/>
          </w:tcPr>
          <w:p>
            <w:pPr>
              <w:jc w:val="right"/>
              <w:ind w:right="4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EDEDEE"/>
          </w:tcPr>
          <w:p>
            <w:pPr>
              <w:jc w:val="right"/>
              <w:ind w:right="68"/>
              <w:spacing w:after="0"/>
              <w:rPr>
                <w:sz w:val="20"/>
                <w:szCs w:val="20"/>
                <w:color w:val="auto"/>
              </w:rPr>
            </w:pPr>
            <w:r>
              <w:rPr>
                <w:rFonts w:ascii="Arial" w:cs="Arial" w:eastAsia="Arial" w:hAnsi="Arial"/>
                <w:sz w:val="14"/>
                <w:szCs w:val="14"/>
                <w:color w:val="auto"/>
              </w:rPr>
              <w:t>1,435,920</w:t>
            </w:r>
          </w:p>
        </w:tc>
        <w:tc>
          <w:tcPr>
            <w:tcW w:w="540" w:type="dxa"/>
            <w:vAlign w:val="bottom"/>
            <w:tcBorders>
              <w:top w:val="single" w:sz="8" w:color="auto"/>
            </w:tcBorders>
            <w:shd w:val="clear" w:color="auto" w:fill="EDEDEE"/>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EDEDEE"/>
          </w:tcPr>
          <w:p>
            <w:pPr>
              <w:jc w:val="right"/>
              <w:ind w:right="28"/>
              <w:spacing w:after="0"/>
              <w:rPr>
                <w:sz w:val="20"/>
                <w:szCs w:val="20"/>
                <w:color w:val="auto"/>
              </w:rPr>
            </w:pPr>
            <w:r>
              <w:rPr>
                <w:rFonts w:ascii="Arial" w:cs="Arial" w:eastAsia="Arial" w:hAnsi="Arial"/>
                <w:sz w:val="14"/>
                <w:szCs w:val="14"/>
                <w:color w:val="auto"/>
              </w:rPr>
              <w:t>1,335,105</w:t>
            </w:r>
          </w:p>
        </w:tc>
        <w:tc>
          <w:tcPr>
            <w:tcW w:w="520" w:type="dxa"/>
            <w:vAlign w:val="bottom"/>
            <w:tcBorders>
              <w:top w:val="single" w:sz="8" w:color="auto"/>
            </w:tcBorders>
            <w:shd w:val="clear" w:color="auto" w:fill="EDEDEE"/>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DEDEE"/>
          </w:tcPr>
          <w:p>
            <w:pPr>
              <w:jc w:val="right"/>
              <w:ind w:right="8"/>
              <w:spacing w:after="0"/>
              <w:rPr>
                <w:sz w:val="20"/>
                <w:szCs w:val="20"/>
                <w:color w:val="auto"/>
              </w:rPr>
            </w:pPr>
            <w:r>
              <w:rPr>
                <w:rFonts w:ascii="Arial" w:cs="Arial" w:eastAsia="Arial" w:hAnsi="Arial"/>
                <w:sz w:val="14"/>
                <w:szCs w:val="14"/>
                <w:color w:val="auto"/>
              </w:rPr>
              <w:t>4,667</w:t>
            </w:r>
          </w:p>
        </w:tc>
        <w:tc>
          <w:tcPr>
            <w:tcW w:w="360" w:type="dxa"/>
            <w:vAlign w:val="bottom"/>
            <w:tcBorders>
              <w:top w:val="single" w:sz="8" w:color="auto"/>
            </w:tcBorders>
            <w:shd w:val="clear" w:color="auto" w:fill="EDEDEE"/>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EDEDEE"/>
          </w:tcPr>
          <w:p>
            <w:pPr>
              <w:jc w:val="right"/>
              <w:ind w:right="8"/>
              <w:spacing w:after="0"/>
              <w:rPr>
                <w:sz w:val="20"/>
                <w:szCs w:val="20"/>
                <w:color w:val="auto"/>
              </w:rPr>
            </w:pPr>
            <w:r>
              <w:rPr>
                <w:rFonts w:ascii="Arial" w:cs="Arial" w:eastAsia="Arial" w:hAnsi="Arial"/>
                <w:sz w:val="14"/>
                <w:szCs w:val="14"/>
                <w:color w:val="auto"/>
              </w:rPr>
              <w:t>1,339,772</w:t>
            </w: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4"/>
                <w:szCs w:val="14"/>
                <w:color w:val="auto"/>
              </w:rPr>
              <w:t>Transfer from unfunded commitment liability</w:t>
            </w:r>
            <w:r>
              <w:rPr>
                <w:rFonts w:ascii="Arial" w:cs="Arial" w:eastAsia="Arial" w:hAnsi="Arial"/>
                <w:sz w:val="18"/>
                <w:szCs w:val="18"/>
                <w:color w:val="auto"/>
                <w:vertAlign w:val="superscript"/>
              </w:rPr>
              <w:t>(1)</w:t>
            </w:r>
          </w:p>
        </w:tc>
        <w:tc>
          <w:tcPr>
            <w:tcW w:w="74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105,134</w:t>
            </w:r>
          </w:p>
        </w:tc>
        <w:tc>
          <w:tcPr>
            <w:tcW w:w="54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131,614</w:t>
            </w:r>
          </w:p>
        </w:tc>
        <w:tc>
          <w:tcPr>
            <w:tcW w:w="5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131,614</w:t>
            </w:r>
          </w:p>
        </w:tc>
      </w:tr>
      <w:tr>
        <w:trPr>
          <w:trHeight w:val="203"/>
        </w:trPr>
        <w:tc>
          <w:tcPr>
            <w:tcW w:w="3080" w:type="dxa"/>
            <w:vAlign w:val="bottom"/>
            <w:shd w:val="clear" w:color="auto" w:fill="EDEDEE"/>
          </w:tcPr>
          <w:p>
            <w:pPr>
              <w:ind w:left="20"/>
              <w:spacing w:after="0"/>
              <w:rPr>
                <w:sz w:val="20"/>
                <w:szCs w:val="20"/>
                <w:color w:val="auto"/>
              </w:rPr>
            </w:pPr>
            <w:r>
              <w:rPr>
                <w:rFonts w:ascii="Arial" w:cs="Arial" w:eastAsia="Arial" w:hAnsi="Arial"/>
                <w:sz w:val="14"/>
                <w:szCs w:val="14"/>
                <w:color w:val="auto"/>
              </w:rPr>
              <w:t>Less:</w:t>
            </w:r>
          </w:p>
        </w:tc>
        <w:tc>
          <w:tcPr>
            <w:tcW w:w="740" w:type="dxa"/>
            <w:vAlign w:val="bottom"/>
            <w:shd w:val="clear" w:color="auto" w:fill="EDEDEE"/>
          </w:tcPr>
          <w:p>
            <w:pPr>
              <w:spacing w:after="0"/>
              <w:rPr>
                <w:sz w:val="17"/>
                <w:szCs w:val="17"/>
                <w:color w:val="auto"/>
              </w:rPr>
            </w:pPr>
          </w:p>
        </w:tc>
        <w:tc>
          <w:tcPr>
            <w:tcW w:w="1280" w:type="dxa"/>
            <w:vAlign w:val="bottom"/>
            <w:shd w:val="clear" w:color="auto" w:fill="EDEDEE"/>
          </w:tcPr>
          <w:p>
            <w:pPr>
              <w:spacing w:after="0"/>
              <w:rPr>
                <w:sz w:val="17"/>
                <w:szCs w:val="17"/>
                <w:color w:val="auto"/>
              </w:rPr>
            </w:pPr>
          </w:p>
        </w:tc>
        <w:tc>
          <w:tcPr>
            <w:tcW w:w="540" w:type="dxa"/>
            <w:vAlign w:val="bottom"/>
            <w:shd w:val="clear" w:color="auto" w:fill="EDEDEE"/>
          </w:tcPr>
          <w:p>
            <w:pPr>
              <w:spacing w:after="0"/>
              <w:rPr>
                <w:sz w:val="17"/>
                <w:szCs w:val="17"/>
                <w:color w:val="auto"/>
              </w:rPr>
            </w:pPr>
          </w:p>
        </w:tc>
        <w:tc>
          <w:tcPr>
            <w:tcW w:w="1060" w:type="dxa"/>
            <w:vAlign w:val="bottom"/>
            <w:shd w:val="clear" w:color="auto" w:fill="EDEDEE"/>
          </w:tcPr>
          <w:p>
            <w:pPr>
              <w:spacing w:after="0"/>
              <w:rPr>
                <w:sz w:val="17"/>
                <w:szCs w:val="17"/>
                <w:color w:val="auto"/>
              </w:rPr>
            </w:pPr>
          </w:p>
        </w:tc>
        <w:tc>
          <w:tcPr>
            <w:tcW w:w="520" w:type="dxa"/>
            <w:vAlign w:val="bottom"/>
            <w:shd w:val="clear" w:color="auto" w:fill="EDEDEE"/>
          </w:tcPr>
          <w:p>
            <w:pPr>
              <w:spacing w:after="0"/>
              <w:rPr>
                <w:sz w:val="17"/>
                <w:szCs w:val="17"/>
                <w:color w:val="auto"/>
              </w:rPr>
            </w:pPr>
          </w:p>
        </w:tc>
        <w:tc>
          <w:tcPr>
            <w:tcW w:w="800" w:type="dxa"/>
            <w:vAlign w:val="bottom"/>
            <w:shd w:val="clear" w:color="auto" w:fill="EDEDEE"/>
          </w:tcPr>
          <w:p>
            <w:pPr>
              <w:spacing w:after="0"/>
              <w:rPr>
                <w:sz w:val="17"/>
                <w:szCs w:val="17"/>
                <w:color w:val="auto"/>
              </w:rPr>
            </w:pPr>
          </w:p>
        </w:tc>
        <w:tc>
          <w:tcPr>
            <w:tcW w:w="360" w:type="dxa"/>
            <w:vAlign w:val="bottom"/>
            <w:shd w:val="clear" w:color="auto" w:fill="EDEDEE"/>
          </w:tcPr>
          <w:p>
            <w:pPr>
              <w:spacing w:after="0"/>
              <w:rPr>
                <w:sz w:val="17"/>
                <w:szCs w:val="17"/>
                <w:color w:val="auto"/>
              </w:rPr>
            </w:pPr>
          </w:p>
        </w:tc>
        <w:tc>
          <w:tcPr>
            <w:tcW w:w="880" w:type="dxa"/>
            <w:vAlign w:val="bottom"/>
            <w:shd w:val="clear" w:color="auto" w:fill="EDEDEE"/>
          </w:tcPr>
          <w:p>
            <w:pPr>
              <w:spacing w:after="0"/>
              <w:rPr>
                <w:sz w:val="17"/>
                <w:szCs w:val="17"/>
                <w:color w:val="auto"/>
              </w:rPr>
            </w:pPr>
          </w:p>
        </w:tc>
      </w:tr>
    </w:tbl>
    <w:p>
      <w:pPr>
        <w:spacing w:after="0" w:line="99" w:lineRule="exact"/>
        <w:rPr>
          <w:sz w:val="20"/>
          <w:szCs w:val="20"/>
          <w:color w:val="auto"/>
        </w:rPr>
      </w:pPr>
    </w:p>
    <w:p>
      <w:pPr>
        <w:sectPr>
          <w:pgSz w:w="11900" w:h="16838" w:orient="portrait"/>
          <w:cols w:equalWidth="0" w:num="1">
            <w:col w:w="10480"/>
          </w:cols>
          <w:pgMar w:left="320" w:top="1284" w:right="1099" w:bottom="1440" w:gutter="0" w:footer="0" w:header="0"/>
          <w:type w:val="continuous"/>
        </w:sectPr>
      </w:pPr>
    </w:p>
    <w:p>
      <w:pPr>
        <w:ind w:left="1180"/>
        <w:spacing w:after="0"/>
        <w:rPr>
          <w:sz w:val="20"/>
          <w:szCs w:val="20"/>
          <w:color w:val="auto"/>
        </w:rPr>
      </w:pPr>
      <w:r>
        <w:rPr>
          <w:rFonts w:ascii="Arial" w:cs="Arial" w:eastAsia="Arial" w:hAnsi="Arial"/>
          <w:sz w:val="14"/>
          <w:szCs w:val="14"/>
          <w:color w:val="auto"/>
        </w:rPr>
        <w:t>Charge-offs</w:t>
      </w:r>
    </w:p>
    <w:p>
      <w:pPr>
        <w:spacing w:after="0" w:line="123"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Plus:</w:t>
      </w:r>
    </w:p>
    <w:p>
      <w:pPr>
        <w:spacing w:after="0" w:line="42"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Recoveries</w:t>
      </w:r>
    </w:p>
    <w:p>
      <w:pPr>
        <w:spacing w:after="0" w:line="42"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Provisions for credit losses:</w:t>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Provision, current period</w:t>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Loan sale reduction to provision</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jc w:val="right"/>
              <w:ind w:right="428"/>
              <w:spacing w:after="0"/>
              <w:rPr>
                <w:sz w:val="20"/>
                <w:szCs w:val="20"/>
                <w:color w:val="auto"/>
              </w:rPr>
            </w:pPr>
            <w:r>
              <w:rPr>
                <w:rFonts w:ascii="Arial" w:cs="Arial" w:eastAsia="Arial" w:hAnsi="Arial"/>
                <w:sz w:val="14"/>
                <w:szCs w:val="14"/>
                <w:color w:val="auto"/>
              </w:rPr>
              <w:t>(86,903)</w:t>
            </w:r>
          </w:p>
        </w:tc>
        <w:tc>
          <w:tcPr>
            <w:tcW w:w="1640" w:type="dxa"/>
            <w:vAlign w:val="bottom"/>
          </w:tcPr>
          <w:p>
            <w:pPr>
              <w:jc w:val="right"/>
              <w:ind w:right="428"/>
              <w:spacing w:after="0"/>
              <w:rPr>
                <w:sz w:val="20"/>
                <w:szCs w:val="20"/>
                <w:color w:val="auto"/>
              </w:rPr>
            </w:pPr>
            <w:r>
              <w:rPr>
                <w:rFonts w:ascii="Arial" w:cs="Arial" w:eastAsia="Arial" w:hAnsi="Arial"/>
                <w:sz w:val="14"/>
                <w:szCs w:val="14"/>
                <w:color w:val="auto"/>
              </w:rPr>
              <w:t>(93,874)</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(123)</w:t>
            </w:r>
          </w:p>
        </w:tc>
        <w:tc>
          <w:tcPr>
            <w:tcW w:w="920" w:type="dxa"/>
            <w:vAlign w:val="bottom"/>
          </w:tcPr>
          <w:p>
            <w:pPr>
              <w:jc w:val="right"/>
              <w:spacing w:after="0"/>
              <w:rPr>
                <w:sz w:val="20"/>
                <w:szCs w:val="20"/>
                <w:color w:val="auto"/>
              </w:rPr>
            </w:pPr>
            <w:r>
              <w:rPr>
                <w:rFonts w:ascii="Arial" w:cs="Arial" w:eastAsia="Arial" w:hAnsi="Arial"/>
                <w:sz w:val="14"/>
                <w:szCs w:val="14"/>
                <w:color w:val="auto"/>
              </w:rPr>
              <w:t>(93,997)</w:t>
            </w:r>
          </w:p>
        </w:tc>
      </w:tr>
      <w:tr>
        <w:trPr>
          <w:trHeight w:val="405"/>
        </w:trPr>
        <w:tc>
          <w:tcPr>
            <w:tcW w:w="1100" w:type="dxa"/>
            <w:vAlign w:val="bottom"/>
          </w:tcPr>
          <w:p>
            <w:pPr>
              <w:jc w:val="right"/>
              <w:ind w:right="468"/>
              <w:spacing w:after="0"/>
              <w:rPr>
                <w:sz w:val="20"/>
                <w:szCs w:val="20"/>
                <w:color w:val="auto"/>
              </w:rPr>
            </w:pPr>
            <w:r>
              <w:rPr>
                <w:rFonts w:ascii="Arial" w:cs="Arial" w:eastAsia="Arial" w:hAnsi="Arial"/>
                <w:sz w:val="14"/>
                <w:szCs w:val="14"/>
                <w:color w:val="auto"/>
              </w:rPr>
              <w:t>10,734</w:t>
            </w:r>
          </w:p>
        </w:tc>
        <w:tc>
          <w:tcPr>
            <w:tcW w:w="1640" w:type="dxa"/>
            <w:vAlign w:val="bottom"/>
          </w:tcPr>
          <w:p>
            <w:pPr>
              <w:jc w:val="right"/>
              <w:ind w:right="468"/>
              <w:spacing w:after="0"/>
              <w:rPr>
                <w:sz w:val="20"/>
                <w:szCs w:val="20"/>
                <w:color w:val="auto"/>
              </w:rPr>
            </w:pPr>
            <w:r>
              <w:rPr>
                <w:rFonts w:ascii="Arial" w:cs="Arial" w:eastAsia="Arial" w:hAnsi="Arial"/>
                <w:sz w:val="14"/>
                <w:szCs w:val="14"/>
                <w:color w:val="auto"/>
              </w:rPr>
              <w:t>11,314</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11,314</w:t>
            </w:r>
          </w:p>
        </w:tc>
      </w:tr>
      <w:tr>
        <w:trPr>
          <w:trHeight w:val="405"/>
        </w:trPr>
        <w:tc>
          <w:tcPr>
            <w:tcW w:w="1100" w:type="dxa"/>
            <w:vAlign w:val="bottom"/>
          </w:tcPr>
          <w:p>
            <w:pPr>
              <w:jc w:val="right"/>
              <w:ind w:right="468"/>
              <w:spacing w:after="0"/>
              <w:rPr>
                <w:sz w:val="20"/>
                <w:szCs w:val="20"/>
                <w:color w:val="auto"/>
              </w:rPr>
            </w:pPr>
            <w:r>
              <w:rPr>
                <w:rFonts w:ascii="Arial" w:cs="Arial" w:eastAsia="Arial" w:hAnsi="Arial"/>
                <w:sz w:val="14"/>
                <w:szCs w:val="14"/>
                <w:color w:val="auto"/>
              </w:rPr>
              <w:t>95,289</w:t>
            </w:r>
          </w:p>
        </w:tc>
        <w:tc>
          <w:tcPr>
            <w:tcW w:w="1640" w:type="dxa"/>
            <w:vAlign w:val="bottom"/>
          </w:tcPr>
          <w:p>
            <w:pPr>
              <w:jc w:val="right"/>
              <w:ind w:right="468"/>
              <w:spacing w:after="0"/>
              <w:rPr>
                <w:sz w:val="20"/>
                <w:szCs w:val="20"/>
                <w:color w:val="auto"/>
              </w:rPr>
            </w:pPr>
            <w:r>
              <w:rPr>
                <w:rFonts w:ascii="Arial" w:cs="Arial" w:eastAsia="Arial" w:hAnsi="Arial"/>
                <w:sz w:val="14"/>
                <w:szCs w:val="14"/>
                <w:color w:val="auto"/>
              </w:rPr>
              <w:t>94,476</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83</w:t>
            </w:r>
          </w:p>
        </w:tc>
        <w:tc>
          <w:tcPr>
            <w:tcW w:w="920" w:type="dxa"/>
            <w:vAlign w:val="bottom"/>
          </w:tcPr>
          <w:p>
            <w:pPr>
              <w:jc w:val="right"/>
              <w:spacing w:after="0"/>
              <w:rPr>
                <w:sz w:val="20"/>
                <w:szCs w:val="20"/>
                <w:color w:val="auto"/>
              </w:rPr>
            </w:pPr>
            <w:r>
              <w:rPr>
                <w:rFonts w:ascii="Arial" w:cs="Arial" w:eastAsia="Arial" w:hAnsi="Arial"/>
                <w:sz w:val="14"/>
                <w:szCs w:val="14"/>
                <w:color w:val="auto"/>
              </w:rPr>
              <w:t>94,559</w:t>
            </w:r>
          </w:p>
        </w:tc>
      </w:tr>
      <w:tr>
        <w:trPr>
          <w:trHeight w:val="203"/>
        </w:trPr>
        <w:tc>
          <w:tcPr>
            <w:tcW w:w="1100" w:type="dxa"/>
            <w:vAlign w:val="bottom"/>
          </w:tcPr>
          <w:p>
            <w:pPr>
              <w:jc w:val="right"/>
              <w:ind w:right="428"/>
              <w:spacing w:after="0"/>
              <w:rPr>
                <w:sz w:val="20"/>
                <w:szCs w:val="20"/>
                <w:color w:val="auto"/>
              </w:rPr>
            </w:pPr>
            <w:r>
              <w:rPr>
                <w:rFonts w:ascii="Arial" w:cs="Arial" w:eastAsia="Arial" w:hAnsi="Arial"/>
                <w:sz w:val="14"/>
                <w:szCs w:val="14"/>
                <w:color w:val="auto"/>
                <w:w w:val="96"/>
              </w:rPr>
              <w:t>(116,459)</w:t>
            </w:r>
          </w:p>
        </w:tc>
        <w:tc>
          <w:tcPr>
            <w:tcW w:w="1640" w:type="dxa"/>
            <w:vAlign w:val="bottom"/>
          </w:tcPr>
          <w:p>
            <w:pPr>
              <w:jc w:val="right"/>
              <w:ind w:right="428"/>
              <w:spacing w:after="0"/>
              <w:rPr>
                <w:sz w:val="20"/>
                <w:szCs w:val="20"/>
                <w:color w:val="auto"/>
              </w:rPr>
            </w:pPr>
            <w:r>
              <w:rPr>
                <w:rFonts w:ascii="Arial" w:cs="Arial" w:eastAsia="Arial" w:hAnsi="Arial"/>
                <w:sz w:val="14"/>
                <w:szCs w:val="14"/>
                <w:color w:val="auto"/>
              </w:rPr>
              <w:t>(133,204)</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(133,204)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-636905</wp:posOffset>
            </wp:positionV>
            <wp:extent cx="587184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-379730</wp:posOffset>
            </wp:positionV>
            <wp:extent cx="587184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-122555</wp:posOffset>
            </wp:positionV>
            <wp:extent cx="587184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20" w:space="720"/>
            <w:col w:w="5040"/>
          </w:cols>
          <w:pgMar w:left="320" w:top="1284" w:right="1099" w:bottom="1440" w:gutter="0" w:footer="0" w:header="0"/>
          <w:type w:val="continuous"/>
        </w:sectPr>
      </w:pPr>
    </w:p>
    <w:tbl>
      <w:tblPr>
        <w:tblLayout w:type="fixed"/>
        <w:tblInd w:w="1040" w:type="dxa"/>
        <w:tblCellMar>
          <w:top w:w="0" w:type="dxa"/>
          <w:left w:w="0" w:type="dxa"/>
          <w:bottom w:w="0" w:type="dxa"/>
          <w:right w:w="0" w:type="dxa"/>
        </w:tblCellMar>
      </w:tblPr>
      <w:tr>
        <w:trPr>
          <w:trHeight w:val="204"/>
        </w:trPr>
        <w:tc>
          <w:tcPr>
            <w:tcW w:w="3220" w:type="dxa"/>
            <w:vAlign w:val="bottom"/>
            <w:tcBorders>
              <w:bottom w:val="single" w:sz="8" w:color="EDEDEE"/>
            </w:tcBorders>
          </w:tcPr>
          <w:p>
            <w:pPr>
              <w:ind w:left="140"/>
              <w:spacing w:after="0" w:line="204" w:lineRule="exact"/>
              <w:rPr>
                <w:sz w:val="20"/>
                <w:szCs w:val="20"/>
                <w:color w:val="auto"/>
              </w:rPr>
            </w:pPr>
            <w:r>
              <w:rPr>
                <w:rFonts w:ascii="Arial" w:cs="Arial" w:eastAsia="Arial" w:hAnsi="Arial"/>
                <w:sz w:val="14"/>
                <w:szCs w:val="14"/>
                <w:color w:val="auto"/>
              </w:rPr>
              <w:t>Total provisions for credit losses</w:t>
            </w:r>
            <w:r>
              <w:rPr>
                <w:rFonts w:ascii="Arial" w:cs="Arial" w:eastAsia="Arial" w:hAnsi="Arial"/>
                <w:sz w:val="18"/>
                <w:szCs w:val="18"/>
                <w:color w:val="auto"/>
                <w:vertAlign w:val="superscript"/>
              </w:rPr>
              <w:t>(2)</w:t>
            </w:r>
          </w:p>
        </w:tc>
        <w:tc>
          <w:tcPr>
            <w:tcW w:w="6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(21,170)</w:t>
            </w:r>
          </w:p>
        </w:tc>
        <w:tc>
          <w:tcPr>
            <w:tcW w:w="5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(38,728)</w:t>
            </w:r>
          </w:p>
        </w:tc>
        <w:tc>
          <w:tcPr>
            <w:tcW w:w="5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83</w:t>
            </w: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(38,645)</w:t>
            </w:r>
          </w:p>
        </w:tc>
      </w:tr>
      <w:tr>
        <w:trPr>
          <w:trHeight w:val="221"/>
        </w:trPr>
        <w:tc>
          <w:tcPr>
            <w:tcW w:w="32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4"/>
                <w:szCs w:val="14"/>
                <w:b w:val="1"/>
                <w:bCs w:val="1"/>
                <w:color w:val="144F82"/>
              </w:rPr>
              <w:t>Ending balance</w:t>
            </w:r>
          </w:p>
        </w:tc>
        <w:tc>
          <w:tcPr>
            <w:tcW w:w="600" w:type="dxa"/>
            <w:vAlign w:val="bottom"/>
            <w:tcBorders>
              <w:bottom w:val="single" w:sz="8" w:color="auto"/>
            </w:tcBorders>
            <w:shd w:val="clear" w:color="auto" w:fill="EDEDEE"/>
          </w:tcPr>
          <w:p>
            <w:pPr>
              <w:jc w:val="right"/>
              <w:ind w:right="4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EDEDEE"/>
          </w:tcPr>
          <w:p>
            <w:pPr>
              <w:jc w:val="right"/>
              <w:ind w:right="88"/>
              <w:spacing w:after="0"/>
              <w:rPr>
                <w:sz w:val="20"/>
                <w:szCs w:val="20"/>
                <w:color w:val="auto"/>
              </w:rPr>
            </w:pPr>
            <w:r>
              <w:rPr>
                <w:rFonts w:ascii="Arial" w:cs="Arial" w:eastAsia="Arial" w:hAnsi="Arial"/>
                <w:sz w:val="14"/>
                <w:szCs w:val="14"/>
                <w:color w:val="auto"/>
              </w:rPr>
              <w:t>1,443,715</w:t>
            </w:r>
          </w:p>
        </w:tc>
        <w:tc>
          <w:tcPr>
            <w:tcW w:w="520" w:type="dxa"/>
            <w:vAlign w:val="bottom"/>
            <w:tcBorders>
              <w:bottom w:val="single" w:sz="8" w:color="auto"/>
            </w:tcBorders>
            <w:shd w:val="clear" w:color="auto" w:fill="EDEDEE"/>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DEDEE"/>
          </w:tcPr>
          <w:p>
            <w:pPr>
              <w:jc w:val="right"/>
              <w:ind w:right="48"/>
              <w:spacing w:after="0"/>
              <w:rPr>
                <w:sz w:val="20"/>
                <w:szCs w:val="20"/>
                <w:color w:val="auto"/>
              </w:rPr>
            </w:pPr>
            <w:r>
              <w:rPr>
                <w:rFonts w:ascii="Arial" w:cs="Arial" w:eastAsia="Arial" w:hAnsi="Arial"/>
                <w:sz w:val="14"/>
                <w:szCs w:val="14"/>
                <w:color w:val="auto"/>
              </w:rPr>
              <w:t>1,345,431</w:t>
            </w:r>
          </w:p>
        </w:tc>
        <w:tc>
          <w:tcPr>
            <w:tcW w:w="500" w:type="dxa"/>
            <w:vAlign w:val="bottom"/>
            <w:tcBorders>
              <w:bottom w:val="single" w:sz="8" w:color="auto"/>
            </w:tcBorders>
            <w:shd w:val="clear" w:color="auto" w:fill="EDEDEE"/>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DEDEE"/>
          </w:tcPr>
          <w:p>
            <w:pPr>
              <w:jc w:val="right"/>
              <w:ind w:right="8"/>
              <w:spacing w:after="0"/>
              <w:rPr>
                <w:sz w:val="20"/>
                <w:szCs w:val="20"/>
                <w:color w:val="auto"/>
              </w:rPr>
            </w:pPr>
            <w:r>
              <w:rPr>
                <w:rFonts w:ascii="Arial" w:cs="Arial" w:eastAsia="Arial" w:hAnsi="Arial"/>
                <w:sz w:val="14"/>
                <w:szCs w:val="14"/>
                <w:color w:val="auto"/>
              </w:rPr>
              <w:t>4,627</w:t>
            </w:r>
          </w:p>
        </w:tc>
        <w:tc>
          <w:tcPr>
            <w:tcW w:w="360" w:type="dxa"/>
            <w:vAlign w:val="bottom"/>
            <w:tcBorders>
              <w:bottom w:val="single" w:sz="8" w:color="auto"/>
            </w:tcBorders>
            <w:shd w:val="clear" w:color="auto" w:fill="EDEDEE"/>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DEDEE"/>
          </w:tcPr>
          <w:p>
            <w:pPr>
              <w:jc w:val="right"/>
              <w:ind w:right="8"/>
              <w:spacing w:after="0"/>
              <w:rPr>
                <w:sz w:val="20"/>
                <w:szCs w:val="20"/>
                <w:color w:val="auto"/>
              </w:rPr>
            </w:pPr>
            <w:r>
              <w:rPr>
                <w:rFonts w:ascii="Arial" w:cs="Arial" w:eastAsia="Arial" w:hAnsi="Arial"/>
                <w:sz w:val="14"/>
                <w:szCs w:val="14"/>
                <w:color w:val="auto"/>
              </w:rPr>
              <w:t>1,350,058</w:t>
            </w:r>
          </w:p>
        </w:tc>
      </w:tr>
      <w:tr>
        <w:trPr>
          <w:trHeight w:val="20"/>
        </w:trPr>
        <w:tc>
          <w:tcPr>
            <w:tcW w:w="3220" w:type="dxa"/>
            <w:vAlign w:val="bottom"/>
            <w:tcBorders>
              <w:top w:val="single" w:sz="8" w:color="EDEDEE"/>
            </w:tcBorders>
          </w:tcPr>
          <w:p>
            <w:pPr>
              <w:spacing w:after="0" w:line="20" w:lineRule="exact"/>
              <w:rPr>
                <w:sz w:val="1"/>
                <w:szCs w:val="1"/>
                <w:color w:val="auto"/>
              </w:rPr>
            </w:pPr>
          </w:p>
        </w:tc>
        <w:tc>
          <w:tcPr>
            <w:tcW w:w="600" w:type="dxa"/>
            <w:vAlign w:val="bottom"/>
            <w:tcBorders>
              <w:top w:val="single" w:sz="8" w:color="EDEDEE"/>
              <w:bottom w:val="single" w:sz="8" w:color="auto"/>
            </w:tcBorders>
          </w:tcPr>
          <w:p>
            <w:pPr>
              <w:spacing w:after="0" w:line="20" w:lineRule="exact"/>
              <w:rPr>
                <w:sz w:val="1"/>
                <w:szCs w:val="1"/>
                <w:color w:val="auto"/>
              </w:rPr>
            </w:pPr>
          </w:p>
        </w:tc>
        <w:tc>
          <w:tcPr>
            <w:tcW w:w="1300" w:type="dxa"/>
            <w:vAlign w:val="bottom"/>
            <w:tcBorders>
              <w:top w:val="single" w:sz="8" w:color="EDEDEE"/>
              <w:bottom w:val="single" w:sz="8" w:color="auto"/>
            </w:tcBorders>
          </w:tcPr>
          <w:p>
            <w:pPr>
              <w:spacing w:after="0" w:line="20" w:lineRule="exact"/>
              <w:rPr>
                <w:sz w:val="1"/>
                <w:szCs w:val="1"/>
                <w:color w:val="auto"/>
              </w:rPr>
            </w:pPr>
          </w:p>
        </w:tc>
        <w:tc>
          <w:tcPr>
            <w:tcW w:w="520" w:type="dxa"/>
            <w:vAlign w:val="bottom"/>
            <w:tcBorders>
              <w:top w:val="single" w:sz="8" w:color="EDEDEE"/>
              <w:bottom w:val="single" w:sz="8" w:color="auto"/>
            </w:tcBorders>
          </w:tcPr>
          <w:p>
            <w:pPr>
              <w:spacing w:after="0" w:line="20" w:lineRule="exact"/>
              <w:rPr>
                <w:sz w:val="1"/>
                <w:szCs w:val="1"/>
                <w:color w:val="auto"/>
              </w:rPr>
            </w:pPr>
          </w:p>
        </w:tc>
        <w:tc>
          <w:tcPr>
            <w:tcW w:w="1080" w:type="dxa"/>
            <w:vAlign w:val="bottom"/>
            <w:tcBorders>
              <w:top w:val="single" w:sz="8" w:color="EDEDEE"/>
              <w:bottom w:val="single" w:sz="8" w:color="auto"/>
            </w:tcBorders>
          </w:tcPr>
          <w:p>
            <w:pPr>
              <w:spacing w:after="0" w:line="20" w:lineRule="exact"/>
              <w:rPr>
                <w:sz w:val="1"/>
                <w:szCs w:val="1"/>
                <w:color w:val="auto"/>
              </w:rPr>
            </w:pPr>
          </w:p>
        </w:tc>
        <w:tc>
          <w:tcPr>
            <w:tcW w:w="500" w:type="dxa"/>
            <w:vAlign w:val="bottom"/>
            <w:tcBorders>
              <w:top w:val="single" w:sz="8" w:color="EDEDEE"/>
              <w:bottom w:val="single" w:sz="8" w:color="auto"/>
            </w:tcBorders>
          </w:tcPr>
          <w:p>
            <w:pPr>
              <w:spacing w:after="0" w:line="20" w:lineRule="exact"/>
              <w:rPr>
                <w:sz w:val="1"/>
                <w:szCs w:val="1"/>
                <w:color w:val="auto"/>
              </w:rPr>
            </w:pPr>
          </w:p>
        </w:tc>
        <w:tc>
          <w:tcPr>
            <w:tcW w:w="800" w:type="dxa"/>
            <w:vAlign w:val="bottom"/>
            <w:tcBorders>
              <w:top w:val="single" w:sz="8" w:color="EDEDEE"/>
              <w:bottom w:val="single" w:sz="8" w:color="auto"/>
            </w:tcBorders>
          </w:tcPr>
          <w:p>
            <w:pPr>
              <w:spacing w:after="0" w:line="20" w:lineRule="exact"/>
              <w:rPr>
                <w:sz w:val="1"/>
                <w:szCs w:val="1"/>
                <w:color w:val="auto"/>
              </w:rPr>
            </w:pPr>
          </w:p>
        </w:tc>
        <w:tc>
          <w:tcPr>
            <w:tcW w:w="360" w:type="dxa"/>
            <w:vAlign w:val="bottom"/>
            <w:tcBorders>
              <w:top w:val="single" w:sz="8" w:color="EDEDEE"/>
              <w:bottom w:val="single" w:sz="8" w:color="auto"/>
            </w:tcBorders>
          </w:tcPr>
          <w:p>
            <w:pPr>
              <w:spacing w:after="0" w:line="20" w:lineRule="exact"/>
              <w:rPr>
                <w:sz w:val="1"/>
                <w:szCs w:val="1"/>
                <w:color w:val="auto"/>
              </w:rPr>
            </w:pPr>
          </w:p>
        </w:tc>
        <w:tc>
          <w:tcPr>
            <w:tcW w:w="880" w:type="dxa"/>
            <w:vAlign w:val="bottom"/>
            <w:tcBorders>
              <w:top w:val="single" w:sz="8" w:color="EDEDEE"/>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ind w:left="1220" w:right="400" w:hanging="240"/>
        <w:spacing w:after="0" w:line="226" w:lineRule="auto"/>
        <w:tabs>
          <w:tab w:leader="none" w:pos="1137"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See Note 4, “Allowance for Credit Losses and Unfunded Loan Commitments,” in this Form 10-Q for a summary of the activity in the allowance for and balance of unfunded loan commitments, respectively.</w:t>
      </w:r>
    </w:p>
    <w:p>
      <w:pPr>
        <w:spacing w:after="0" w:line="63" w:lineRule="exact"/>
        <w:rPr>
          <w:rFonts w:ascii="Arial" w:cs="Arial" w:eastAsia="Arial" w:hAnsi="Arial"/>
          <w:sz w:val="16"/>
          <w:szCs w:val="16"/>
          <w:color w:val="auto"/>
          <w:vertAlign w:val="superscript"/>
        </w:rPr>
      </w:pPr>
    </w:p>
    <w:p>
      <w:pPr>
        <w:ind w:left="1220" w:hanging="240"/>
        <w:spacing w:after="0" w:line="300" w:lineRule="auto"/>
        <w:tabs>
          <w:tab w:leader="none" w:pos="1147"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See “</w:t>
      </w:r>
      <w:r>
        <w:rPr>
          <w:rFonts w:ascii="Arial" w:cs="Arial" w:eastAsia="Arial" w:hAnsi="Arial"/>
          <w:sz w:val="17"/>
          <w:szCs w:val="17"/>
          <w:color w:val="auto"/>
        </w:rPr>
        <w:t>—</w:t>
      </w:r>
      <w:r>
        <w:rPr>
          <w:rFonts w:ascii="Arial" w:cs="Arial" w:eastAsia="Arial" w:hAnsi="Arial"/>
          <w:sz w:val="13"/>
          <w:szCs w:val="13"/>
          <w:color w:val="auto"/>
        </w:rPr>
        <w:t xml:space="preserve">Financial Condition </w:t>
      </w:r>
      <w:r>
        <w:rPr>
          <w:rFonts w:ascii="Arial" w:cs="Arial" w:eastAsia="Arial" w:hAnsi="Arial"/>
          <w:sz w:val="17"/>
          <w:szCs w:val="17"/>
          <w:color w:val="auto"/>
        </w:rPr>
        <w:t>—</w:t>
      </w:r>
      <w:r>
        <w:rPr>
          <w:rFonts w:ascii="Arial" w:cs="Arial" w:eastAsia="Arial" w:hAnsi="Arial"/>
          <w:sz w:val="13"/>
          <w:szCs w:val="13"/>
          <w:color w:val="auto"/>
        </w:rPr>
        <w:t xml:space="preserve"> Allowance for Credit Losses </w:t>
      </w:r>
      <w:r>
        <w:rPr>
          <w:rFonts w:ascii="Arial" w:cs="Arial" w:eastAsia="Arial" w:hAnsi="Arial"/>
          <w:sz w:val="17"/>
          <w:szCs w:val="17"/>
          <w:color w:val="auto"/>
        </w:rPr>
        <w:t>—</w:t>
      </w:r>
      <w:r>
        <w:rPr>
          <w:rFonts w:ascii="Arial" w:cs="Arial" w:eastAsia="Arial" w:hAnsi="Arial"/>
          <w:sz w:val="13"/>
          <w:szCs w:val="13"/>
          <w:color w:val="auto"/>
        </w:rPr>
        <w:t xml:space="preserve"> Provision for Credit Losses” in this Item 2 for a reconciliation of the provisions for credit losses reported in the consolidated statements of income.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reconciliation of the provisions for credit losses reported 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103505</wp:posOffset>
            </wp:positionV>
            <wp:extent cx="41662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6" w:lineRule="exact"/>
        <w:rPr>
          <w:sz w:val="20"/>
          <w:szCs w:val="20"/>
          <w:color w:val="auto"/>
        </w:rPr>
      </w:pPr>
    </w:p>
    <w:p>
      <w:pPr>
        <w:ind w:left="2580"/>
        <w:spacing w:after="0"/>
        <w:rPr>
          <w:sz w:val="20"/>
          <w:szCs w:val="20"/>
          <w:color w:val="auto"/>
        </w:rPr>
      </w:pPr>
      <w:r>
        <w:rPr>
          <w:rFonts w:ascii="Arial" w:cs="Arial" w:eastAsia="Arial" w:hAnsi="Arial"/>
          <w:sz w:val="13"/>
          <w:szCs w:val="13"/>
          <w:b w:val="1"/>
          <w:bCs w:val="1"/>
          <w:color w:val="134F82"/>
        </w:rPr>
        <w:t>Consolidated Statements of Income</w:t>
      </w:r>
    </w:p>
    <w:p>
      <w:pPr>
        <w:ind w:left="2580"/>
        <w:spacing w:after="0"/>
        <w:rPr>
          <w:sz w:val="20"/>
          <w:szCs w:val="20"/>
          <w:color w:val="auto"/>
        </w:rPr>
      </w:pPr>
      <w:r>
        <w:rPr>
          <w:rFonts w:ascii="Arial" w:cs="Arial" w:eastAsia="Arial" w:hAnsi="Arial"/>
          <w:sz w:val="13"/>
          <w:szCs w:val="13"/>
          <w:b w:val="1"/>
          <w:bCs w:val="1"/>
          <w:color w:val="134F82"/>
        </w:rPr>
        <w:t>Provisions for Credit Losses Reconciliation</w:t>
      </w:r>
    </w:p>
    <w:p>
      <w:pPr>
        <w:spacing w:after="0" w:line="4" w:lineRule="exact"/>
        <w:rPr>
          <w:sz w:val="20"/>
          <w:szCs w:val="20"/>
          <w:color w:val="auto"/>
        </w:rPr>
      </w:pPr>
    </w:p>
    <w:tbl>
      <w:tblPr>
        <w:tblLayout w:type="fixed"/>
        <w:tblInd w:w="2580" w:type="dxa"/>
        <w:tblCellMar>
          <w:top w:w="0" w:type="dxa"/>
          <w:left w:w="0" w:type="dxa"/>
          <w:bottom w:w="0" w:type="dxa"/>
          <w:right w:w="0" w:type="dxa"/>
        </w:tblCellMar>
      </w:tblPr>
      <w:tr>
        <w:trPr>
          <w:trHeight w:val="149"/>
        </w:trPr>
        <w:tc>
          <w:tcPr>
            <w:tcW w:w="4120" w:type="dxa"/>
            <w:vAlign w:val="bottom"/>
          </w:tcPr>
          <w:p>
            <w:pPr>
              <w:spacing w:after="0"/>
              <w:rPr>
                <w:sz w:val="20"/>
                <w:szCs w:val="20"/>
                <w:color w:val="auto"/>
              </w:rPr>
            </w:pPr>
            <w:r>
              <w:rPr>
                <w:rFonts w:ascii="Arial" w:cs="Arial" w:eastAsia="Arial" w:hAnsi="Arial"/>
                <w:sz w:val="13"/>
                <w:szCs w:val="13"/>
                <w:b w:val="1"/>
                <w:bCs w:val="1"/>
                <w:color w:val="134F82"/>
              </w:rPr>
              <w:t>Three Months Ended March 31,</w:t>
            </w:r>
          </w:p>
        </w:tc>
        <w:tc>
          <w:tcPr>
            <w:tcW w:w="260" w:type="dxa"/>
            <w:vAlign w:val="bottom"/>
          </w:tcPr>
          <w:p>
            <w:pPr>
              <w:spacing w:after="0"/>
              <w:rPr>
                <w:sz w:val="12"/>
                <w:szCs w:val="12"/>
                <w:color w:val="auto"/>
              </w:rPr>
            </w:pPr>
          </w:p>
        </w:tc>
        <w:tc>
          <w:tcPr>
            <w:tcW w:w="940" w:type="dxa"/>
            <w:vAlign w:val="bottom"/>
            <w:vMerge w:val="restart"/>
          </w:tcPr>
          <w:p>
            <w:pPr>
              <w:jc w:val="right"/>
              <w:ind w:right="417"/>
              <w:spacing w:after="0"/>
              <w:rPr>
                <w:sz w:val="20"/>
                <w:szCs w:val="20"/>
                <w:color w:val="auto"/>
              </w:rPr>
            </w:pPr>
            <w:r>
              <w:rPr>
                <w:rFonts w:ascii="Arial" w:cs="Arial" w:eastAsia="Arial" w:hAnsi="Arial"/>
                <w:sz w:val="13"/>
                <w:szCs w:val="13"/>
                <w:b w:val="1"/>
                <w:bCs w:val="1"/>
                <w:color w:val="134F82"/>
              </w:rPr>
              <w:t>2025</w:t>
            </w:r>
          </w:p>
        </w:tc>
        <w:tc>
          <w:tcPr>
            <w:tcW w:w="340" w:type="dxa"/>
            <w:vAlign w:val="bottom"/>
          </w:tcPr>
          <w:p>
            <w:pPr>
              <w:spacing w:after="0"/>
              <w:rPr>
                <w:sz w:val="12"/>
                <w:szCs w:val="12"/>
                <w:color w:val="auto"/>
              </w:rPr>
            </w:pPr>
          </w:p>
        </w:tc>
        <w:tc>
          <w:tcPr>
            <w:tcW w:w="900" w:type="dxa"/>
            <w:vAlign w:val="bottom"/>
            <w:vMerge w:val="restart"/>
          </w:tcPr>
          <w:p>
            <w:pPr>
              <w:jc w:val="right"/>
              <w:ind w:right="397"/>
              <w:spacing w:after="0"/>
              <w:rPr>
                <w:sz w:val="20"/>
                <w:szCs w:val="20"/>
                <w:color w:val="auto"/>
              </w:rPr>
            </w:pPr>
            <w:r>
              <w:rPr>
                <w:rFonts w:ascii="Arial" w:cs="Arial" w:eastAsia="Arial" w:hAnsi="Arial"/>
                <w:sz w:val="13"/>
                <w:szCs w:val="13"/>
                <w:b w:val="1"/>
                <w:bCs w:val="1"/>
                <w:color w:val="134F82"/>
              </w:rPr>
              <w:t>2024</w:t>
            </w:r>
          </w:p>
        </w:tc>
        <w:tc>
          <w:tcPr>
            <w:tcW w:w="0" w:type="dxa"/>
            <w:vAlign w:val="bottom"/>
          </w:tcPr>
          <w:p>
            <w:pPr>
              <w:spacing w:after="0"/>
              <w:rPr>
                <w:sz w:val="1"/>
                <w:szCs w:val="1"/>
                <w:color w:val="auto"/>
              </w:rPr>
            </w:pPr>
          </w:p>
        </w:tc>
      </w:tr>
      <w:tr>
        <w:trPr>
          <w:trHeight w:val="185"/>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134F82"/>
              </w:rPr>
              <w:t>(dollars in thousands)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120" w:type="dxa"/>
            <w:vAlign w:val="bottom"/>
            <w:shd w:val="clear" w:color="auto" w:fill="EDEDEE"/>
          </w:tcPr>
          <w:p>
            <w:pPr>
              <w:spacing w:after="0"/>
              <w:rPr>
                <w:sz w:val="20"/>
                <w:szCs w:val="20"/>
                <w:color w:val="auto"/>
              </w:rPr>
            </w:pPr>
            <w:r>
              <w:rPr>
                <w:rFonts w:ascii="Arial" w:cs="Arial" w:eastAsia="Arial" w:hAnsi="Arial"/>
                <w:sz w:val="13"/>
                <w:szCs w:val="13"/>
                <w:color w:val="auto"/>
              </w:rPr>
              <w:t>Private Education Loan provisions for credit losses:</w:t>
            </w:r>
          </w:p>
        </w:tc>
        <w:tc>
          <w:tcPr>
            <w:tcW w:w="260" w:type="dxa"/>
            <w:vAlign w:val="bottom"/>
            <w:shd w:val="clear" w:color="auto" w:fill="EDEDEE"/>
          </w:tcPr>
          <w:p>
            <w:pPr>
              <w:spacing w:after="0"/>
              <w:rPr>
                <w:sz w:val="15"/>
                <w:szCs w:val="15"/>
                <w:color w:val="auto"/>
              </w:rPr>
            </w:pPr>
          </w:p>
        </w:tc>
        <w:tc>
          <w:tcPr>
            <w:tcW w:w="940" w:type="dxa"/>
            <w:vAlign w:val="bottom"/>
            <w:shd w:val="clear" w:color="auto" w:fill="EDEDEE"/>
          </w:tcPr>
          <w:p>
            <w:pPr>
              <w:spacing w:after="0"/>
              <w:rPr>
                <w:sz w:val="15"/>
                <w:szCs w:val="15"/>
                <w:color w:val="auto"/>
              </w:rPr>
            </w:pPr>
          </w:p>
        </w:tc>
        <w:tc>
          <w:tcPr>
            <w:tcW w:w="340" w:type="dxa"/>
            <w:vAlign w:val="bottom"/>
            <w:shd w:val="clear" w:color="auto" w:fill="EDEDEE"/>
          </w:tcPr>
          <w:p>
            <w:pPr>
              <w:spacing w:after="0"/>
              <w:rPr>
                <w:sz w:val="15"/>
                <w:szCs w:val="15"/>
                <w:color w:val="auto"/>
              </w:rPr>
            </w:pPr>
          </w:p>
        </w:tc>
        <w:tc>
          <w:tcPr>
            <w:tcW w:w="900" w:type="dxa"/>
            <w:vAlign w:val="bottom"/>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120"/>
              <w:spacing w:after="0"/>
              <w:rPr>
                <w:sz w:val="20"/>
                <w:szCs w:val="20"/>
                <w:color w:val="auto"/>
              </w:rPr>
            </w:pPr>
            <w:r>
              <w:rPr>
                <w:rFonts w:ascii="Arial" w:cs="Arial" w:eastAsia="Arial" w:hAnsi="Arial"/>
                <w:sz w:val="13"/>
                <w:szCs w:val="13"/>
                <w:color w:val="auto"/>
              </w:rPr>
              <w:t>Provisions for loan losses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(21,170)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(38,728)</w:t>
            </w:r>
          </w:p>
        </w:tc>
        <w:tc>
          <w:tcPr>
            <w:tcW w:w="0" w:type="dxa"/>
            <w:vAlign w:val="bottom"/>
          </w:tcPr>
          <w:p>
            <w:pPr>
              <w:spacing w:after="0"/>
              <w:rPr>
                <w:sz w:val="1"/>
                <w:szCs w:val="1"/>
                <w:color w:val="auto"/>
              </w:rPr>
            </w:pPr>
          </w:p>
        </w:tc>
      </w:tr>
      <w:tr>
        <w:trPr>
          <w:trHeight w:val="180"/>
        </w:trPr>
        <w:tc>
          <w:tcPr>
            <w:tcW w:w="4120" w:type="dxa"/>
            <w:vAlign w:val="bottom"/>
            <w:shd w:val="clear" w:color="auto" w:fill="EDEDEE"/>
          </w:tcPr>
          <w:p>
            <w:pPr>
              <w:ind w:left="120"/>
              <w:spacing w:after="0"/>
              <w:rPr>
                <w:sz w:val="20"/>
                <w:szCs w:val="20"/>
                <w:color w:val="auto"/>
              </w:rPr>
            </w:pPr>
            <w:r>
              <w:rPr>
                <w:rFonts w:ascii="Arial" w:cs="Arial" w:eastAsia="Arial" w:hAnsi="Arial"/>
                <w:sz w:val="13"/>
                <w:szCs w:val="13"/>
                <w:color w:val="auto"/>
              </w:rPr>
              <w:t>Provisions for unfunded loan commitments</w:t>
            </w:r>
          </w:p>
        </w:tc>
        <w:tc>
          <w:tcPr>
            <w:tcW w:w="260" w:type="dxa"/>
            <w:vAlign w:val="bottom"/>
            <w:tcBorders>
              <w:bottom w:val="single" w:sz="8" w:color="auto"/>
            </w:tcBorders>
            <w:shd w:val="clear" w:color="auto" w:fill="EDEDEE"/>
          </w:tcPr>
          <w:p>
            <w:pPr>
              <w:spacing w:after="0"/>
              <w:rPr>
                <w:sz w:val="15"/>
                <w:szCs w:val="15"/>
                <w:color w:val="auto"/>
              </w:rPr>
            </w:pPr>
          </w:p>
        </w:tc>
        <w:tc>
          <w:tcPr>
            <w:tcW w:w="94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44,456</w:t>
            </w:r>
          </w:p>
        </w:tc>
        <w:tc>
          <w:tcPr>
            <w:tcW w:w="340" w:type="dxa"/>
            <w:vAlign w:val="bottom"/>
            <w:tcBorders>
              <w:bottom w:val="single" w:sz="8" w:color="auto"/>
            </w:tcBorders>
            <w:shd w:val="clear" w:color="auto" w:fill="EDEDEE"/>
          </w:tcPr>
          <w:p>
            <w:pPr>
              <w:spacing w:after="0"/>
              <w:rPr>
                <w:sz w:val="15"/>
                <w:szCs w:val="15"/>
                <w:color w:val="auto"/>
              </w:rPr>
            </w:pPr>
          </w:p>
        </w:tc>
        <w:tc>
          <w:tcPr>
            <w:tcW w:w="90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50,686</w:t>
            </w:r>
          </w:p>
        </w:tc>
        <w:tc>
          <w:tcPr>
            <w:tcW w:w="0" w:type="dxa"/>
            <w:vAlign w:val="bottom"/>
          </w:tcPr>
          <w:p>
            <w:pPr>
              <w:spacing w:after="0"/>
              <w:rPr>
                <w:sz w:val="1"/>
                <w:szCs w:val="1"/>
                <w:color w:val="auto"/>
              </w:rPr>
            </w:pPr>
          </w:p>
        </w:tc>
      </w:tr>
      <w:tr>
        <w:trPr>
          <w:trHeight w:val="164"/>
        </w:trPr>
        <w:tc>
          <w:tcPr>
            <w:tcW w:w="4120" w:type="dxa"/>
            <w:vAlign w:val="bottom"/>
          </w:tcPr>
          <w:p>
            <w:pPr>
              <w:spacing w:after="0"/>
              <w:rPr>
                <w:sz w:val="20"/>
                <w:szCs w:val="20"/>
                <w:color w:val="auto"/>
              </w:rPr>
            </w:pPr>
            <w:r>
              <w:rPr>
                <w:rFonts w:ascii="Arial" w:cs="Arial" w:eastAsia="Arial" w:hAnsi="Arial"/>
                <w:sz w:val="13"/>
                <w:szCs w:val="13"/>
                <w:color w:val="auto"/>
              </w:rPr>
              <w:t>Total Private Education Loan provisions for credit losses</w:t>
            </w:r>
          </w:p>
        </w:tc>
        <w:tc>
          <w:tcPr>
            <w:tcW w:w="26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23,286</w:t>
            </w:r>
          </w:p>
        </w:tc>
        <w:tc>
          <w:tcPr>
            <w:tcW w:w="34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11,958</w:t>
            </w:r>
          </w:p>
        </w:tc>
        <w:tc>
          <w:tcPr>
            <w:tcW w:w="0" w:type="dxa"/>
            <w:vAlign w:val="bottom"/>
          </w:tcPr>
          <w:p>
            <w:pPr>
              <w:spacing w:after="0"/>
              <w:rPr>
                <w:sz w:val="1"/>
                <w:szCs w:val="1"/>
                <w:color w:val="auto"/>
              </w:rPr>
            </w:pPr>
          </w:p>
        </w:tc>
      </w:tr>
      <w:tr>
        <w:trPr>
          <w:trHeight w:val="180"/>
        </w:trPr>
        <w:tc>
          <w:tcPr>
            <w:tcW w:w="4120" w:type="dxa"/>
            <w:vAlign w:val="bottom"/>
            <w:shd w:val="clear" w:color="auto" w:fill="EDEDEE"/>
          </w:tcPr>
          <w:p>
            <w:pPr>
              <w:spacing w:after="0"/>
              <w:rPr>
                <w:sz w:val="20"/>
                <w:szCs w:val="20"/>
                <w:color w:val="auto"/>
              </w:rPr>
            </w:pPr>
            <w:r>
              <w:rPr>
                <w:rFonts w:ascii="Arial" w:cs="Arial" w:eastAsia="Arial" w:hAnsi="Arial"/>
                <w:sz w:val="13"/>
                <w:szCs w:val="13"/>
                <w:color w:val="auto"/>
              </w:rPr>
              <w:t>Total FFELP Loans provisions for credit losses</w:t>
            </w:r>
          </w:p>
        </w:tc>
        <w:tc>
          <w:tcPr>
            <w:tcW w:w="260" w:type="dxa"/>
            <w:vAlign w:val="bottom"/>
            <w:tcBorders>
              <w:bottom w:val="single" w:sz="8" w:color="auto"/>
            </w:tcBorders>
            <w:shd w:val="clear" w:color="auto" w:fill="EDEDEE"/>
          </w:tcPr>
          <w:p>
            <w:pPr>
              <w:spacing w:after="0"/>
              <w:rPr>
                <w:sz w:val="15"/>
                <w:szCs w:val="15"/>
                <w:color w:val="auto"/>
              </w:rPr>
            </w:pPr>
          </w:p>
        </w:tc>
        <w:tc>
          <w:tcPr>
            <w:tcW w:w="940" w:type="dxa"/>
            <w:vAlign w:val="bottom"/>
            <w:tcBorders>
              <w:bottom w:val="single" w:sz="8" w:color="auto"/>
            </w:tcBorders>
            <w:shd w:val="clear" w:color="auto" w:fill="EDEDEE"/>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EDEDEE"/>
          </w:tcPr>
          <w:p>
            <w:pPr>
              <w:spacing w:after="0"/>
              <w:rPr>
                <w:sz w:val="15"/>
                <w:szCs w:val="15"/>
                <w:color w:val="auto"/>
              </w:rPr>
            </w:pPr>
          </w:p>
        </w:tc>
        <w:tc>
          <w:tcPr>
            <w:tcW w:w="900" w:type="dxa"/>
            <w:vAlign w:val="bottom"/>
            <w:tcBorders>
              <w:bottom w:val="single" w:sz="8" w:color="auto"/>
            </w:tcBorders>
            <w:shd w:val="clear" w:color="auto" w:fill="EDEDEE"/>
          </w:tcPr>
          <w:p>
            <w:pPr>
              <w:jc w:val="right"/>
              <w:ind w:right="17"/>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02"/>
        </w:trPr>
        <w:tc>
          <w:tcPr>
            <w:tcW w:w="4120" w:type="dxa"/>
            <w:vAlign w:val="bottom"/>
          </w:tcPr>
          <w:p>
            <w:pPr>
              <w:spacing w:after="0" w:line="102" w:lineRule="exact"/>
              <w:rPr>
                <w:sz w:val="20"/>
                <w:szCs w:val="20"/>
                <w:color w:val="auto"/>
              </w:rPr>
            </w:pPr>
            <w:r>
              <w:rPr>
                <w:rFonts w:ascii="Arial" w:cs="Arial" w:eastAsia="Arial" w:hAnsi="Arial"/>
                <w:sz w:val="10"/>
                <w:szCs w:val="10"/>
                <w:b w:val="1"/>
                <w:bCs w:val="1"/>
                <w:color w:val="144F82"/>
              </w:rPr>
              <w:t>Provisions for credit losses reported in consolidated statements</w:t>
            </w:r>
          </w:p>
        </w:tc>
        <w:tc>
          <w:tcPr>
            <w:tcW w:w="260" w:type="dxa"/>
            <w:vAlign w:val="bottom"/>
          </w:tcPr>
          <w:p>
            <w:pPr>
              <w:spacing w:after="0"/>
              <w:rPr>
                <w:sz w:val="8"/>
                <w:szCs w:val="8"/>
                <w:color w:val="auto"/>
              </w:rPr>
            </w:pP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color w:val="auto"/>
              </w:rPr>
              <w:t>23,286</w:t>
            </w:r>
          </w:p>
        </w:tc>
        <w:tc>
          <w:tcPr>
            <w:tcW w:w="340" w:type="dxa"/>
            <w:vAlign w:val="bottom"/>
          </w:tcPr>
          <w:p>
            <w:pPr>
              <w:spacing w:after="0"/>
              <w:rPr>
                <w:sz w:val="8"/>
                <w:szCs w:val="8"/>
                <w:color w:val="auto"/>
              </w:rPr>
            </w:pP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12,041</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3"/>
                <w:szCs w:val="13"/>
                <w:b w:val="1"/>
                <w:bCs w:val="1"/>
                <w:color w:val="144F82"/>
              </w:rPr>
              <w:t>of income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144F82"/>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284" w:right="1099" w:bottom="1440" w:gutter="0" w:footer="0" w:header="0"/>
          <w:type w:val="continuous"/>
        </w:sectPr>
      </w:pPr>
    </w:p>
    <w:bookmarkStart w:id="57" w:name="page58"/>
    <w:bookmarkEnd w:id="57"/>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Education Loan Allowance for Credit Losses</w:t>
      </w:r>
    </w:p>
    <w:p>
      <w:pPr>
        <w:spacing w:after="0" w:line="11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In establishing the allowance for Private Education Loan losses as of March 31, 2025, we considered several factors with respect to our Private Education Loan held for investment portfolio, in particular, credit quality and delinquency, forbearance, and charge-off trends.</w:t>
      </w:r>
    </w:p>
    <w:p>
      <w:pPr>
        <w:spacing w:after="0" w:line="45" w:lineRule="exact"/>
        <w:rPr>
          <w:sz w:val="20"/>
          <w:szCs w:val="20"/>
          <w:color w:val="auto"/>
        </w:rPr>
      </w:pPr>
    </w:p>
    <w:p>
      <w:pPr>
        <w:ind w:right="780" w:firstLine="445"/>
        <w:spacing w:after="0" w:line="287" w:lineRule="auto"/>
        <w:rPr>
          <w:sz w:val="20"/>
          <w:szCs w:val="20"/>
          <w:color w:val="auto"/>
        </w:rPr>
      </w:pPr>
      <w:r>
        <w:rPr>
          <w:rFonts w:ascii="Arial" w:cs="Arial" w:eastAsia="Arial" w:hAnsi="Arial"/>
          <w:sz w:val="18"/>
          <w:szCs w:val="18"/>
          <w:color w:val="auto"/>
        </w:rPr>
        <w:t>Private Education Loans held for investment in full principal and interest repayment status were 39 percent of our total Private Education Loans held for investment portfolio at March 31, 2025, compared with 40 percent at March 31, 2024.</w:t>
      </w:r>
    </w:p>
    <w:p>
      <w:pPr>
        <w:spacing w:after="0" w:line="4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For a more detailed discussion of our policy for determining the collectability of Private Education Loans and maintaining our allowance for Private Education Loans, see Part II, Item 7. “Management’s Discussion and Analysis of Financial Condition and Results of Operations — Critical Accounting Policies and Estimates — Allowance for Credit Losses” and Note 5, “Loans Held for Investment — Certain Collection Tools - Private Education Loans” in the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ind w:right="340" w:firstLine="445"/>
        <w:spacing w:after="0" w:line="268" w:lineRule="auto"/>
        <w:rPr>
          <w:sz w:val="20"/>
          <w:szCs w:val="20"/>
          <w:color w:val="auto"/>
        </w:rPr>
      </w:pPr>
      <w:r>
        <w:rPr>
          <w:rFonts w:ascii="Arial" w:cs="Arial" w:eastAsia="Arial" w:hAnsi="Arial"/>
          <w:sz w:val="18"/>
          <w:szCs w:val="18"/>
          <w:color w:val="auto"/>
        </w:rPr>
        <w:t>The table below presents our Private Education Loans held for investment portfolio delinquency trends. Loans in repayment include loans making interest only or fixed payments, as well as loans that have entered full principal and interest repayment status after any applicable grace period (but, for purposes of the following table, do not include loans in the “loans in forbearance” metric).</w:t>
      </w:r>
    </w:p>
    <w:p>
      <w:pPr>
        <w:spacing w:after="0" w:line="331"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5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144F82"/>
              </w:rPr>
              <w:t>Private Education Loans Held for Investment</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144F82"/>
              </w:rPr>
              <w:t>2025</w:t>
            </w:r>
          </w:p>
        </w:tc>
        <w:tc>
          <w:tcPr>
            <w:tcW w:w="9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144F82"/>
              </w:rPr>
              <w:t>2024</w:t>
            </w:r>
          </w:p>
        </w:tc>
        <w:tc>
          <w:tcPr>
            <w:tcW w:w="10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4"/>
                <w:szCs w:val="14"/>
                <w:b w:val="1"/>
                <w:bCs w:val="1"/>
                <w:color w:val="144F82"/>
              </w:rPr>
              <w:t>March 31,</w:t>
            </w:r>
          </w:p>
        </w:tc>
        <w:tc>
          <w:tcPr>
            <w:tcW w:w="260" w:type="dxa"/>
            <w:vAlign w:val="bottom"/>
          </w:tcPr>
          <w:p>
            <w:pPr>
              <w:spacing w:after="0"/>
              <w:rPr>
                <w:sz w:val="11"/>
                <w:szCs w:val="11"/>
                <w:color w:val="auto"/>
              </w:rPr>
            </w:pPr>
          </w:p>
        </w:tc>
        <w:tc>
          <w:tcPr>
            <w:tcW w:w="122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144F82"/>
              </w:rPr>
              <w:t>Balance</w:t>
            </w: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144F82"/>
              </w:rPr>
              <w:t>%</w:t>
            </w:r>
          </w:p>
        </w:tc>
        <w:tc>
          <w:tcPr>
            <w:tcW w:w="420" w:type="dxa"/>
            <w:vAlign w:val="bottom"/>
          </w:tcPr>
          <w:p>
            <w:pPr>
              <w:spacing w:after="0"/>
              <w:rPr>
                <w:sz w:val="11"/>
                <w:szCs w:val="11"/>
                <w:color w:val="auto"/>
              </w:rPr>
            </w:pPr>
          </w:p>
        </w:tc>
        <w:tc>
          <w:tcPr>
            <w:tcW w:w="11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144F82"/>
              </w:rPr>
              <w:t>Balance</w:t>
            </w:r>
          </w:p>
        </w:tc>
        <w:tc>
          <w:tcPr>
            <w:tcW w:w="10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144F82"/>
              </w:rPr>
              <w:t>%</w:t>
            </w:r>
          </w:p>
        </w:tc>
        <w:tc>
          <w:tcPr>
            <w:tcW w:w="0" w:type="dxa"/>
            <w:vAlign w:val="bottom"/>
          </w:tcPr>
          <w:p>
            <w:pPr>
              <w:spacing w:after="0"/>
              <w:rPr>
                <w:sz w:val="1"/>
                <w:szCs w:val="1"/>
                <w:color w:val="auto"/>
              </w:rPr>
            </w:pPr>
          </w:p>
        </w:tc>
      </w:tr>
      <w:tr>
        <w:trPr>
          <w:trHeight w:val="185"/>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44F82"/>
              </w:rPr>
              <w:t>(dollars in thousands)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EDEDEE"/>
          </w:tcPr>
          <w:p>
            <w:pPr>
              <w:spacing w:after="0" w:line="210" w:lineRule="exact"/>
              <w:rPr>
                <w:sz w:val="20"/>
                <w:szCs w:val="20"/>
                <w:color w:val="auto"/>
              </w:rPr>
            </w:pPr>
            <w:r>
              <w:rPr>
                <w:rFonts w:ascii="Arial" w:cs="Arial" w:eastAsia="Arial" w:hAnsi="Arial"/>
                <w:sz w:val="16"/>
                <w:szCs w:val="16"/>
                <w:color w:val="auto"/>
              </w:rPr>
              <w:t>Loans in-school/grace/deferment</w:t>
            </w:r>
            <w:r>
              <w:rPr>
                <w:rFonts w:ascii="Arial" w:cs="Arial" w:eastAsia="Arial" w:hAnsi="Arial"/>
                <w:sz w:val="21"/>
                <w:szCs w:val="21"/>
                <w:color w:val="auto"/>
                <w:vertAlign w:val="superscript"/>
              </w:rPr>
              <w:t>(1)</w:t>
            </w:r>
          </w:p>
        </w:tc>
        <w:tc>
          <w:tcPr>
            <w:tcW w:w="260" w:type="dxa"/>
            <w:vAlign w:val="bottom"/>
            <w:shd w:val="clear" w:color="auto" w:fill="EDEDEE"/>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DEDEE"/>
          </w:tcPr>
          <w:p>
            <w:pPr>
              <w:jc w:val="right"/>
              <w:ind w:right="120"/>
              <w:spacing w:after="0"/>
              <w:rPr>
                <w:sz w:val="20"/>
                <w:szCs w:val="20"/>
                <w:color w:val="auto"/>
              </w:rPr>
            </w:pPr>
            <w:r>
              <w:rPr>
                <w:rFonts w:ascii="Arial" w:cs="Arial" w:eastAsia="Arial" w:hAnsi="Arial"/>
                <w:sz w:val="16"/>
                <w:szCs w:val="16"/>
                <w:color w:val="auto"/>
              </w:rPr>
              <w:t>6,063,727</w:t>
            </w:r>
          </w:p>
        </w:tc>
        <w:tc>
          <w:tcPr>
            <w:tcW w:w="940" w:type="dxa"/>
            <w:vAlign w:val="bottom"/>
            <w:shd w:val="clear" w:color="auto" w:fill="EDEDEE"/>
          </w:tcPr>
          <w:p>
            <w:pPr>
              <w:spacing w:after="0"/>
              <w:rPr>
                <w:sz w:val="18"/>
                <w:szCs w:val="18"/>
                <w:color w:val="auto"/>
              </w:rPr>
            </w:pPr>
          </w:p>
        </w:tc>
        <w:tc>
          <w:tcPr>
            <w:tcW w:w="42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DEE"/>
          </w:tcPr>
          <w:p>
            <w:pPr>
              <w:jc w:val="right"/>
              <w:ind w:right="100"/>
              <w:spacing w:after="0"/>
              <w:rPr>
                <w:sz w:val="20"/>
                <w:szCs w:val="20"/>
                <w:color w:val="auto"/>
              </w:rPr>
            </w:pPr>
            <w:r>
              <w:rPr>
                <w:rFonts w:ascii="Arial" w:cs="Arial" w:eastAsia="Arial" w:hAnsi="Arial"/>
                <w:sz w:val="16"/>
                <w:szCs w:val="16"/>
                <w:color w:val="auto"/>
              </w:rPr>
              <w:t>5,602,697</w:t>
            </w:r>
          </w:p>
        </w:tc>
        <w:tc>
          <w:tcPr>
            <w:tcW w:w="100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line="216" w:lineRule="exact"/>
              <w:rPr>
                <w:sz w:val="20"/>
                <w:szCs w:val="20"/>
                <w:color w:val="auto"/>
              </w:rPr>
            </w:pPr>
            <w:r>
              <w:rPr>
                <w:rFonts w:ascii="Arial" w:cs="Arial" w:eastAsia="Arial" w:hAnsi="Arial"/>
                <w:sz w:val="16"/>
                <w:szCs w:val="16"/>
                <w:color w:val="auto"/>
              </w:rPr>
              <w:t>Loans in forbearance</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464,601</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387,957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DEDEE"/>
          </w:tcPr>
          <w:p>
            <w:pPr>
              <w:spacing w:after="0"/>
              <w:rPr>
                <w:sz w:val="20"/>
                <w:szCs w:val="20"/>
                <w:color w:val="auto"/>
              </w:rPr>
            </w:pPr>
            <w:r>
              <w:rPr>
                <w:rFonts w:ascii="Arial" w:cs="Arial" w:eastAsia="Arial" w:hAnsi="Arial"/>
                <w:sz w:val="16"/>
                <w:szCs w:val="16"/>
                <w:color w:val="auto"/>
              </w:rPr>
              <w:t>Loans in repayment and percentage of each status:</w:t>
            </w:r>
          </w:p>
        </w:tc>
        <w:tc>
          <w:tcPr>
            <w:tcW w:w="260" w:type="dxa"/>
            <w:vAlign w:val="bottom"/>
            <w:shd w:val="clear" w:color="auto" w:fill="EDEDEE"/>
          </w:tcPr>
          <w:p>
            <w:pPr>
              <w:spacing w:after="0"/>
              <w:rPr>
                <w:sz w:val="18"/>
                <w:szCs w:val="18"/>
                <w:color w:val="auto"/>
              </w:rPr>
            </w:pPr>
          </w:p>
        </w:tc>
        <w:tc>
          <w:tcPr>
            <w:tcW w:w="122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420" w:type="dxa"/>
            <w:vAlign w:val="bottom"/>
            <w:shd w:val="clear" w:color="auto" w:fill="EDEDEE"/>
          </w:tcPr>
          <w:p>
            <w:pPr>
              <w:spacing w:after="0"/>
              <w:rPr>
                <w:sz w:val="18"/>
                <w:szCs w:val="18"/>
                <w:color w:val="auto"/>
              </w:rPr>
            </w:pPr>
          </w:p>
        </w:tc>
        <w:tc>
          <w:tcPr>
            <w:tcW w:w="110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Loans current</w:t>
            </w:r>
          </w:p>
        </w:tc>
        <w:tc>
          <w:tcPr>
            <w:tcW w:w="2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15,333,672</w:t>
            </w:r>
          </w:p>
        </w:tc>
        <w:tc>
          <w:tcPr>
            <w:tcW w:w="940" w:type="dxa"/>
            <w:vAlign w:val="bottom"/>
          </w:tcPr>
          <w:p>
            <w:pPr>
              <w:jc w:val="right"/>
              <w:spacing w:after="0"/>
              <w:rPr>
                <w:sz w:val="20"/>
                <w:szCs w:val="20"/>
                <w:color w:val="auto"/>
              </w:rPr>
            </w:pPr>
            <w:r>
              <w:rPr>
                <w:rFonts w:ascii="Arial" w:cs="Arial" w:eastAsia="Arial" w:hAnsi="Arial"/>
                <w:sz w:val="16"/>
                <w:szCs w:val="16"/>
                <w:color w:val="auto"/>
              </w:rPr>
              <w:t>96.4 %</w:t>
            </w:r>
          </w:p>
        </w:tc>
        <w:tc>
          <w:tcPr>
            <w:tcW w:w="4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14,451,606</w:t>
            </w:r>
          </w:p>
        </w:tc>
        <w:tc>
          <w:tcPr>
            <w:tcW w:w="1000" w:type="dxa"/>
            <w:vAlign w:val="bottom"/>
          </w:tcPr>
          <w:p>
            <w:pPr>
              <w:jc w:val="right"/>
              <w:spacing w:after="0"/>
              <w:rPr>
                <w:sz w:val="20"/>
                <w:szCs w:val="20"/>
                <w:color w:val="auto"/>
              </w:rPr>
            </w:pPr>
            <w:r>
              <w:rPr>
                <w:rFonts w:ascii="Arial" w:cs="Arial" w:eastAsia="Arial" w:hAnsi="Arial"/>
                <w:sz w:val="16"/>
                <w:szCs w:val="16"/>
                <w:color w:val="auto"/>
              </w:rPr>
              <w:t>96.6 %</w:t>
            </w:r>
          </w:p>
        </w:tc>
        <w:tc>
          <w:tcPr>
            <w:tcW w:w="0" w:type="dxa"/>
            <w:vAlign w:val="bottom"/>
          </w:tcPr>
          <w:p>
            <w:pPr>
              <w:spacing w:after="0"/>
              <w:rPr>
                <w:sz w:val="1"/>
                <w:szCs w:val="1"/>
                <w:color w:val="auto"/>
              </w:rPr>
            </w:pPr>
          </w:p>
        </w:tc>
      </w:tr>
      <w:tr>
        <w:trPr>
          <w:trHeight w:val="217"/>
        </w:trPr>
        <w:tc>
          <w:tcPr>
            <w:tcW w:w="5820" w:type="dxa"/>
            <w:vAlign w:val="bottom"/>
            <w:shd w:val="clear" w:color="auto" w:fill="EDEDEE"/>
          </w:tcPr>
          <w:p>
            <w:pPr>
              <w:ind w:left="120"/>
              <w:spacing w:after="0" w:line="217" w:lineRule="exact"/>
              <w:rPr>
                <w:sz w:val="20"/>
                <w:szCs w:val="20"/>
                <w:color w:val="auto"/>
              </w:rPr>
            </w:pPr>
            <w:r>
              <w:rPr>
                <w:rFonts w:ascii="Arial" w:cs="Arial" w:eastAsia="Arial" w:hAnsi="Arial"/>
                <w:sz w:val="16"/>
                <w:szCs w:val="16"/>
                <w:color w:val="auto"/>
              </w:rPr>
              <w:t>Loans delinquent 30-59 days</w:t>
            </w:r>
            <w:r>
              <w:rPr>
                <w:rFonts w:ascii="Arial" w:cs="Arial" w:eastAsia="Arial" w:hAnsi="Arial"/>
                <w:sz w:val="21"/>
                <w:szCs w:val="21"/>
                <w:color w:val="auto"/>
                <w:vertAlign w:val="superscript"/>
              </w:rPr>
              <w:t>(3)</w:t>
            </w:r>
          </w:p>
        </w:tc>
        <w:tc>
          <w:tcPr>
            <w:tcW w:w="260" w:type="dxa"/>
            <w:vAlign w:val="bottom"/>
            <w:shd w:val="clear" w:color="auto" w:fill="EDEDEE"/>
          </w:tcPr>
          <w:p>
            <w:pPr>
              <w:spacing w:after="0"/>
              <w:rPr>
                <w:sz w:val="18"/>
                <w:szCs w:val="18"/>
                <w:color w:val="auto"/>
              </w:rPr>
            </w:pPr>
          </w:p>
        </w:tc>
        <w:tc>
          <w:tcPr>
            <w:tcW w:w="1220" w:type="dxa"/>
            <w:vAlign w:val="bottom"/>
            <w:shd w:val="clear" w:color="auto" w:fill="EDEDEE"/>
          </w:tcPr>
          <w:p>
            <w:pPr>
              <w:jc w:val="right"/>
              <w:ind w:right="120"/>
              <w:spacing w:after="0"/>
              <w:rPr>
                <w:sz w:val="20"/>
                <w:szCs w:val="20"/>
                <w:color w:val="auto"/>
              </w:rPr>
            </w:pPr>
            <w:r>
              <w:rPr>
                <w:rFonts w:ascii="Arial" w:cs="Arial" w:eastAsia="Arial" w:hAnsi="Arial"/>
                <w:sz w:val="16"/>
                <w:szCs w:val="16"/>
                <w:color w:val="auto"/>
              </w:rPr>
              <w:t>276,279</w:t>
            </w:r>
          </w:p>
        </w:tc>
        <w:tc>
          <w:tcPr>
            <w:tcW w:w="940" w:type="dxa"/>
            <w:vAlign w:val="bottom"/>
            <w:shd w:val="clear" w:color="auto" w:fill="EDEDEE"/>
          </w:tcPr>
          <w:p>
            <w:pPr>
              <w:jc w:val="right"/>
              <w:ind w:right="140"/>
              <w:spacing w:after="0"/>
              <w:rPr>
                <w:sz w:val="20"/>
                <w:szCs w:val="20"/>
                <w:color w:val="auto"/>
              </w:rPr>
            </w:pPr>
            <w:r>
              <w:rPr>
                <w:rFonts w:ascii="Arial" w:cs="Arial" w:eastAsia="Arial" w:hAnsi="Arial"/>
                <w:sz w:val="16"/>
                <w:szCs w:val="16"/>
                <w:color w:val="auto"/>
              </w:rPr>
              <w:t>1.7</w:t>
            </w:r>
          </w:p>
        </w:tc>
        <w:tc>
          <w:tcPr>
            <w:tcW w:w="420" w:type="dxa"/>
            <w:vAlign w:val="bottom"/>
            <w:shd w:val="clear" w:color="auto" w:fill="EDEDEE"/>
          </w:tcPr>
          <w:p>
            <w:pPr>
              <w:spacing w:after="0"/>
              <w:rPr>
                <w:sz w:val="18"/>
                <w:szCs w:val="18"/>
                <w:color w:val="auto"/>
              </w:rPr>
            </w:pPr>
          </w:p>
        </w:tc>
        <w:tc>
          <w:tcPr>
            <w:tcW w:w="1100" w:type="dxa"/>
            <w:vAlign w:val="bottom"/>
            <w:shd w:val="clear" w:color="auto" w:fill="EDEDEE"/>
          </w:tcPr>
          <w:p>
            <w:pPr>
              <w:jc w:val="right"/>
              <w:ind w:right="100"/>
              <w:spacing w:after="0"/>
              <w:rPr>
                <w:sz w:val="20"/>
                <w:szCs w:val="20"/>
                <w:color w:val="auto"/>
              </w:rPr>
            </w:pPr>
            <w:r>
              <w:rPr>
                <w:rFonts w:ascii="Arial" w:cs="Arial" w:eastAsia="Arial" w:hAnsi="Arial"/>
                <w:sz w:val="16"/>
                <w:szCs w:val="16"/>
                <w:color w:val="auto"/>
              </w:rPr>
              <w:t>240,035</w:t>
            </w:r>
          </w:p>
        </w:tc>
        <w:tc>
          <w:tcPr>
            <w:tcW w:w="1000" w:type="dxa"/>
            <w:vAlign w:val="bottom"/>
            <w:shd w:val="clear" w:color="auto" w:fill="EDEDEE"/>
          </w:tcPr>
          <w:p>
            <w:pPr>
              <w:jc w:val="right"/>
              <w:ind w:right="1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line="216" w:lineRule="exact"/>
              <w:rPr>
                <w:sz w:val="20"/>
                <w:szCs w:val="20"/>
                <w:color w:val="auto"/>
              </w:rPr>
            </w:pPr>
            <w:r>
              <w:rPr>
                <w:rFonts w:ascii="Arial" w:cs="Arial" w:eastAsia="Arial" w:hAnsi="Arial"/>
                <w:sz w:val="16"/>
                <w:szCs w:val="16"/>
                <w:color w:val="auto"/>
              </w:rPr>
              <w:t>Loans delinquent 60-89 days</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152,612</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133,921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6"/>
        </w:trPr>
        <w:tc>
          <w:tcPr>
            <w:tcW w:w="5820" w:type="dxa"/>
            <w:vAlign w:val="bottom"/>
            <w:shd w:val="clear" w:color="auto" w:fill="EDEDEE"/>
          </w:tcPr>
          <w:p>
            <w:pPr>
              <w:ind w:left="120"/>
              <w:spacing w:after="0" w:line="216" w:lineRule="exact"/>
              <w:rPr>
                <w:sz w:val="20"/>
                <w:szCs w:val="20"/>
                <w:color w:val="auto"/>
              </w:rPr>
            </w:pPr>
            <w:r>
              <w:rPr>
                <w:rFonts w:ascii="Arial" w:cs="Arial" w:eastAsia="Arial" w:hAnsi="Arial"/>
                <w:sz w:val="16"/>
                <w:szCs w:val="16"/>
                <w:color w:val="auto"/>
              </w:rPr>
              <w:t>Loans 90 days or greater past due</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EDEDEE"/>
          </w:tcPr>
          <w:p>
            <w:pPr>
              <w:spacing w:after="0"/>
              <w:rPr>
                <w:sz w:val="18"/>
                <w:szCs w:val="18"/>
                <w:color w:val="auto"/>
              </w:rPr>
            </w:pPr>
          </w:p>
        </w:tc>
        <w:tc>
          <w:tcPr>
            <w:tcW w:w="1220" w:type="dxa"/>
            <w:vAlign w:val="bottom"/>
            <w:tcBorders>
              <w:bottom w:val="single" w:sz="8" w:color="auto"/>
            </w:tcBorders>
            <w:shd w:val="clear" w:color="auto" w:fill="EDEDEE"/>
          </w:tcPr>
          <w:p>
            <w:pPr>
              <w:jc w:val="right"/>
              <w:ind w:right="120"/>
              <w:spacing w:after="0"/>
              <w:rPr>
                <w:sz w:val="20"/>
                <w:szCs w:val="20"/>
                <w:color w:val="auto"/>
              </w:rPr>
            </w:pPr>
            <w:r>
              <w:rPr>
                <w:rFonts w:ascii="Arial" w:cs="Arial" w:eastAsia="Arial" w:hAnsi="Arial"/>
                <w:sz w:val="16"/>
                <w:szCs w:val="16"/>
                <w:color w:val="auto"/>
              </w:rPr>
              <w:t>141,234</w:t>
            </w:r>
          </w:p>
        </w:tc>
        <w:tc>
          <w:tcPr>
            <w:tcW w:w="940" w:type="dxa"/>
            <w:vAlign w:val="bottom"/>
            <w:tcBorders>
              <w:bottom w:val="single" w:sz="8" w:color="auto"/>
            </w:tcBorders>
            <w:shd w:val="clear" w:color="auto" w:fill="EDEDEE"/>
          </w:tcPr>
          <w:p>
            <w:pPr>
              <w:jc w:val="right"/>
              <w:ind w:right="140"/>
              <w:spacing w:after="0"/>
              <w:rPr>
                <w:sz w:val="20"/>
                <w:szCs w:val="20"/>
                <w:color w:val="auto"/>
              </w:rPr>
            </w:pPr>
            <w:r>
              <w:rPr>
                <w:rFonts w:ascii="Arial" w:cs="Arial" w:eastAsia="Arial" w:hAnsi="Arial"/>
                <w:sz w:val="16"/>
                <w:szCs w:val="16"/>
                <w:color w:val="auto"/>
              </w:rPr>
              <w:t>0.9</w:t>
            </w:r>
          </w:p>
        </w:tc>
        <w:tc>
          <w:tcPr>
            <w:tcW w:w="420" w:type="dxa"/>
            <w:vAlign w:val="bottom"/>
            <w:tcBorders>
              <w:bottom w:val="single" w:sz="8" w:color="auto"/>
            </w:tcBorders>
            <w:shd w:val="clear" w:color="auto" w:fill="EDEDEE"/>
          </w:tcPr>
          <w:p>
            <w:pPr>
              <w:spacing w:after="0"/>
              <w:rPr>
                <w:sz w:val="18"/>
                <w:szCs w:val="18"/>
                <w:color w:val="auto"/>
              </w:rPr>
            </w:pPr>
          </w:p>
        </w:tc>
        <w:tc>
          <w:tcPr>
            <w:tcW w:w="1100" w:type="dxa"/>
            <w:vAlign w:val="bottom"/>
            <w:tcBorders>
              <w:bottom w:val="single" w:sz="8" w:color="auto"/>
            </w:tcBorders>
            <w:shd w:val="clear" w:color="auto" w:fill="EDEDEE"/>
          </w:tcPr>
          <w:p>
            <w:pPr>
              <w:jc w:val="right"/>
              <w:ind w:right="100"/>
              <w:spacing w:after="0"/>
              <w:rPr>
                <w:sz w:val="20"/>
                <w:szCs w:val="20"/>
                <w:color w:val="auto"/>
              </w:rPr>
            </w:pPr>
            <w:r>
              <w:rPr>
                <w:rFonts w:ascii="Arial" w:cs="Arial" w:eastAsia="Arial" w:hAnsi="Arial"/>
                <w:sz w:val="16"/>
                <w:szCs w:val="16"/>
                <w:color w:val="auto"/>
              </w:rPr>
              <w:t>136,130</w:t>
            </w:r>
          </w:p>
        </w:tc>
        <w:tc>
          <w:tcPr>
            <w:tcW w:w="1000" w:type="dxa"/>
            <w:vAlign w:val="bottom"/>
            <w:tcBorders>
              <w:bottom w:val="single" w:sz="8" w:color="auto"/>
            </w:tcBorders>
            <w:shd w:val="clear" w:color="auto" w:fill="EDEDEE"/>
          </w:tcPr>
          <w:p>
            <w:pPr>
              <w:jc w:val="right"/>
              <w:ind w:right="1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9"/>
        </w:trPr>
        <w:tc>
          <w:tcPr>
            <w:tcW w:w="5820" w:type="dxa"/>
            <w:vAlign w:val="bottom"/>
          </w:tcPr>
          <w:p>
            <w:pPr>
              <w:ind w:left="120"/>
              <w:spacing w:after="0"/>
              <w:rPr>
                <w:sz w:val="20"/>
                <w:szCs w:val="20"/>
                <w:color w:val="auto"/>
              </w:rPr>
            </w:pPr>
            <w:r>
              <w:rPr>
                <w:rFonts w:ascii="Arial" w:cs="Arial" w:eastAsia="Arial" w:hAnsi="Arial"/>
                <w:sz w:val="16"/>
                <w:szCs w:val="16"/>
                <w:color w:val="auto"/>
              </w:rPr>
              <w:t>Total Private Education Loans in repayment</w:t>
            </w:r>
          </w:p>
        </w:tc>
        <w:tc>
          <w:tcPr>
            <w:tcW w:w="2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15,903,797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42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14,961,692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45"/>
        </w:trPr>
        <w:tc>
          <w:tcPr>
            <w:tcW w:w="5820" w:type="dxa"/>
            <w:vAlign w:val="bottom"/>
            <w:tcBorders>
              <w:bottom w:val="single" w:sz="8" w:color="EDEDEE"/>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40" w:type="dxa"/>
            <w:vAlign w:val="bottom"/>
            <w:tcBorders>
              <w:bottom w:val="single" w:sz="8" w:color="EDEDEE"/>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0" w:type="dxa"/>
            <w:vAlign w:val="bottom"/>
            <w:tcBorders>
              <w:bottom w:val="single" w:sz="8" w:color="EDEDEE"/>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820" w:type="dxa"/>
            <w:vAlign w:val="bottom"/>
            <w:tcBorders>
              <w:top w:val="single" w:sz="8" w:color="EDEDEE"/>
            </w:tcBorders>
            <w:shd w:val="clear" w:color="auto" w:fill="EDEDEE"/>
          </w:tcPr>
          <w:p>
            <w:pPr>
              <w:spacing w:after="0"/>
              <w:rPr>
                <w:sz w:val="20"/>
                <w:szCs w:val="20"/>
                <w:color w:val="auto"/>
              </w:rPr>
            </w:pPr>
            <w:r>
              <w:rPr>
                <w:rFonts w:ascii="Arial" w:cs="Arial" w:eastAsia="Arial" w:hAnsi="Arial"/>
                <w:sz w:val="16"/>
                <w:szCs w:val="16"/>
                <w:color w:val="auto"/>
              </w:rPr>
              <w:t>Total Private Education Loans, gross</w:t>
            </w:r>
          </w:p>
        </w:tc>
        <w:tc>
          <w:tcPr>
            <w:tcW w:w="260" w:type="dxa"/>
            <w:vAlign w:val="bottom"/>
            <w:tcBorders>
              <w:top w:val="single" w:sz="8" w:color="EDEDEE"/>
            </w:tcBorders>
            <w:shd w:val="clear" w:color="auto" w:fill="EDEDEE"/>
          </w:tcPr>
          <w:p>
            <w:pPr>
              <w:spacing w:after="0"/>
              <w:rPr>
                <w:sz w:val="16"/>
                <w:szCs w:val="16"/>
                <w:color w:val="auto"/>
              </w:rPr>
            </w:pPr>
          </w:p>
        </w:tc>
        <w:tc>
          <w:tcPr>
            <w:tcW w:w="1220" w:type="dxa"/>
            <w:vAlign w:val="bottom"/>
            <w:tcBorders>
              <w:top w:val="single" w:sz="8" w:color="EDEDEE"/>
            </w:tcBorders>
            <w:shd w:val="clear" w:color="auto" w:fill="EDEDEE"/>
          </w:tcPr>
          <w:p>
            <w:pPr>
              <w:jc w:val="right"/>
              <w:ind w:right="120"/>
              <w:spacing w:after="0"/>
              <w:rPr>
                <w:sz w:val="20"/>
                <w:szCs w:val="20"/>
                <w:color w:val="auto"/>
              </w:rPr>
            </w:pPr>
            <w:r>
              <w:rPr>
                <w:rFonts w:ascii="Arial" w:cs="Arial" w:eastAsia="Arial" w:hAnsi="Arial"/>
                <w:sz w:val="16"/>
                <w:szCs w:val="16"/>
                <w:color w:val="auto"/>
              </w:rPr>
              <w:t>22,432,125</w:t>
            </w:r>
          </w:p>
        </w:tc>
        <w:tc>
          <w:tcPr>
            <w:tcW w:w="940" w:type="dxa"/>
            <w:vAlign w:val="bottom"/>
            <w:tcBorders>
              <w:top w:val="single" w:sz="8" w:color="auto"/>
            </w:tcBorders>
            <w:shd w:val="clear" w:color="auto" w:fill="EDEDEE"/>
          </w:tcPr>
          <w:p>
            <w:pPr>
              <w:spacing w:after="0"/>
              <w:rPr>
                <w:sz w:val="16"/>
                <w:szCs w:val="16"/>
                <w:color w:val="auto"/>
              </w:rPr>
            </w:pPr>
          </w:p>
        </w:tc>
        <w:tc>
          <w:tcPr>
            <w:tcW w:w="420" w:type="dxa"/>
            <w:vAlign w:val="bottom"/>
            <w:tcBorders>
              <w:top w:val="single" w:sz="8" w:color="EDEDEE"/>
            </w:tcBorders>
            <w:shd w:val="clear" w:color="auto" w:fill="EDEDEE"/>
          </w:tcPr>
          <w:p>
            <w:pPr>
              <w:spacing w:after="0"/>
              <w:rPr>
                <w:sz w:val="16"/>
                <w:szCs w:val="16"/>
                <w:color w:val="auto"/>
              </w:rPr>
            </w:pPr>
          </w:p>
        </w:tc>
        <w:tc>
          <w:tcPr>
            <w:tcW w:w="1100" w:type="dxa"/>
            <w:vAlign w:val="bottom"/>
            <w:tcBorders>
              <w:top w:val="single" w:sz="8" w:color="EDEDEE"/>
            </w:tcBorders>
            <w:shd w:val="clear" w:color="auto" w:fill="EDEDEE"/>
          </w:tcPr>
          <w:p>
            <w:pPr>
              <w:jc w:val="right"/>
              <w:ind w:right="100"/>
              <w:spacing w:after="0"/>
              <w:rPr>
                <w:sz w:val="20"/>
                <w:szCs w:val="20"/>
                <w:color w:val="auto"/>
              </w:rPr>
            </w:pPr>
            <w:r>
              <w:rPr>
                <w:rFonts w:ascii="Arial" w:cs="Arial" w:eastAsia="Arial" w:hAnsi="Arial"/>
                <w:sz w:val="16"/>
                <w:szCs w:val="16"/>
                <w:color w:val="auto"/>
              </w:rPr>
              <w:t>20,952,346</w:t>
            </w:r>
          </w:p>
        </w:tc>
        <w:tc>
          <w:tcPr>
            <w:tcW w:w="1000" w:type="dxa"/>
            <w:vAlign w:val="bottom"/>
            <w:tcBorders>
              <w:top w:val="single" w:sz="8" w:color="auto"/>
            </w:tcBorders>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line="162" w:lineRule="exact"/>
              <w:rPr>
                <w:sz w:val="20"/>
                <w:szCs w:val="20"/>
                <w:color w:val="auto"/>
              </w:rPr>
            </w:pPr>
            <w:r>
              <w:rPr>
                <w:rFonts w:ascii="Arial" w:cs="Arial" w:eastAsia="Arial" w:hAnsi="Arial"/>
                <w:sz w:val="16"/>
                <w:szCs w:val="16"/>
                <w:color w:val="auto"/>
              </w:rPr>
              <w:t>Private Education Loans deferred origination costs and unamortized</w:t>
            </w:r>
          </w:p>
        </w:tc>
        <w:tc>
          <w:tcPr>
            <w:tcW w:w="260" w:type="dxa"/>
            <w:vAlign w:val="bottom"/>
          </w:tcPr>
          <w:p>
            <w:pPr>
              <w:spacing w:after="0"/>
              <w:rPr>
                <w:sz w:val="14"/>
                <w:szCs w:val="14"/>
                <w:color w:val="auto"/>
              </w:rPr>
            </w:pPr>
          </w:p>
        </w:tc>
        <w:tc>
          <w:tcPr>
            <w:tcW w:w="1220" w:type="dxa"/>
            <w:vAlign w:val="bottom"/>
            <w:vMerge w:val="restart"/>
          </w:tcPr>
          <w:p>
            <w:pPr>
              <w:jc w:val="right"/>
              <w:ind w:right="120"/>
              <w:spacing w:after="0"/>
              <w:rPr>
                <w:sz w:val="20"/>
                <w:szCs w:val="20"/>
                <w:color w:val="auto"/>
              </w:rPr>
            </w:pPr>
            <w:r>
              <w:rPr>
                <w:rFonts w:ascii="Arial" w:cs="Arial" w:eastAsia="Arial" w:hAnsi="Arial"/>
                <w:sz w:val="16"/>
                <w:szCs w:val="16"/>
                <w:color w:val="auto"/>
              </w:rPr>
              <w:t>102,794</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vMerge w:val="restart"/>
          </w:tcPr>
          <w:p>
            <w:pPr>
              <w:jc w:val="right"/>
              <w:ind w:right="100"/>
              <w:spacing w:after="0"/>
              <w:rPr>
                <w:sz w:val="20"/>
                <w:szCs w:val="20"/>
                <w:color w:val="auto"/>
              </w:rPr>
            </w:pPr>
            <w:r>
              <w:rPr>
                <w:rFonts w:ascii="Arial" w:cs="Arial" w:eastAsia="Arial" w:hAnsi="Arial"/>
                <w:sz w:val="16"/>
                <w:szCs w:val="16"/>
                <w:color w:val="auto"/>
              </w:rPr>
              <w:t>80,868</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820" w:type="dxa"/>
            <w:vAlign w:val="bottom"/>
            <w:tcBorders>
              <w:bottom w:val="single" w:sz="8" w:color="EDEDEE"/>
            </w:tcBorders>
          </w:tcPr>
          <w:p>
            <w:pPr>
              <w:spacing w:after="0"/>
              <w:rPr>
                <w:sz w:val="20"/>
                <w:szCs w:val="20"/>
                <w:color w:val="auto"/>
              </w:rPr>
            </w:pPr>
            <w:r>
              <w:rPr>
                <w:rFonts w:ascii="Arial" w:cs="Arial" w:eastAsia="Arial" w:hAnsi="Arial"/>
                <w:sz w:val="16"/>
                <w:szCs w:val="16"/>
                <w:color w:val="auto"/>
              </w:rPr>
              <w:t>premium/(discount)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EDEDEE"/>
          </w:tcPr>
          <w:p>
            <w:pPr>
              <w:spacing w:after="0"/>
              <w:rPr>
                <w:sz w:val="20"/>
                <w:szCs w:val="20"/>
                <w:color w:val="auto"/>
              </w:rPr>
            </w:pPr>
            <w:r>
              <w:rPr>
                <w:rFonts w:ascii="Arial" w:cs="Arial" w:eastAsia="Arial" w:hAnsi="Arial"/>
                <w:sz w:val="16"/>
                <w:szCs w:val="16"/>
                <w:color w:val="auto"/>
              </w:rPr>
              <w:t>Total Private Education Loans</w:t>
            </w:r>
          </w:p>
        </w:tc>
        <w:tc>
          <w:tcPr>
            <w:tcW w:w="260" w:type="dxa"/>
            <w:vAlign w:val="bottom"/>
            <w:shd w:val="clear" w:color="auto" w:fill="EDEDEE"/>
          </w:tcPr>
          <w:p>
            <w:pPr>
              <w:spacing w:after="0"/>
              <w:rPr>
                <w:sz w:val="18"/>
                <w:szCs w:val="18"/>
                <w:color w:val="auto"/>
              </w:rPr>
            </w:pPr>
          </w:p>
        </w:tc>
        <w:tc>
          <w:tcPr>
            <w:tcW w:w="1220" w:type="dxa"/>
            <w:vAlign w:val="bottom"/>
            <w:shd w:val="clear" w:color="auto" w:fill="EDEDEE"/>
          </w:tcPr>
          <w:p>
            <w:pPr>
              <w:jc w:val="right"/>
              <w:ind w:right="120"/>
              <w:spacing w:after="0"/>
              <w:rPr>
                <w:sz w:val="20"/>
                <w:szCs w:val="20"/>
                <w:color w:val="auto"/>
              </w:rPr>
            </w:pPr>
            <w:r>
              <w:rPr>
                <w:rFonts w:ascii="Arial" w:cs="Arial" w:eastAsia="Arial" w:hAnsi="Arial"/>
                <w:sz w:val="16"/>
                <w:szCs w:val="16"/>
                <w:color w:val="auto"/>
              </w:rPr>
              <w:t>22,534,919</w:t>
            </w:r>
          </w:p>
        </w:tc>
        <w:tc>
          <w:tcPr>
            <w:tcW w:w="940" w:type="dxa"/>
            <w:vAlign w:val="bottom"/>
            <w:shd w:val="clear" w:color="auto" w:fill="EDEDEE"/>
          </w:tcPr>
          <w:p>
            <w:pPr>
              <w:spacing w:after="0"/>
              <w:rPr>
                <w:sz w:val="18"/>
                <w:szCs w:val="18"/>
                <w:color w:val="auto"/>
              </w:rPr>
            </w:pPr>
          </w:p>
        </w:tc>
        <w:tc>
          <w:tcPr>
            <w:tcW w:w="420" w:type="dxa"/>
            <w:vAlign w:val="bottom"/>
            <w:shd w:val="clear" w:color="auto" w:fill="EDEDEE"/>
          </w:tcPr>
          <w:p>
            <w:pPr>
              <w:spacing w:after="0"/>
              <w:rPr>
                <w:sz w:val="18"/>
                <w:szCs w:val="18"/>
                <w:color w:val="auto"/>
              </w:rPr>
            </w:pPr>
          </w:p>
        </w:tc>
        <w:tc>
          <w:tcPr>
            <w:tcW w:w="1100" w:type="dxa"/>
            <w:vAlign w:val="bottom"/>
            <w:shd w:val="clear" w:color="auto" w:fill="EDEDEE"/>
          </w:tcPr>
          <w:p>
            <w:pPr>
              <w:jc w:val="right"/>
              <w:ind w:right="100"/>
              <w:spacing w:after="0"/>
              <w:rPr>
                <w:sz w:val="20"/>
                <w:szCs w:val="20"/>
                <w:color w:val="auto"/>
              </w:rPr>
            </w:pPr>
            <w:r>
              <w:rPr>
                <w:rFonts w:ascii="Arial" w:cs="Arial" w:eastAsia="Arial" w:hAnsi="Arial"/>
                <w:sz w:val="16"/>
                <w:szCs w:val="16"/>
                <w:color w:val="auto"/>
              </w:rPr>
              <w:t>21,033,214</w:t>
            </w:r>
          </w:p>
        </w:tc>
        <w:tc>
          <w:tcPr>
            <w:tcW w:w="100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Borders>
              <w:bottom w:val="single" w:sz="8" w:color="EDEDEE"/>
            </w:tcBorders>
          </w:tcPr>
          <w:p>
            <w:pPr>
              <w:spacing w:after="0"/>
              <w:rPr>
                <w:sz w:val="20"/>
                <w:szCs w:val="20"/>
                <w:color w:val="auto"/>
              </w:rPr>
            </w:pPr>
            <w:r>
              <w:rPr>
                <w:rFonts w:ascii="Arial" w:cs="Arial" w:eastAsia="Arial" w:hAnsi="Arial"/>
                <w:sz w:val="16"/>
                <w:szCs w:val="16"/>
                <w:color w:val="auto"/>
              </w:rPr>
              <w:t>Private Education Loans allowance for losses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(1,443,715)</w:t>
            </w: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(1,345,431)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color w:val="auto"/>
              </w:rPr>
              <w:t>Private Education Loans, net</w:t>
            </w:r>
          </w:p>
        </w:tc>
        <w:tc>
          <w:tcPr>
            <w:tcW w:w="260" w:type="dxa"/>
            <w:vAlign w:val="bottom"/>
            <w:tcBorders>
              <w:bottom w:val="single" w:sz="8" w:color="auto"/>
            </w:tcBorders>
            <w:shd w:val="clear" w:color="auto" w:fill="EDEDEE"/>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EDEDEE"/>
          </w:tcPr>
          <w:p>
            <w:pPr>
              <w:jc w:val="right"/>
              <w:ind w:right="120"/>
              <w:spacing w:after="0"/>
              <w:rPr>
                <w:sz w:val="20"/>
                <w:szCs w:val="20"/>
                <w:color w:val="auto"/>
              </w:rPr>
            </w:pPr>
            <w:r>
              <w:rPr>
                <w:rFonts w:ascii="Arial" w:cs="Arial" w:eastAsia="Arial" w:hAnsi="Arial"/>
                <w:sz w:val="16"/>
                <w:szCs w:val="16"/>
                <w:color w:val="auto"/>
              </w:rPr>
              <w:t>21,091,204</w:t>
            </w:r>
          </w:p>
        </w:tc>
        <w:tc>
          <w:tcPr>
            <w:tcW w:w="940" w:type="dxa"/>
            <w:vAlign w:val="bottom"/>
            <w:tcBorders>
              <w:bottom w:val="single" w:sz="8" w:color="auto"/>
            </w:tcBorders>
            <w:shd w:val="clear" w:color="auto" w:fill="EDEDEE"/>
          </w:tcPr>
          <w:p>
            <w:pPr>
              <w:spacing w:after="0"/>
              <w:rPr>
                <w:sz w:val="20"/>
                <w:szCs w:val="20"/>
                <w:color w:val="auto"/>
              </w:rPr>
            </w:pPr>
          </w:p>
        </w:tc>
        <w:tc>
          <w:tcPr>
            <w:tcW w:w="42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DEDEE"/>
          </w:tcPr>
          <w:p>
            <w:pPr>
              <w:jc w:val="right"/>
              <w:ind w:right="100"/>
              <w:spacing w:after="0"/>
              <w:rPr>
                <w:sz w:val="20"/>
                <w:szCs w:val="20"/>
                <w:color w:val="auto"/>
              </w:rPr>
            </w:pPr>
            <w:r>
              <w:rPr>
                <w:rFonts w:ascii="Arial" w:cs="Arial" w:eastAsia="Arial" w:hAnsi="Arial"/>
                <w:sz w:val="16"/>
                <w:szCs w:val="16"/>
                <w:color w:val="auto"/>
              </w:rPr>
              <w:t>19,687,783</w:t>
            </w:r>
          </w:p>
        </w:tc>
        <w:tc>
          <w:tcPr>
            <w:tcW w:w="1000" w:type="dxa"/>
            <w:vAlign w:val="bottom"/>
            <w:tcBorders>
              <w:bottom w:val="single" w:sz="8" w:color="auto"/>
            </w:tcBorders>
            <w:shd w:val="clear" w:color="auto" w:fill="EDED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EDEDEE"/>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22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420" w:type="dxa"/>
            <w:vAlign w:val="bottom"/>
            <w:tcBorders>
              <w:top w:val="single" w:sz="8" w:color="EDEDEE"/>
              <w:bottom w:val="single" w:sz="8" w:color="auto"/>
            </w:tcBorders>
          </w:tcPr>
          <w:p>
            <w:pPr>
              <w:spacing w:after="0" w:line="20" w:lineRule="exact"/>
              <w:rPr>
                <w:sz w:val="1"/>
                <w:szCs w:val="1"/>
                <w:color w:val="auto"/>
              </w:rPr>
            </w:pPr>
          </w:p>
        </w:tc>
        <w:tc>
          <w:tcPr>
            <w:tcW w:w="110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20" w:type="dxa"/>
            <w:vAlign w:val="bottom"/>
          </w:tcPr>
          <w:p>
            <w:pPr>
              <w:spacing w:after="0"/>
              <w:rPr>
                <w:sz w:val="20"/>
                <w:szCs w:val="20"/>
                <w:color w:val="auto"/>
              </w:rPr>
            </w:pPr>
            <w:r>
              <w:rPr>
                <w:rFonts w:ascii="Arial" w:cs="Arial" w:eastAsia="Arial" w:hAnsi="Arial"/>
                <w:sz w:val="16"/>
                <w:szCs w:val="16"/>
                <w:color w:val="auto"/>
              </w:rPr>
              <w:t>Percentage of loans in repayment</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70.9 %</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71.4 %</w:t>
            </w:r>
          </w:p>
        </w:tc>
        <w:tc>
          <w:tcPr>
            <w:tcW w:w="0" w:type="dxa"/>
            <w:vAlign w:val="bottom"/>
          </w:tcPr>
          <w:p>
            <w:pPr>
              <w:spacing w:after="0"/>
              <w:rPr>
                <w:sz w:val="1"/>
                <w:szCs w:val="1"/>
                <w:color w:val="auto"/>
              </w:rPr>
            </w:pPr>
          </w:p>
        </w:tc>
      </w:tr>
      <w:tr>
        <w:trPr>
          <w:trHeight w:val="20"/>
        </w:trPr>
        <w:tc>
          <w:tcPr>
            <w:tcW w:w="5820" w:type="dxa"/>
            <w:vAlign w:val="bottom"/>
            <w:tcBorders>
              <w:bottom w:val="single" w:sz="8" w:color="EDEDEE"/>
            </w:tcBorders>
          </w:tcPr>
          <w:p>
            <w:pPr>
              <w:spacing w:after="0" w:line="20" w:lineRule="exact"/>
              <w:rPr>
                <w:sz w:val="1"/>
                <w:szCs w:val="1"/>
                <w:color w:val="auto"/>
              </w:rPr>
            </w:pPr>
          </w:p>
        </w:tc>
        <w:tc>
          <w:tcPr>
            <w:tcW w:w="260" w:type="dxa"/>
            <w:vAlign w:val="bottom"/>
            <w:tcBorders>
              <w:bottom w:val="single" w:sz="8" w:color="EDEDEE"/>
            </w:tcBorders>
          </w:tcPr>
          <w:p>
            <w:pPr>
              <w:spacing w:after="0" w:line="20" w:lineRule="exact"/>
              <w:rPr>
                <w:sz w:val="1"/>
                <w:szCs w:val="1"/>
                <w:color w:val="auto"/>
              </w:rPr>
            </w:pPr>
          </w:p>
        </w:tc>
        <w:tc>
          <w:tcPr>
            <w:tcW w:w="1220" w:type="dxa"/>
            <w:vAlign w:val="bottom"/>
            <w:tcBorders>
              <w:bottom w:val="single" w:sz="8" w:color="EDEDEE"/>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EDEDEE"/>
            </w:tcBorders>
          </w:tcPr>
          <w:p>
            <w:pPr>
              <w:spacing w:after="0" w:line="20" w:lineRule="exact"/>
              <w:rPr>
                <w:sz w:val="1"/>
                <w:szCs w:val="1"/>
                <w:color w:val="auto"/>
              </w:rPr>
            </w:pPr>
          </w:p>
        </w:tc>
        <w:tc>
          <w:tcPr>
            <w:tcW w:w="1100" w:type="dxa"/>
            <w:vAlign w:val="bottom"/>
            <w:tcBorders>
              <w:bottom w:val="single" w:sz="8" w:color="EDEDEE"/>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color w:val="auto"/>
              </w:rPr>
              <w:t>Delinquencies as a percentage of loans in repayment</w:t>
            </w:r>
          </w:p>
        </w:tc>
        <w:tc>
          <w:tcPr>
            <w:tcW w:w="260" w:type="dxa"/>
            <w:vAlign w:val="bottom"/>
            <w:tcBorders>
              <w:bottom w:val="single" w:sz="8" w:color="EDEDEE"/>
            </w:tcBorders>
            <w:shd w:val="clear" w:color="auto" w:fill="EDEDEE"/>
          </w:tcPr>
          <w:p>
            <w:pPr>
              <w:spacing w:after="0"/>
              <w:rPr>
                <w:sz w:val="17"/>
                <w:szCs w:val="17"/>
                <w:color w:val="auto"/>
              </w:rPr>
            </w:pPr>
          </w:p>
        </w:tc>
        <w:tc>
          <w:tcPr>
            <w:tcW w:w="1220" w:type="dxa"/>
            <w:vAlign w:val="bottom"/>
            <w:tcBorders>
              <w:bottom w:val="single" w:sz="8" w:color="EDEDEE"/>
            </w:tcBorders>
            <w:shd w:val="clear" w:color="auto" w:fill="EDEDEE"/>
          </w:tcPr>
          <w:p>
            <w:pPr>
              <w:spacing w:after="0"/>
              <w:rPr>
                <w:sz w:val="17"/>
                <w:szCs w:val="17"/>
                <w:color w:val="auto"/>
              </w:rPr>
            </w:pPr>
          </w:p>
        </w:tc>
        <w:tc>
          <w:tcPr>
            <w:tcW w:w="9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3.6 %</w:t>
            </w:r>
          </w:p>
        </w:tc>
        <w:tc>
          <w:tcPr>
            <w:tcW w:w="420" w:type="dxa"/>
            <w:vAlign w:val="bottom"/>
            <w:tcBorders>
              <w:bottom w:val="single" w:sz="8" w:color="EDEDEE"/>
            </w:tcBorders>
            <w:shd w:val="clear" w:color="auto" w:fill="EDEDEE"/>
          </w:tcPr>
          <w:p>
            <w:pPr>
              <w:spacing w:after="0"/>
              <w:rPr>
                <w:sz w:val="17"/>
                <w:szCs w:val="17"/>
                <w:color w:val="auto"/>
              </w:rPr>
            </w:pPr>
          </w:p>
        </w:tc>
        <w:tc>
          <w:tcPr>
            <w:tcW w:w="1100" w:type="dxa"/>
            <w:vAlign w:val="bottom"/>
            <w:tcBorders>
              <w:bottom w:val="single" w:sz="8" w:color="EDEDEE"/>
            </w:tcBorders>
            <w:shd w:val="clear" w:color="auto" w:fill="EDEDEE"/>
          </w:tcPr>
          <w:p>
            <w:pPr>
              <w:spacing w:after="0"/>
              <w:rPr>
                <w:sz w:val="17"/>
                <w:szCs w:val="17"/>
                <w:color w:val="auto"/>
              </w:rPr>
            </w:pP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0"/>
        </w:trPr>
        <w:tc>
          <w:tcPr>
            <w:tcW w:w="5820" w:type="dxa"/>
            <w:vAlign w:val="bottom"/>
            <w:tcBorders>
              <w:top w:val="single" w:sz="8" w:color="EDEDEE"/>
              <w:bottom w:val="single" w:sz="8" w:color="EDEDEE"/>
            </w:tcBorders>
            <w:vMerge w:val="restart"/>
          </w:tcPr>
          <w:p>
            <w:pPr>
              <w:spacing w:after="0"/>
              <w:rPr>
                <w:sz w:val="20"/>
                <w:szCs w:val="20"/>
                <w:color w:val="auto"/>
              </w:rPr>
            </w:pPr>
            <w:r>
              <w:rPr>
                <w:rFonts w:ascii="Arial" w:cs="Arial" w:eastAsia="Arial" w:hAnsi="Arial"/>
                <w:sz w:val="16"/>
                <w:szCs w:val="16"/>
                <w:color w:val="auto"/>
              </w:rPr>
              <w:t>Percentage of loans in forbearance:</w:t>
            </w:r>
          </w:p>
        </w:tc>
        <w:tc>
          <w:tcPr>
            <w:tcW w:w="260" w:type="dxa"/>
            <w:vAlign w:val="bottom"/>
            <w:tcBorders>
              <w:top w:val="single" w:sz="8" w:color="EDEDEE"/>
            </w:tcBorders>
          </w:tcPr>
          <w:p>
            <w:pPr>
              <w:spacing w:after="0" w:line="20" w:lineRule="exact"/>
              <w:rPr>
                <w:sz w:val="1"/>
                <w:szCs w:val="1"/>
                <w:color w:val="auto"/>
              </w:rPr>
            </w:pPr>
          </w:p>
        </w:tc>
        <w:tc>
          <w:tcPr>
            <w:tcW w:w="1220" w:type="dxa"/>
            <w:vAlign w:val="bottom"/>
            <w:tcBorders>
              <w:top w:val="single" w:sz="8" w:color="EDEDEE"/>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420" w:type="dxa"/>
            <w:vAlign w:val="bottom"/>
            <w:tcBorders>
              <w:top w:val="single" w:sz="8" w:color="EDEDEE"/>
            </w:tcBorders>
          </w:tcPr>
          <w:p>
            <w:pPr>
              <w:spacing w:after="0" w:line="20" w:lineRule="exact"/>
              <w:rPr>
                <w:sz w:val="1"/>
                <w:szCs w:val="1"/>
                <w:color w:val="auto"/>
              </w:rPr>
            </w:pPr>
          </w:p>
        </w:tc>
        <w:tc>
          <w:tcPr>
            <w:tcW w:w="1100" w:type="dxa"/>
            <w:vAlign w:val="bottom"/>
            <w:tcBorders>
              <w:top w:val="single" w:sz="8" w:color="EDEDEE"/>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20" w:type="dxa"/>
            <w:vAlign w:val="bottom"/>
            <w:tcBorders>
              <w:bottom w:val="single" w:sz="8" w:color="EDEDEE"/>
            </w:tcBorders>
            <w:shd w:val="clear" w:color="auto" w:fill="EDEDEE"/>
          </w:tcPr>
          <w:p>
            <w:pPr>
              <w:ind w:left="120"/>
              <w:spacing w:after="0" w:line="217" w:lineRule="exact"/>
              <w:rPr>
                <w:sz w:val="20"/>
                <w:szCs w:val="20"/>
                <w:color w:val="auto"/>
              </w:rPr>
            </w:pPr>
            <w:r>
              <w:rPr>
                <w:rFonts w:ascii="Arial" w:cs="Arial" w:eastAsia="Arial" w:hAnsi="Arial"/>
                <w:sz w:val="16"/>
                <w:szCs w:val="16"/>
                <w:color w:val="auto"/>
              </w:rPr>
              <w:t>Percentage of loans in an extended grace period</w:t>
            </w:r>
            <w:r>
              <w:rPr>
                <w:rFonts w:ascii="Arial" w:cs="Arial" w:eastAsia="Arial" w:hAnsi="Arial"/>
                <w:sz w:val="21"/>
                <w:szCs w:val="21"/>
                <w:color w:val="auto"/>
                <w:vertAlign w:val="superscript"/>
              </w:rPr>
              <w:t>(4)</w:t>
            </w:r>
          </w:p>
        </w:tc>
        <w:tc>
          <w:tcPr>
            <w:tcW w:w="260" w:type="dxa"/>
            <w:vAlign w:val="bottom"/>
            <w:tcBorders>
              <w:bottom w:val="single" w:sz="8" w:color="EDEDEE"/>
            </w:tcBorders>
            <w:shd w:val="clear" w:color="auto" w:fill="EDEDEE"/>
          </w:tcPr>
          <w:p>
            <w:pPr>
              <w:spacing w:after="0"/>
              <w:rPr>
                <w:sz w:val="20"/>
                <w:szCs w:val="20"/>
                <w:color w:val="auto"/>
              </w:rPr>
            </w:pPr>
          </w:p>
        </w:tc>
        <w:tc>
          <w:tcPr>
            <w:tcW w:w="1220" w:type="dxa"/>
            <w:vAlign w:val="bottom"/>
            <w:tcBorders>
              <w:bottom w:val="single" w:sz="8" w:color="EDEDEE"/>
            </w:tcBorders>
            <w:shd w:val="clear" w:color="auto" w:fill="EDEDEE"/>
          </w:tcPr>
          <w:p>
            <w:pPr>
              <w:spacing w:after="0"/>
              <w:rPr>
                <w:sz w:val="20"/>
                <w:szCs w:val="20"/>
                <w:color w:val="auto"/>
              </w:rPr>
            </w:pPr>
          </w:p>
        </w:tc>
        <w:tc>
          <w:tcPr>
            <w:tcW w:w="9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1.9 %</w:t>
            </w:r>
          </w:p>
        </w:tc>
        <w:tc>
          <w:tcPr>
            <w:tcW w:w="420" w:type="dxa"/>
            <w:vAlign w:val="bottom"/>
            <w:tcBorders>
              <w:bottom w:val="single" w:sz="8" w:color="EDEDEE"/>
            </w:tcBorders>
            <w:shd w:val="clear" w:color="auto" w:fill="EDEDEE"/>
          </w:tcPr>
          <w:p>
            <w:pPr>
              <w:spacing w:after="0"/>
              <w:rPr>
                <w:sz w:val="20"/>
                <w:szCs w:val="20"/>
                <w:color w:val="auto"/>
              </w:rPr>
            </w:pPr>
          </w:p>
        </w:tc>
        <w:tc>
          <w:tcPr>
            <w:tcW w:w="1100" w:type="dxa"/>
            <w:vAlign w:val="bottom"/>
            <w:tcBorders>
              <w:bottom w:val="single" w:sz="8" w:color="EDEDEE"/>
            </w:tcBorders>
            <w:shd w:val="clear" w:color="auto" w:fill="EDEDEE"/>
          </w:tcPr>
          <w:p>
            <w:pPr>
              <w:spacing w:after="0"/>
              <w:rPr>
                <w:sz w:val="20"/>
                <w:szCs w:val="20"/>
                <w:color w:val="auto"/>
              </w:rPr>
            </w:pPr>
          </w:p>
        </w:tc>
        <w:tc>
          <w:tcPr>
            <w:tcW w:w="10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5820" w:type="dxa"/>
            <w:vAlign w:val="bottom"/>
            <w:tcBorders>
              <w:top w:val="single" w:sz="8" w:color="EDEDEE"/>
            </w:tcBorders>
          </w:tcPr>
          <w:p>
            <w:pPr>
              <w:spacing w:after="0" w:line="20" w:lineRule="exact"/>
              <w:rPr>
                <w:sz w:val="1"/>
                <w:szCs w:val="1"/>
                <w:color w:val="auto"/>
              </w:rPr>
            </w:pPr>
          </w:p>
        </w:tc>
        <w:tc>
          <w:tcPr>
            <w:tcW w:w="260" w:type="dxa"/>
            <w:vAlign w:val="bottom"/>
            <w:tcBorders>
              <w:top w:val="single" w:sz="8" w:color="EDEDEE"/>
            </w:tcBorders>
          </w:tcPr>
          <w:p>
            <w:pPr>
              <w:spacing w:after="0" w:line="20" w:lineRule="exact"/>
              <w:rPr>
                <w:sz w:val="1"/>
                <w:szCs w:val="1"/>
                <w:color w:val="auto"/>
              </w:rPr>
            </w:pPr>
          </w:p>
        </w:tc>
        <w:tc>
          <w:tcPr>
            <w:tcW w:w="1220" w:type="dxa"/>
            <w:vAlign w:val="bottom"/>
            <w:tcBorders>
              <w:top w:val="single" w:sz="8" w:color="EDEDEE"/>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420" w:type="dxa"/>
            <w:vAlign w:val="bottom"/>
            <w:tcBorders>
              <w:top w:val="single" w:sz="8" w:color="EDEDEE"/>
            </w:tcBorders>
          </w:tcPr>
          <w:p>
            <w:pPr>
              <w:spacing w:after="0" w:line="20" w:lineRule="exact"/>
              <w:rPr>
                <w:sz w:val="1"/>
                <w:szCs w:val="1"/>
                <w:color w:val="auto"/>
              </w:rPr>
            </w:pPr>
          </w:p>
        </w:tc>
        <w:tc>
          <w:tcPr>
            <w:tcW w:w="1100" w:type="dxa"/>
            <w:vAlign w:val="bottom"/>
            <w:tcBorders>
              <w:top w:val="single" w:sz="8" w:color="EDEDEE"/>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20" w:type="dxa"/>
            <w:vAlign w:val="bottom"/>
          </w:tcPr>
          <w:p>
            <w:pPr>
              <w:ind w:left="120"/>
              <w:spacing w:after="0" w:line="190" w:lineRule="exact"/>
              <w:rPr>
                <w:sz w:val="20"/>
                <w:szCs w:val="20"/>
                <w:color w:val="auto"/>
              </w:rPr>
            </w:pPr>
            <w:r>
              <w:rPr>
                <w:rFonts w:ascii="Arial" w:cs="Arial" w:eastAsia="Arial" w:hAnsi="Arial"/>
                <w:sz w:val="16"/>
                <w:szCs w:val="16"/>
                <w:color w:val="auto"/>
              </w:rPr>
              <w:t>Percentage of loans in hardship and other forbearances</w:t>
            </w:r>
            <w:r>
              <w:rPr>
                <w:rFonts w:ascii="Arial" w:cs="Arial" w:eastAsia="Arial" w:hAnsi="Arial"/>
                <w:sz w:val="21"/>
                <w:szCs w:val="21"/>
                <w:color w:val="auto"/>
                <w:vertAlign w:val="superscript"/>
              </w:rPr>
              <w:t>(5)</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660" w:right="700" w:hanging="166"/>
        <w:spacing w:after="0" w:line="226" w:lineRule="auto"/>
        <w:tabs>
          <w:tab w:leader="none" w:pos="652" w:val="left"/>
        </w:tabs>
        <w:numPr>
          <w:ilvl w:val="0"/>
          <w:numId w:val="62"/>
        </w:numPr>
        <w:rPr>
          <w:rFonts w:ascii="Arial" w:cs="Arial" w:eastAsia="Arial" w:hAnsi="Arial"/>
          <w:sz w:val="16"/>
          <w:szCs w:val="16"/>
          <w:color w:val="auto"/>
          <w:vertAlign w:val="superscript"/>
        </w:rPr>
      </w:pPr>
      <w:r>
        <w:rPr>
          <w:rFonts w:ascii="Arial" w:cs="Arial" w:eastAsia="Arial" w:hAnsi="Arial"/>
          <w:sz w:val="13"/>
          <w:szCs w:val="13"/>
          <w:color w:val="auto"/>
        </w:rPr>
        <w:t>Deferment includes customers who have returned to school or are engaged in other permitted educational activities and are not yet required to make payments on the loans (e.g., residency periods for medical students or a grace period for bar exam preparation).</w:t>
      </w:r>
    </w:p>
    <w:p>
      <w:pPr>
        <w:spacing w:after="0" w:line="144" w:lineRule="exact"/>
        <w:rPr>
          <w:rFonts w:ascii="Arial" w:cs="Arial" w:eastAsia="Arial" w:hAnsi="Arial"/>
          <w:sz w:val="16"/>
          <w:szCs w:val="16"/>
          <w:color w:val="auto"/>
          <w:vertAlign w:val="superscript"/>
        </w:rPr>
      </w:pPr>
    </w:p>
    <w:p>
      <w:pPr>
        <w:ind w:left="660" w:right="540" w:hanging="166"/>
        <w:spacing w:after="0" w:line="226" w:lineRule="auto"/>
        <w:tabs>
          <w:tab w:leader="none" w:pos="652" w:val="left"/>
        </w:tabs>
        <w:numPr>
          <w:ilvl w:val="0"/>
          <w:numId w:val="62"/>
        </w:numPr>
        <w:rPr>
          <w:rFonts w:ascii="Arial" w:cs="Arial" w:eastAsia="Arial" w:hAnsi="Arial"/>
          <w:sz w:val="16"/>
          <w:szCs w:val="16"/>
          <w:color w:val="auto"/>
          <w:vertAlign w:val="superscript"/>
        </w:rPr>
      </w:pPr>
      <w:r>
        <w:rPr>
          <w:rFonts w:ascii="Arial" w:cs="Arial" w:eastAsia="Arial" w:hAnsi="Arial"/>
          <w:sz w:val="13"/>
          <w:szCs w:val="13"/>
          <w:color w:val="auto"/>
        </w:rPr>
        <w:t>Loans for customers who have requested extension of grace period generally during employment transition or who have temporarily ceased making full payments due to hardship or other factors (other than delinquent loans in disaster forbearance), consistent with established loan program servicing policies and procedures.</w:t>
      </w:r>
    </w:p>
    <w:p>
      <w:pPr>
        <w:spacing w:after="0" w:line="126" w:lineRule="exact"/>
        <w:rPr>
          <w:rFonts w:ascii="Arial" w:cs="Arial" w:eastAsia="Arial" w:hAnsi="Arial"/>
          <w:sz w:val="16"/>
          <w:szCs w:val="16"/>
          <w:color w:val="auto"/>
          <w:vertAlign w:val="superscript"/>
        </w:rPr>
      </w:pPr>
    </w:p>
    <w:p>
      <w:pPr>
        <w:ind w:left="640" w:hanging="146"/>
        <w:spacing w:after="0"/>
        <w:tabs>
          <w:tab w:leader="none" w:pos="640" w:val="left"/>
        </w:tabs>
        <w:numPr>
          <w:ilvl w:val="0"/>
          <w:numId w:val="62"/>
        </w:numPr>
        <w:rPr>
          <w:rFonts w:ascii="Arial" w:cs="Arial" w:eastAsia="Arial" w:hAnsi="Arial"/>
          <w:sz w:val="16"/>
          <w:szCs w:val="16"/>
          <w:color w:val="auto"/>
          <w:vertAlign w:val="superscript"/>
        </w:rPr>
      </w:pPr>
      <w:r>
        <w:rPr>
          <w:rFonts w:ascii="Arial" w:cs="Arial" w:eastAsia="Arial" w:hAnsi="Arial"/>
          <w:sz w:val="13"/>
          <w:szCs w:val="13"/>
          <w:color w:val="auto"/>
        </w:rPr>
        <w:t>The period of delinquency is based on the number of days scheduled payments are contractually past due.</w:t>
      </w:r>
    </w:p>
    <w:p>
      <w:pPr>
        <w:spacing w:after="0" w:line="158" w:lineRule="exact"/>
        <w:rPr>
          <w:rFonts w:ascii="Arial" w:cs="Arial" w:eastAsia="Arial" w:hAnsi="Arial"/>
          <w:sz w:val="16"/>
          <w:szCs w:val="16"/>
          <w:color w:val="auto"/>
          <w:vertAlign w:val="superscript"/>
        </w:rPr>
      </w:pPr>
    </w:p>
    <w:p>
      <w:pPr>
        <w:ind w:left="660" w:hanging="166"/>
        <w:spacing w:after="0" w:line="238" w:lineRule="auto"/>
        <w:tabs>
          <w:tab w:leader="none" w:pos="652" w:val="left"/>
        </w:tabs>
        <w:numPr>
          <w:ilvl w:val="0"/>
          <w:numId w:val="62"/>
        </w:numPr>
        <w:rPr>
          <w:rFonts w:ascii="Arial" w:cs="Arial" w:eastAsia="Arial" w:hAnsi="Arial"/>
          <w:sz w:val="15"/>
          <w:szCs w:val="15"/>
          <w:color w:val="auto"/>
          <w:vertAlign w:val="superscript"/>
        </w:rPr>
      </w:pPr>
      <w:r>
        <w:rPr>
          <w:rFonts w:ascii="Arial" w:cs="Arial" w:eastAsia="Arial" w:hAnsi="Arial"/>
          <w:sz w:val="12"/>
          <w:szCs w:val="12"/>
          <w:color w:val="auto"/>
        </w:rPr>
        <w:t>We calculate the percentage of loans in an extended grace period as the ratio of (a) Private Education Loans in forbearance in an extended grace period numerator to (b) Private Education Loans in repayment and forbearance denominator. An extended grace period aligns with The Office of the Comptroller of the Currency definition of an additional, consecutive, one-time period during which no payment is required for up to six months after the initial grace period. We typically grant this extended grace period to customers who may be having difficulty finding employment before the full principal and interest repayment period starts or once it has begun. Loans in forbearance in an extended grace period were approximately $314 million and $243 million at March 31, 2025 and 2024, respectively. See “— Use of Forbearance and Rate Modifications as a Private Education Loan Collection Tool” below for additional details.</w:t>
      </w:r>
    </w:p>
    <w:p>
      <w:pPr>
        <w:spacing w:after="0" w:line="145" w:lineRule="exact"/>
        <w:rPr>
          <w:rFonts w:ascii="Arial" w:cs="Arial" w:eastAsia="Arial" w:hAnsi="Arial"/>
          <w:sz w:val="15"/>
          <w:szCs w:val="15"/>
          <w:color w:val="auto"/>
          <w:vertAlign w:val="superscript"/>
        </w:rPr>
      </w:pPr>
    </w:p>
    <w:p>
      <w:pPr>
        <w:ind w:left="660" w:right="20" w:hanging="166"/>
        <w:spacing w:after="0" w:line="243" w:lineRule="auto"/>
        <w:tabs>
          <w:tab w:leader="none" w:pos="652" w:val="left"/>
        </w:tabs>
        <w:numPr>
          <w:ilvl w:val="0"/>
          <w:numId w:val="62"/>
        </w:numPr>
        <w:rPr>
          <w:rFonts w:ascii="Arial" w:cs="Arial" w:eastAsia="Arial" w:hAnsi="Arial"/>
          <w:sz w:val="15"/>
          <w:szCs w:val="15"/>
          <w:color w:val="auto"/>
          <w:vertAlign w:val="superscript"/>
        </w:rPr>
      </w:pPr>
      <w:r>
        <w:rPr>
          <w:rFonts w:ascii="Arial" w:cs="Arial" w:eastAsia="Arial" w:hAnsi="Arial"/>
          <w:sz w:val="12"/>
          <w:szCs w:val="12"/>
          <w:color w:val="auto"/>
        </w:rPr>
        <w:t>We calculate the percentage of loans in hardship and other forbearances as the ratio of (a) Private Education Loans in hardship and other forbearances (excluding loans in an extended grace period and delinquent loans in disaster forbearance) numerator to (b) Private Education Loans in repayment and forbearance denominator. If the customer is in financial hardship, we work with the customer and/or cosigner and identify any available alternative arrangements designed to reduce monthly payment obligations, which may include a short-term hardship forbearance. Loans in hardship and other forbearances (excluding loans in an extended grace period and delinquent loans in disaster forbearance) were approximately $151 million and $145 million at March 31, 2025 and 2024, respectively. See “— Use of Forbearance and Rate Modifications as a Private Education Loan Collection Tool” below for additional details.</w:t>
      </w:r>
    </w:p>
    <w:p>
      <w:pPr>
        <w:spacing w:after="0" w:line="197" w:lineRule="exact"/>
        <w:rPr>
          <w:sz w:val="20"/>
          <w:szCs w:val="20"/>
          <w:color w:val="auto"/>
        </w:rPr>
      </w:pPr>
    </w:p>
    <w:p>
      <w:pPr>
        <w:ind w:right="300" w:firstLine="445"/>
        <w:spacing w:after="0" w:line="244" w:lineRule="auto"/>
        <w:rPr>
          <w:sz w:val="20"/>
          <w:szCs w:val="20"/>
          <w:color w:val="auto"/>
        </w:rPr>
      </w:pPr>
      <w:r>
        <w:rPr>
          <w:rFonts w:ascii="Arial" w:cs="Arial" w:eastAsia="Arial" w:hAnsi="Arial"/>
          <w:sz w:val="18"/>
          <w:szCs w:val="18"/>
          <w:color w:val="auto"/>
        </w:rPr>
        <w:t>Delinquencies as a percentage of Private Education Loans (held for investment) in repayment increased to 3.6 percent at March 31, 2025 from 3.4 percent at March 31, 2024. The increase in the delinquency metric is primarily attributable to refinements to the loan modification programs that were made in the later half of 2024. See additional discussion related to collections activity in Part II, Item 7. “Management’s Discussion and Analysis of Financial Condition and Results of Operations — Financial Condition — Allowance for Credit Losses — Use of Forbearance and Rate Modifications as a Private Education Loan Collection Tool” in the 2024 Form 10-K.</w:t>
      </w:r>
    </w:p>
    <w:p>
      <w:pPr>
        <w:spacing w:after="0" w:line="82"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percentage of loans in an extended grace forbearance increased to 1.9 percent at March 31, 2025 from 1.5 percent at March 31, 2024. The increase was primarily due to borrowers being eligible to receive up to six months of extended grace forbearance in one increment instead of multiple instances of two-month increments, coupled with our continued efforts to better match our available program offerings to the financial needs of our borrowers. The percentage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44F82"/>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9" w:name="page60"/>
    <w:bookmarkEnd w:id="59"/>
    <w:p>
      <w:pPr>
        <w:ind w:right="160"/>
        <w:spacing w:after="0" w:line="287" w:lineRule="auto"/>
        <w:rPr>
          <w:sz w:val="20"/>
          <w:szCs w:val="20"/>
          <w:color w:val="auto"/>
        </w:rPr>
      </w:pPr>
      <w:r>
        <w:rPr>
          <w:rFonts w:ascii="Arial" w:cs="Arial" w:eastAsia="Arial" w:hAnsi="Arial"/>
          <w:sz w:val="18"/>
          <w:szCs w:val="18"/>
          <w:color w:val="auto"/>
        </w:rPr>
        <w:t>of loans in hardship and other forbearances remained relatively consistent at 0.9 percent and 1.0 percent at March 31, 2025 and March 31, 2024,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Allowance for Private Education Loan Losses</w:t>
      </w:r>
    </w:p>
    <w:p>
      <w:pPr>
        <w:spacing w:after="0" w:line="88"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table summarizes changes in the allowance for Private Education Loan (held for investment) losses and the allowance for unfunded loan commitments.</w:t>
      </w:r>
    </w:p>
    <w:p>
      <w:pPr>
        <w:spacing w:after="0" w:line="44" w:lineRule="exact"/>
        <w:rPr>
          <w:sz w:val="20"/>
          <w:szCs w:val="20"/>
          <w:color w:val="auto"/>
        </w:rPr>
      </w:pPr>
    </w:p>
    <w:tbl>
      <w:tblPr>
        <w:tblLayout w:type="fixed"/>
        <w:tblInd w:w="1760" w:type="dxa"/>
        <w:tblCellMar>
          <w:top w:w="0" w:type="dxa"/>
          <w:left w:w="0" w:type="dxa"/>
          <w:bottom w:w="0" w:type="dxa"/>
          <w:right w:w="0" w:type="dxa"/>
        </w:tblCellMar>
      </w:tblPr>
      <w:tr>
        <w:trPr>
          <w:trHeight w:val="162"/>
        </w:trPr>
        <w:tc>
          <w:tcPr>
            <w:tcW w:w="50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gridSpan w:val="3"/>
          </w:tcPr>
          <w:p>
            <w:pPr>
              <w:jc w:val="right"/>
              <w:ind w:right="779"/>
              <w:spacing w:after="0" w:line="162" w:lineRule="exact"/>
              <w:rPr>
                <w:sz w:val="20"/>
                <w:szCs w:val="20"/>
                <w:color w:val="auto"/>
              </w:rPr>
            </w:pPr>
            <w:r>
              <w:rPr>
                <w:rFonts w:ascii="Arial" w:cs="Arial" w:eastAsia="Arial" w:hAnsi="Arial"/>
                <w:sz w:val="15"/>
                <w:szCs w:val="15"/>
                <w:b w:val="1"/>
                <w:bCs w:val="1"/>
                <w:color w:val="144F82"/>
              </w:rPr>
              <w:t>Three Months Ended</w:t>
            </w:r>
          </w:p>
        </w:tc>
        <w:tc>
          <w:tcPr>
            <w:tcW w:w="0" w:type="dxa"/>
            <w:vAlign w:val="bottom"/>
          </w:tcPr>
          <w:p>
            <w:pPr>
              <w:spacing w:after="0"/>
              <w:rPr>
                <w:sz w:val="1"/>
                <w:szCs w:val="1"/>
                <w:color w:val="auto"/>
              </w:rPr>
            </w:pPr>
          </w:p>
        </w:tc>
      </w:tr>
      <w:tr>
        <w:trPr>
          <w:trHeight w:val="213"/>
        </w:trPr>
        <w:tc>
          <w:tcPr>
            <w:tcW w:w="5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5"/>
                <w:szCs w:val="15"/>
                <w:b w:val="1"/>
                <w:bCs w:val="1"/>
                <w:color w:val="144F82"/>
              </w:rPr>
              <w:t>March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5"/>
                <w:szCs w:val="15"/>
                <w:b w:val="1"/>
                <w:bCs w:val="1"/>
                <w:color w:val="144F82"/>
              </w:rPr>
              <w:t>2025</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b w:val="1"/>
                <w:bCs w:val="1"/>
                <w:color w:val="144F82"/>
              </w:rPr>
              <w:t>2024</w:t>
            </w:r>
          </w:p>
        </w:tc>
        <w:tc>
          <w:tcPr>
            <w:tcW w:w="0" w:type="dxa"/>
            <w:vAlign w:val="bottom"/>
          </w:tcPr>
          <w:p>
            <w:pPr>
              <w:spacing w:after="0"/>
              <w:rPr>
                <w:sz w:val="1"/>
                <w:szCs w:val="1"/>
                <w:color w:val="auto"/>
              </w:rPr>
            </w:pPr>
          </w:p>
        </w:tc>
      </w:tr>
      <w:tr>
        <w:trPr>
          <w:trHeight w:val="209"/>
        </w:trPr>
        <w:tc>
          <w:tcPr>
            <w:tcW w:w="506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Allowance for loan losses, beginning balance</w:t>
            </w:r>
          </w:p>
        </w:tc>
        <w:tc>
          <w:tcPr>
            <w:tcW w:w="30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jc w:val="right"/>
              <w:ind w:right="180"/>
              <w:spacing w:after="0"/>
              <w:rPr>
                <w:sz w:val="20"/>
                <w:szCs w:val="20"/>
                <w:color w:val="auto"/>
              </w:rPr>
            </w:pPr>
            <w:r>
              <w:rPr>
                <w:rFonts w:ascii="Arial" w:cs="Arial" w:eastAsia="Arial" w:hAnsi="Arial"/>
                <w:sz w:val="16"/>
                <w:szCs w:val="16"/>
                <w:color w:val="auto"/>
              </w:rPr>
              <w:t>1,435,920</w:t>
            </w:r>
          </w:p>
        </w:tc>
        <w:tc>
          <w:tcPr>
            <w:tcW w:w="460" w:type="dxa"/>
            <w:vAlign w:val="bottom"/>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DEE"/>
          </w:tcPr>
          <w:p>
            <w:pPr>
              <w:jc w:val="right"/>
              <w:ind w:right="139"/>
              <w:spacing w:after="0"/>
              <w:rPr>
                <w:sz w:val="20"/>
                <w:szCs w:val="20"/>
                <w:color w:val="auto"/>
              </w:rPr>
            </w:pPr>
            <w:r>
              <w:rPr>
                <w:rFonts w:ascii="Arial" w:cs="Arial" w:eastAsia="Arial" w:hAnsi="Arial"/>
                <w:sz w:val="16"/>
                <w:szCs w:val="16"/>
                <w:color w:val="auto"/>
              </w:rPr>
              <w:t>1,335,105</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Transfer from allowance for unfunded loan commitments</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color w:val="auto"/>
              </w:rPr>
              <w:t>105,134</w:t>
            </w:r>
          </w:p>
        </w:tc>
        <w:tc>
          <w:tcPr>
            <w:tcW w:w="46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131,614</w:t>
            </w:r>
          </w:p>
        </w:tc>
        <w:tc>
          <w:tcPr>
            <w:tcW w:w="0" w:type="dxa"/>
            <w:vAlign w:val="bottom"/>
          </w:tcPr>
          <w:p>
            <w:pPr>
              <w:spacing w:after="0"/>
              <w:rPr>
                <w:sz w:val="1"/>
                <w:szCs w:val="1"/>
                <w:color w:val="auto"/>
              </w:rPr>
            </w:pPr>
          </w:p>
        </w:tc>
      </w:tr>
      <w:tr>
        <w:trPr>
          <w:trHeight w:val="216"/>
        </w:trPr>
        <w:tc>
          <w:tcPr>
            <w:tcW w:w="5060" w:type="dxa"/>
            <w:vAlign w:val="bottom"/>
            <w:shd w:val="clear" w:color="auto" w:fill="EDEDEE"/>
          </w:tcPr>
          <w:p>
            <w:pPr>
              <w:ind w:left="20"/>
              <w:spacing w:after="0"/>
              <w:rPr>
                <w:sz w:val="20"/>
                <w:szCs w:val="20"/>
                <w:color w:val="auto"/>
              </w:rPr>
            </w:pPr>
            <w:r>
              <w:rPr>
                <w:rFonts w:ascii="Arial" w:cs="Arial" w:eastAsia="Arial" w:hAnsi="Arial"/>
                <w:sz w:val="16"/>
                <w:szCs w:val="16"/>
                <w:color w:val="auto"/>
              </w:rPr>
              <w:t>Provisions:</w:t>
            </w:r>
          </w:p>
        </w:tc>
        <w:tc>
          <w:tcPr>
            <w:tcW w:w="300" w:type="dxa"/>
            <w:vAlign w:val="bottom"/>
            <w:shd w:val="clear" w:color="auto" w:fill="EDEDEE"/>
          </w:tcPr>
          <w:p>
            <w:pPr>
              <w:spacing w:after="0"/>
              <w:rPr>
                <w:sz w:val="18"/>
                <w:szCs w:val="18"/>
                <w:color w:val="auto"/>
              </w:rPr>
            </w:pPr>
          </w:p>
        </w:tc>
        <w:tc>
          <w:tcPr>
            <w:tcW w:w="1280" w:type="dxa"/>
            <w:vAlign w:val="bottom"/>
            <w:shd w:val="clear" w:color="auto" w:fill="EDEDEE"/>
          </w:tcPr>
          <w:p>
            <w:pPr>
              <w:spacing w:after="0"/>
              <w:rPr>
                <w:sz w:val="18"/>
                <w:szCs w:val="18"/>
                <w:color w:val="auto"/>
              </w:rPr>
            </w:pPr>
          </w:p>
        </w:tc>
        <w:tc>
          <w:tcPr>
            <w:tcW w:w="460" w:type="dxa"/>
            <w:vAlign w:val="bottom"/>
            <w:shd w:val="clear" w:color="auto" w:fill="EDEDEE"/>
          </w:tcPr>
          <w:p>
            <w:pPr>
              <w:spacing w:after="0"/>
              <w:rPr>
                <w:sz w:val="18"/>
                <w:szCs w:val="18"/>
                <w:color w:val="auto"/>
              </w:rPr>
            </w:pPr>
          </w:p>
        </w:tc>
        <w:tc>
          <w:tcPr>
            <w:tcW w:w="112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140"/>
              <w:spacing w:after="0"/>
              <w:rPr>
                <w:sz w:val="20"/>
                <w:szCs w:val="20"/>
                <w:color w:val="auto"/>
              </w:rPr>
            </w:pPr>
            <w:r>
              <w:rPr>
                <w:rFonts w:ascii="Arial" w:cs="Arial" w:eastAsia="Arial" w:hAnsi="Arial"/>
                <w:sz w:val="16"/>
                <w:szCs w:val="16"/>
                <w:color w:val="auto"/>
              </w:rPr>
              <w:t>Provision for current period</w:t>
            </w:r>
          </w:p>
        </w:tc>
        <w:tc>
          <w:tcPr>
            <w:tcW w:w="300" w:type="dxa"/>
            <w:vAlign w:val="bottom"/>
          </w:tcPr>
          <w:p>
            <w:pPr>
              <w:spacing w:after="0"/>
              <w:rPr>
                <w:sz w:val="18"/>
                <w:szCs w:val="18"/>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color w:val="auto"/>
              </w:rPr>
              <w:t>95,289</w:t>
            </w:r>
          </w:p>
        </w:tc>
        <w:tc>
          <w:tcPr>
            <w:tcW w:w="46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94,476</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tcBorders>
            <w:shd w:val="clear" w:color="auto" w:fill="EDEDEE"/>
          </w:tcPr>
          <w:p>
            <w:pPr>
              <w:ind w:left="140"/>
              <w:spacing w:after="0"/>
              <w:rPr>
                <w:sz w:val="20"/>
                <w:szCs w:val="20"/>
                <w:color w:val="auto"/>
              </w:rPr>
            </w:pPr>
            <w:r>
              <w:rPr>
                <w:rFonts w:ascii="Arial" w:cs="Arial" w:eastAsia="Arial" w:hAnsi="Arial"/>
                <w:sz w:val="16"/>
                <w:szCs w:val="16"/>
                <w:color w:val="auto"/>
              </w:rPr>
              <w:t>Loan sale reduction to provision</w:t>
            </w:r>
          </w:p>
        </w:tc>
        <w:tc>
          <w:tcPr>
            <w:tcW w:w="300" w:type="dxa"/>
            <w:vAlign w:val="bottom"/>
            <w:tcBorders>
              <w:bottom w:val="single" w:sz="8" w:color="auto"/>
            </w:tcBorders>
            <w:shd w:val="clear" w:color="auto" w:fill="EDEDEE"/>
          </w:tcPr>
          <w:p>
            <w:pPr>
              <w:spacing w:after="0"/>
              <w:rPr>
                <w:sz w:val="18"/>
                <w:szCs w:val="18"/>
                <w:color w:val="auto"/>
              </w:rPr>
            </w:pPr>
          </w:p>
        </w:tc>
        <w:tc>
          <w:tcPr>
            <w:tcW w:w="1280" w:type="dxa"/>
            <w:vAlign w:val="bottom"/>
            <w:tcBorders>
              <w:bottom w:val="single" w:sz="8" w:color="auto"/>
            </w:tcBorders>
            <w:shd w:val="clear" w:color="auto" w:fill="EDEDEE"/>
          </w:tcPr>
          <w:p>
            <w:pPr>
              <w:jc w:val="right"/>
              <w:ind w:right="140"/>
              <w:spacing w:after="0"/>
              <w:rPr>
                <w:sz w:val="20"/>
                <w:szCs w:val="20"/>
                <w:color w:val="auto"/>
              </w:rPr>
            </w:pPr>
            <w:r>
              <w:rPr>
                <w:rFonts w:ascii="Arial" w:cs="Arial" w:eastAsia="Arial" w:hAnsi="Arial"/>
                <w:sz w:val="16"/>
                <w:szCs w:val="16"/>
                <w:color w:val="auto"/>
              </w:rPr>
              <w:t>(116,459)</w:t>
            </w:r>
          </w:p>
        </w:tc>
        <w:tc>
          <w:tcPr>
            <w:tcW w:w="460" w:type="dxa"/>
            <w:vAlign w:val="bottom"/>
            <w:tcBorders>
              <w:bottom w:val="single" w:sz="8" w:color="auto"/>
            </w:tcBorders>
            <w:shd w:val="clear" w:color="auto" w:fill="EDEDEE"/>
          </w:tcPr>
          <w:p>
            <w:pPr>
              <w:spacing w:after="0"/>
              <w:rPr>
                <w:sz w:val="18"/>
                <w:szCs w:val="18"/>
                <w:color w:val="auto"/>
              </w:rPr>
            </w:pPr>
          </w:p>
        </w:tc>
        <w:tc>
          <w:tcPr>
            <w:tcW w:w="1120" w:type="dxa"/>
            <w:vAlign w:val="bottom"/>
            <w:tcBorders>
              <w:bottom w:val="single" w:sz="8" w:color="auto"/>
            </w:tcBorders>
            <w:shd w:val="clear" w:color="auto" w:fill="EDEDEE"/>
          </w:tcPr>
          <w:p>
            <w:pPr>
              <w:jc w:val="right"/>
              <w:ind w:right="79"/>
              <w:spacing w:after="0"/>
              <w:rPr>
                <w:sz w:val="20"/>
                <w:szCs w:val="20"/>
                <w:color w:val="auto"/>
              </w:rPr>
            </w:pPr>
            <w:r>
              <w:rPr>
                <w:rFonts w:ascii="Arial" w:cs="Arial" w:eastAsia="Arial" w:hAnsi="Arial"/>
                <w:sz w:val="16"/>
                <w:szCs w:val="16"/>
                <w:color w:val="auto"/>
              </w:rPr>
              <w:t>(133,204)</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line="210" w:lineRule="exact"/>
              <w:rPr>
                <w:sz w:val="20"/>
                <w:szCs w:val="20"/>
                <w:color w:val="auto"/>
              </w:rPr>
            </w:pPr>
            <w:r>
              <w:rPr>
                <w:rFonts w:ascii="Arial" w:cs="Arial" w:eastAsia="Arial" w:hAnsi="Arial"/>
                <w:sz w:val="16"/>
                <w:szCs w:val="16"/>
                <w:color w:val="auto"/>
              </w:rPr>
              <w:t>Total provisions</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(21,170)</w:t>
            </w:r>
          </w:p>
        </w:tc>
        <w:tc>
          <w:tcPr>
            <w:tcW w:w="46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(38,728)</w:t>
            </w:r>
          </w:p>
        </w:tc>
        <w:tc>
          <w:tcPr>
            <w:tcW w:w="0" w:type="dxa"/>
            <w:vAlign w:val="bottom"/>
          </w:tcPr>
          <w:p>
            <w:pPr>
              <w:spacing w:after="0"/>
              <w:rPr>
                <w:sz w:val="1"/>
                <w:szCs w:val="1"/>
                <w:color w:val="auto"/>
              </w:rPr>
            </w:pPr>
          </w:p>
        </w:tc>
      </w:tr>
      <w:tr>
        <w:trPr>
          <w:trHeight w:val="216"/>
        </w:trPr>
        <w:tc>
          <w:tcPr>
            <w:tcW w:w="5060" w:type="dxa"/>
            <w:vAlign w:val="bottom"/>
            <w:shd w:val="clear" w:color="auto" w:fill="EDEDEE"/>
          </w:tcPr>
          <w:p>
            <w:pPr>
              <w:ind w:left="20"/>
              <w:spacing w:after="0"/>
              <w:rPr>
                <w:sz w:val="20"/>
                <w:szCs w:val="20"/>
                <w:color w:val="auto"/>
              </w:rPr>
            </w:pPr>
            <w:r>
              <w:rPr>
                <w:rFonts w:ascii="Arial" w:cs="Arial" w:eastAsia="Arial" w:hAnsi="Arial"/>
                <w:sz w:val="16"/>
                <w:szCs w:val="16"/>
                <w:color w:val="auto"/>
              </w:rPr>
              <w:t>Net charge-offs:</w:t>
            </w:r>
          </w:p>
        </w:tc>
        <w:tc>
          <w:tcPr>
            <w:tcW w:w="300" w:type="dxa"/>
            <w:vAlign w:val="bottom"/>
            <w:shd w:val="clear" w:color="auto" w:fill="EDEDEE"/>
          </w:tcPr>
          <w:p>
            <w:pPr>
              <w:spacing w:after="0"/>
              <w:rPr>
                <w:sz w:val="18"/>
                <w:szCs w:val="18"/>
                <w:color w:val="auto"/>
              </w:rPr>
            </w:pPr>
          </w:p>
        </w:tc>
        <w:tc>
          <w:tcPr>
            <w:tcW w:w="1280" w:type="dxa"/>
            <w:vAlign w:val="bottom"/>
            <w:shd w:val="clear" w:color="auto" w:fill="EDEDEE"/>
          </w:tcPr>
          <w:p>
            <w:pPr>
              <w:spacing w:after="0"/>
              <w:rPr>
                <w:sz w:val="18"/>
                <w:szCs w:val="18"/>
                <w:color w:val="auto"/>
              </w:rPr>
            </w:pPr>
          </w:p>
        </w:tc>
        <w:tc>
          <w:tcPr>
            <w:tcW w:w="460" w:type="dxa"/>
            <w:vAlign w:val="bottom"/>
            <w:shd w:val="clear" w:color="auto" w:fill="EDEDEE"/>
          </w:tcPr>
          <w:p>
            <w:pPr>
              <w:spacing w:after="0"/>
              <w:rPr>
                <w:sz w:val="18"/>
                <w:szCs w:val="18"/>
                <w:color w:val="auto"/>
              </w:rPr>
            </w:pPr>
          </w:p>
        </w:tc>
        <w:tc>
          <w:tcPr>
            <w:tcW w:w="112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140"/>
              <w:spacing w:after="0"/>
              <w:rPr>
                <w:sz w:val="20"/>
                <w:szCs w:val="20"/>
                <w:color w:val="auto"/>
              </w:rPr>
            </w:pPr>
            <w:r>
              <w:rPr>
                <w:rFonts w:ascii="Arial" w:cs="Arial" w:eastAsia="Arial" w:hAnsi="Arial"/>
                <w:sz w:val="16"/>
                <w:szCs w:val="16"/>
                <w:color w:val="auto"/>
              </w:rPr>
              <w:t>Charge-offs</w:t>
            </w:r>
          </w:p>
        </w:tc>
        <w:tc>
          <w:tcPr>
            <w:tcW w:w="300" w:type="dxa"/>
            <w:vAlign w:val="bottom"/>
          </w:tcPr>
          <w:p>
            <w:pPr>
              <w:spacing w:after="0"/>
              <w:rPr>
                <w:sz w:val="18"/>
                <w:szCs w:val="18"/>
                <w:color w:val="auto"/>
              </w:rPr>
            </w:pP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(86,903)</w:t>
            </w:r>
          </w:p>
        </w:tc>
        <w:tc>
          <w:tcPr>
            <w:tcW w:w="46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(93,874)</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tcBorders>
            <w:shd w:val="clear" w:color="auto" w:fill="EDEDEE"/>
          </w:tcPr>
          <w:p>
            <w:pPr>
              <w:ind w:left="140"/>
              <w:spacing w:after="0"/>
              <w:rPr>
                <w:sz w:val="20"/>
                <w:szCs w:val="20"/>
                <w:color w:val="auto"/>
              </w:rPr>
            </w:pPr>
            <w:r>
              <w:rPr>
                <w:rFonts w:ascii="Arial" w:cs="Arial" w:eastAsia="Arial" w:hAnsi="Arial"/>
                <w:sz w:val="16"/>
                <w:szCs w:val="16"/>
                <w:color w:val="auto"/>
              </w:rPr>
              <w:t>Recoveries</w:t>
            </w:r>
          </w:p>
        </w:tc>
        <w:tc>
          <w:tcPr>
            <w:tcW w:w="300" w:type="dxa"/>
            <w:vAlign w:val="bottom"/>
            <w:tcBorders>
              <w:bottom w:val="single" w:sz="8" w:color="auto"/>
            </w:tcBorders>
            <w:shd w:val="clear" w:color="auto" w:fill="EDEDEE"/>
          </w:tcPr>
          <w:p>
            <w:pPr>
              <w:spacing w:after="0"/>
              <w:rPr>
                <w:sz w:val="18"/>
                <w:szCs w:val="18"/>
                <w:color w:val="auto"/>
              </w:rPr>
            </w:pPr>
          </w:p>
        </w:tc>
        <w:tc>
          <w:tcPr>
            <w:tcW w:w="1280" w:type="dxa"/>
            <w:vAlign w:val="bottom"/>
            <w:tcBorders>
              <w:bottom w:val="single" w:sz="8" w:color="auto"/>
            </w:tcBorders>
            <w:shd w:val="clear" w:color="auto" w:fill="EDEDEE"/>
          </w:tcPr>
          <w:p>
            <w:pPr>
              <w:jc w:val="right"/>
              <w:ind w:right="180"/>
              <w:spacing w:after="0"/>
              <w:rPr>
                <w:sz w:val="20"/>
                <w:szCs w:val="20"/>
                <w:color w:val="auto"/>
              </w:rPr>
            </w:pPr>
            <w:r>
              <w:rPr>
                <w:rFonts w:ascii="Arial" w:cs="Arial" w:eastAsia="Arial" w:hAnsi="Arial"/>
                <w:sz w:val="16"/>
                <w:szCs w:val="16"/>
                <w:color w:val="auto"/>
              </w:rPr>
              <w:t>10,734</w:t>
            </w:r>
          </w:p>
        </w:tc>
        <w:tc>
          <w:tcPr>
            <w:tcW w:w="460" w:type="dxa"/>
            <w:vAlign w:val="bottom"/>
            <w:tcBorders>
              <w:bottom w:val="single" w:sz="8" w:color="auto"/>
            </w:tcBorders>
            <w:shd w:val="clear" w:color="auto" w:fill="EDEDEE"/>
          </w:tcPr>
          <w:p>
            <w:pPr>
              <w:spacing w:after="0"/>
              <w:rPr>
                <w:sz w:val="18"/>
                <w:szCs w:val="18"/>
                <w:color w:val="auto"/>
              </w:rPr>
            </w:pPr>
          </w:p>
        </w:tc>
        <w:tc>
          <w:tcPr>
            <w:tcW w:w="1120" w:type="dxa"/>
            <w:vAlign w:val="bottom"/>
            <w:tcBorders>
              <w:bottom w:val="single" w:sz="8" w:color="auto"/>
            </w:tcBorders>
            <w:shd w:val="clear" w:color="auto" w:fill="EDEDEE"/>
          </w:tcPr>
          <w:p>
            <w:pPr>
              <w:jc w:val="right"/>
              <w:ind w:right="139"/>
              <w:spacing w:after="0"/>
              <w:rPr>
                <w:sz w:val="20"/>
                <w:szCs w:val="20"/>
                <w:color w:val="auto"/>
              </w:rPr>
            </w:pPr>
            <w:r>
              <w:rPr>
                <w:rFonts w:ascii="Arial" w:cs="Arial" w:eastAsia="Arial" w:hAnsi="Arial"/>
                <w:sz w:val="16"/>
                <w:szCs w:val="16"/>
                <w:color w:val="auto"/>
              </w:rPr>
              <w:t>11,314</w:t>
            </w:r>
          </w:p>
        </w:tc>
        <w:tc>
          <w:tcPr>
            <w:tcW w:w="0" w:type="dxa"/>
            <w:vAlign w:val="bottom"/>
          </w:tcPr>
          <w:p>
            <w:pPr>
              <w:spacing w:after="0"/>
              <w:rPr>
                <w:sz w:val="1"/>
                <w:szCs w:val="1"/>
                <w:color w:val="auto"/>
              </w:rPr>
            </w:pPr>
          </w:p>
        </w:tc>
      </w:tr>
      <w:tr>
        <w:trPr>
          <w:trHeight w:val="209"/>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charge-offs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(76,169)</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(82,560)</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Allowance for loan losses, ending balance</w:t>
            </w:r>
          </w:p>
        </w:tc>
        <w:tc>
          <w:tcPr>
            <w:tcW w:w="300" w:type="dxa"/>
            <w:vAlign w:val="bottom"/>
            <w:tcBorders>
              <w:bottom w:val="single" w:sz="8" w:color="auto"/>
            </w:tcBorders>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DEDEE"/>
          </w:tcPr>
          <w:p>
            <w:pPr>
              <w:jc w:val="right"/>
              <w:ind w:right="180"/>
              <w:spacing w:after="0"/>
              <w:rPr>
                <w:sz w:val="20"/>
                <w:szCs w:val="20"/>
                <w:color w:val="auto"/>
              </w:rPr>
            </w:pPr>
            <w:r>
              <w:rPr>
                <w:rFonts w:ascii="Arial" w:cs="Arial" w:eastAsia="Arial" w:hAnsi="Arial"/>
                <w:sz w:val="16"/>
                <w:szCs w:val="16"/>
                <w:color w:val="auto"/>
              </w:rPr>
              <w:t>1,443,715</w:t>
            </w:r>
          </w:p>
        </w:tc>
        <w:tc>
          <w:tcPr>
            <w:tcW w:w="460" w:type="dxa"/>
            <w:vAlign w:val="bottom"/>
            <w:tcBorders>
              <w:bottom w:val="single" w:sz="8" w:color="auto"/>
            </w:tcBorders>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DEDEE"/>
          </w:tcPr>
          <w:p>
            <w:pPr>
              <w:jc w:val="right"/>
              <w:ind w:right="139"/>
              <w:spacing w:after="0"/>
              <w:rPr>
                <w:sz w:val="20"/>
                <w:szCs w:val="20"/>
                <w:color w:val="auto"/>
              </w:rPr>
            </w:pPr>
            <w:r>
              <w:rPr>
                <w:rFonts w:ascii="Arial" w:cs="Arial" w:eastAsia="Arial" w:hAnsi="Arial"/>
                <w:sz w:val="16"/>
                <w:szCs w:val="16"/>
                <w:color w:val="auto"/>
              </w:rPr>
              <w:t>1,345,431</w:t>
            </w:r>
          </w:p>
        </w:tc>
        <w:tc>
          <w:tcPr>
            <w:tcW w:w="0" w:type="dxa"/>
            <w:vAlign w:val="bottom"/>
          </w:tcPr>
          <w:p>
            <w:pPr>
              <w:spacing w:after="0"/>
              <w:rPr>
                <w:sz w:val="1"/>
                <w:szCs w:val="1"/>
                <w:color w:val="auto"/>
              </w:rPr>
            </w:pPr>
          </w:p>
        </w:tc>
      </w:tr>
      <w:tr>
        <w:trPr>
          <w:trHeight w:val="156"/>
        </w:trPr>
        <w:tc>
          <w:tcPr>
            <w:tcW w:w="5060" w:type="dxa"/>
            <w:vAlign w:val="bottom"/>
          </w:tcPr>
          <w:p>
            <w:pPr>
              <w:ind w:left="20"/>
              <w:spacing w:after="0" w:line="155" w:lineRule="exact"/>
              <w:rPr>
                <w:sz w:val="20"/>
                <w:szCs w:val="20"/>
                <w:color w:val="auto"/>
              </w:rPr>
            </w:pPr>
            <w:r>
              <w:rPr>
                <w:rFonts w:ascii="Arial" w:cs="Arial" w:eastAsia="Arial" w:hAnsi="Arial"/>
                <w:sz w:val="16"/>
                <w:szCs w:val="16"/>
                <w:b w:val="1"/>
                <w:bCs w:val="1"/>
                <w:color w:val="144F82"/>
              </w:rPr>
              <w:t>Allowance for unfunded loan commitments, beginning</w:t>
            </w:r>
          </w:p>
        </w:tc>
        <w:tc>
          <w:tcPr>
            <w:tcW w:w="300" w:type="dxa"/>
            <w:vAlign w:val="bottom"/>
          </w:tcPr>
          <w:p>
            <w:pPr>
              <w:spacing w:after="0"/>
              <w:rPr>
                <w:sz w:val="13"/>
                <w:szCs w:val="13"/>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6"/>
                <w:szCs w:val="16"/>
                <w:color w:val="auto"/>
              </w:rPr>
              <w:t>84,568</w:t>
            </w:r>
          </w:p>
        </w:tc>
        <w:tc>
          <w:tcPr>
            <w:tcW w:w="460" w:type="dxa"/>
            <w:vAlign w:val="bottom"/>
          </w:tcPr>
          <w:p>
            <w:pPr>
              <w:spacing w:after="0"/>
              <w:rPr>
                <w:sz w:val="13"/>
                <w:szCs w:val="13"/>
                <w:color w:val="auto"/>
              </w:rPr>
            </w:pPr>
          </w:p>
        </w:tc>
        <w:tc>
          <w:tcPr>
            <w:tcW w:w="1120" w:type="dxa"/>
            <w:vAlign w:val="bottom"/>
            <w:vMerge w:val="restart"/>
          </w:tcPr>
          <w:p>
            <w:pPr>
              <w:jc w:val="right"/>
              <w:ind w:right="139"/>
              <w:spacing w:after="0"/>
              <w:rPr>
                <w:sz w:val="20"/>
                <w:szCs w:val="20"/>
                <w:color w:val="auto"/>
              </w:rPr>
            </w:pPr>
            <w:r>
              <w:rPr>
                <w:rFonts w:ascii="Arial" w:cs="Arial" w:eastAsia="Arial" w:hAnsi="Arial"/>
                <w:sz w:val="16"/>
                <w:szCs w:val="16"/>
                <w:color w:val="auto"/>
              </w:rPr>
              <w:t>112,962</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b w:val="1"/>
                <w:bCs w:val="1"/>
                <w:color w:val="144F82"/>
              </w:rPr>
              <w:t>balance</w:t>
            </w:r>
            <w:r>
              <w:rPr>
                <w:rFonts w:ascii="Arial" w:cs="Arial" w:eastAsia="Arial" w:hAnsi="Arial"/>
                <w:sz w:val="21"/>
                <w:szCs w:val="21"/>
                <w:b w:val="1"/>
                <w:bCs w:val="1"/>
                <w:color w:val="144F82"/>
                <w:vertAlign w:val="superscript"/>
              </w:rPr>
              <w:t>(1)</w:t>
            </w:r>
          </w:p>
        </w:tc>
        <w:tc>
          <w:tcPr>
            <w:tcW w:w="3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DEDEE"/>
          </w:tcPr>
          <w:p>
            <w:pPr>
              <w:ind w:left="140"/>
              <w:spacing w:after="0" w:line="216" w:lineRule="exact"/>
              <w:rPr>
                <w:sz w:val="20"/>
                <w:szCs w:val="20"/>
                <w:color w:val="auto"/>
              </w:rPr>
            </w:pPr>
            <w:r>
              <w:rPr>
                <w:rFonts w:ascii="Arial" w:cs="Arial" w:eastAsia="Arial" w:hAnsi="Arial"/>
                <w:sz w:val="16"/>
                <w:szCs w:val="16"/>
                <w:color w:val="auto"/>
              </w:rPr>
              <w:t>Provision</w:t>
            </w:r>
            <w:r>
              <w:rPr>
                <w:rFonts w:ascii="Arial" w:cs="Arial" w:eastAsia="Arial" w:hAnsi="Arial"/>
                <w:sz w:val="21"/>
                <w:szCs w:val="21"/>
                <w:color w:val="auto"/>
                <w:vertAlign w:val="superscript"/>
              </w:rPr>
              <w:t>(2)(3)</w:t>
            </w:r>
          </w:p>
        </w:tc>
        <w:tc>
          <w:tcPr>
            <w:tcW w:w="300" w:type="dxa"/>
            <w:vAlign w:val="bottom"/>
            <w:shd w:val="clear" w:color="auto" w:fill="EDEDEE"/>
          </w:tcPr>
          <w:p>
            <w:pPr>
              <w:spacing w:after="0"/>
              <w:rPr>
                <w:sz w:val="18"/>
                <w:szCs w:val="18"/>
                <w:color w:val="auto"/>
              </w:rPr>
            </w:pPr>
          </w:p>
        </w:tc>
        <w:tc>
          <w:tcPr>
            <w:tcW w:w="1280" w:type="dxa"/>
            <w:vAlign w:val="bottom"/>
            <w:shd w:val="clear" w:color="auto" w:fill="EDEDEE"/>
          </w:tcPr>
          <w:p>
            <w:pPr>
              <w:jc w:val="right"/>
              <w:ind w:right="180"/>
              <w:spacing w:after="0"/>
              <w:rPr>
                <w:sz w:val="20"/>
                <w:szCs w:val="20"/>
                <w:color w:val="auto"/>
              </w:rPr>
            </w:pPr>
            <w:r>
              <w:rPr>
                <w:rFonts w:ascii="Arial" w:cs="Arial" w:eastAsia="Arial" w:hAnsi="Arial"/>
                <w:sz w:val="16"/>
                <w:szCs w:val="16"/>
                <w:color w:val="auto"/>
              </w:rPr>
              <w:t>44,456</w:t>
            </w:r>
          </w:p>
        </w:tc>
        <w:tc>
          <w:tcPr>
            <w:tcW w:w="460" w:type="dxa"/>
            <w:vAlign w:val="bottom"/>
            <w:shd w:val="clear" w:color="auto" w:fill="EDEDEE"/>
          </w:tcPr>
          <w:p>
            <w:pPr>
              <w:spacing w:after="0"/>
              <w:rPr>
                <w:sz w:val="18"/>
                <w:szCs w:val="18"/>
                <w:color w:val="auto"/>
              </w:rPr>
            </w:pPr>
          </w:p>
        </w:tc>
        <w:tc>
          <w:tcPr>
            <w:tcW w:w="1120" w:type="dxa"/>
            <w:vAlign w:val="bottom"/>
            <w:shd w:val="clear" w:color="auto" w:fill="EDEDEE"/>
          </w:tcPr>
          <w:p>
            <w:pPr>
              <w:jc w:val="right"/>
              <w:ind w:right="139"/>
              <w:spacing w:after="0"/>
              <w:rPr>
                <w:sz w:val="20"/>
                <w:szCs w:val="20"/>
                <w:color w:val="auto"/>
              </w:rPr>
            </w:pPr>
            <w:r>
              <w:rPr>
                <w:rFonts w:ascii="Arial" w:cs="Arial" w:eastAsia="Arial" w:hAnsi="Arial"/>
                <w:sz w:val="16"/>
                <w:szCs w:val="16"/>
                <w:color w:val="auto"/>
              </w:rPr>
              <w:t>50,686</w:t>
            </w:r>
          </w:p>
        </w:tc>
        <w:tc>
          <w:tcPr>
            <w:tcW w:w="0" w:type="dxa"/>
            <w:vAlign w:val="bottom"/>
          </w:tcPr>
          <w:p>
            <w:pPr>
              <w:spacing w:after="0"/>
              <w:rPr>
                <w:sz w:val="1"/>
                <w:szCs w:val="1"/>
                <w:color w:val="auto"/>
              </w:rPr>
            </w:pPr>
          </w:p>
        </w:tc>
      </w:tr>
      <w:tr>
        <w:trPr>
          <w:trHeight w:val="215"/>
        </w:trPr>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Transfer to allowance for loan losses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(105,134)</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(131,614)</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tcBorders>
            <w:shd w:val="clear" w:color="auto" w:fill="EDEDEE"/>
          </w:tcPr>
          <w:p>
            <w:pPr>
              <w:ind w:left="20"/>
              <w:spacing w:after="0" w:line="210" w:lineRule="exact"/>
              <w:rPr>
                <w:sz w:val="20"/>
                <w:szCs w:val="20"/>
                <w:color w:val="auto"/>
              </w:rPr>
            </w:pPr>
            <w:r>
              <w:rPr>
                <w:rFonts w:ascii="Arial" w:cs="Arial" w:eastAsia="Arial" w:hAnsi="Arial"/>
                <w:sz w:val="16"/>
                <w:szCs w:val="16"/>
                <w:b w:val="1"/>
                <w:bCs w:val="1"/>
                <w:color w:val="144F82"/>
              </w:rPr>
              <w:t>Allowance for unfunded loan commitments, ending balance</w:t>
            </w:r>
            <w:r>
              <w:rPr>
                <w:rFonts w:ascii="Arial" w:cs="Arial" w:eastAsia="Arial" w:hAnsi="Arial"/>
                <w:sz w:val="21"/>
                <w:szCs w:val="21"/>
                <w:b w:val="1"/>
                <w:bCs w:val="1"/>
                <w:color w:val="144F82"/>
                <w:vertAlign w:val="superscript"/>
              </w:rPr>
              <w:t>(1)</w:t>
            </w:r>
          </w:p>
        </w:tc>
        <w:tc>
          <w:tcPr>
            <w:tcW w:w="300" w:type="dxa"/>
            <w:vAlign w:val="bottom"/>
            <w:tcBorders>
              <w:bottom w:val="single" w:sz="8" w:color="auto"/>
            </w:tcBorders>
            <w:shd w:val="clear" w:color="auto" w:fill="EDEDEE"/>
          </w:tcPr>
          <w:p>
            <w:pPr>
              <w:spacing w:after="0"/>
              <w:rPr>
                <w:sz w:val="18"/>
                <w:szCs w:val="18"/>
                <w:color w:val="auto"/>
              </w:rPr>
            </w:pPr>
          </w:p>
        </w:tc>
        <w:tc>
          <w:tcPr>
            <w:tcW w:w="1280" w:type="dxa"/>
            <w:vAlign w:val="bottom"/>
            <w:tcBorders>
              <w:bottom w:val="single" w:sz="8" w:color="auto"/>
            </w:tcBorders>
            <w:shd w:val="clear" w:color="auto" w:fill="EDEDEE"/>
          </w:tcPr>
          <w:p>
            <w:pPr>
              <w:jc w:val="right"/>
              <w:ind w:right="180"/>
              <w:spacing w:after="0"/>
              <w:rPr>
                <w:sz w:val="20"/>
                <w:szCs w:val="20"/>
                <w:color w:val="auto"/>
              </w:rPr>
            </w:pPr>
            <w:r>
              <w:rPr>
                <w:rFonts w:ascii="Arial" w:cs="Arial" w:eastAsia="Arial" w:hAnsi="Arial"/>
                <w:sz w:val="16"/>
                <w:szCs w:val="16"/>
                <w:color w:val="auto"/>
              </w:rPr>
              <w:t>23,890</w:t>
            </w:r>
          </w:p>
        </w:tc>
        <w:tc>
          <w:tcPr>
            <w:tcW w:w="460" w:type="dxa"/>
            <w:vAlign w:val="bottom"/>
            <w:tcBorders>
              <w:bottom w:val="single" w:sz="8" w:color="auto"/>
            </w:tcBorders>
            <w:shd w:val="clear" w:color="auto" w:fill="EDEDEE"/>
          </w:tcPr>
          <w:p>
            <w:pPr>
              <w:spacing w:after="0"/>
              <w:rPr>
                <w:sz w:val="18"/>
                <w:szCs w:val="18"/>
                <w:color w:val="auto"/>
              </w:rPr>
            </w:pPr>
          </w:p>
        </w:tc>
        <w:tc>
          <w:tcPr>
            <w:tcW w:w="1120" w:type="dxa"/>
            <w:vAlign w:val="bottom"/>
            <w:tcBorders>
              <w:bottom w:val="single" w:sz="8" w:color="auto"/>
            </w:tcBorders>
            <w:shd w:val="clear" w:color="auto" w:fill="EDEDEE"/>
          </w:tcPr>
          <w:p>
            <w:pPr>
              <w:jc w:val="right"/>
              <w:ind w:right="139"/>
              <w:spacing w:after="0"/>
              <w:rPr>
                <w:sz w:val="20"/>
                <w:szCs w:val="20"/>
                <w:color w:val="auto"/>
              </w:rPr>
            </w:pPr>
            <w:r>
              <w:rPr>
                <w:rFonts w:ascii="Arial" w:cs="Arial" w:eastAsia="Arial" w:hAnsi="Arial"/>
                <w:sz w:val="16"/>
                <w:szCs w:val="16"/>
                <w:color w:val="auto"/>
              </w:rPr>
              <w:t>32,034</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b w:val="1"/>
                <w:bCs w:val="1"/>
                <w:color w:val="144F82"/>
              </w:rPr>
              <w:t>Total allowance for credit losses, ending balance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1,467,605</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1,377,465</w:t>
            </w:r>
          </w:p>
        </w:tc>
        <w:tc>
          <w:tcPr>
            <w:tcW w:w="0" w:type="dxa"/>
            <w:vAlign w:val="bottom"/>
          </w:tcPr>
          <w:p>
            <w:pPr>
              <w:spacing w:after="0"/>
              <w:rPr>
                <w:sz w:val="1"/>
                <w:szCs w:val="1"/>
                <w:color w:val="auto"/>
              </w:rPr>
            </w:pPr>
          </w:p>
        </w:tc>
      </w:tr>
      <w:tr>
        <w:trPr>
          <w:trHeight w:val="20"/>
        </w:trPr>
        <w:tc>
          <w:tcPr>
            <w:tcW w:w="5060" w:type="dxa"/>
            <w:vAlign w:val="bottom"/>
            <w:tcBorders>
              <w:bottom w:val="single" w:sz="8" w:color="EDEDE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EDEDEE"/>
          </w:tcPr>
          <w:p>
            <w:pPr>
              <w:ind w:left="20"/>
              <w:spacing w:after="0" w:line="210" w:lineRule="exact"/>
              <w:rPr>
                <w:sz w:val="20"/>
                <w:szCs w:val="20"/>
                <w:color w:val="auto"/>
              </w:rPr>
            </w:pPr>
            <w:r>
              <w:rPr>
                <w:rFonts w:ascii="Arial" w:cs="Arial" w:eastAsia="Arial" w:hAnsi="Arial"/>
                <w:sz w:val="16"/>
                <w:szCs w:val="16"/>
                <w:color w:val="auto"/>
              </w:rPr>
              <w:t>Total Allowance Percentage of Private Education Loan Exposure</w:t>
            </w:r>
            <w:r>
              <w:rPr>
                <w:rFonts w:ascii="Arial" w:cs="Arial" w:eastAsia="Arial" w:hAnsi="Arial"/>
                <w:sz w:val="21"/>
                <w:szCs w:val="21"/>
                <w:color w:val="auto"/>
                <w:vertAlign w:val="superscript"/>
              </w:rPr>
              <w:t>(5)</w:t>
            </w:r>
          </w:p>
        </w:tc>
        <w:tc>
          <w:tcPr>
            <w:tcW w:w="300" w:type="dxa"/>
            <w:vAlign w:val="bottom"/>
            <w:shd w:val="clear" w:color="auto" w:fill="EDEDEE"/>
          </w:tcPr>
          <w:p>
            <w:pPr>
              <w:spacing w:after="0"/>
              <w:rPr>
                <w:sz w:val="18"/>
                <w:szCs w:val="18"/>
                <w:color w:val="auto"/>
              </w:rPr>
            </w:pPr>
          </w:p>
        </w:tc>
        <w:tc>
          <w:tcPr>
            <w:tcW w:w="12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5.97 %</w:t>
            </w:r>
          </w:p>
        </w:tc>
        <w:tc>
          <w:tcPr>
            <w:tcW w:w="460" w:type="dxa"/>
            <w:vAlign w:val="bottom"/>
            <w:shd w:val="clear" w:color="auto" w:fill="EDEDEE"/>
          </w:tcPr>
          <w:p>
            <w:pPr>
              <w:spacing w:after="0"/>
              <w:rPr>
                <w:sz w:val="18"/>
                <w:szCs w:val="18"/>
                <w:color w:val="auto"/>
              </w:rPr>
            </w:pPr>
          </w:p>
        </w:tc>
        <w:tc>
          <w:tcPr>
            <w:tcW w:w="11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5.99 %</w:t>
            </w: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Allowance for loan losses coverage of net charge-offs (annualized)</w:t>
            </w:r>
          </w:p>
        </w:tc>
        <w:tc>
          <w:tcPr>
            <w:tcW w:w="300" w:type="dxa"/>
            <w:vAlign w:val="bottom"/>
          </w:tcPr>
          <w:p>
            <w:pPr>
              <w:spacing w:after="0"/>
              <w:rPr>
                <w:sz w:val="18"/>
                <w:szCs w:val="18"/>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color w:val="auto"/>
              </w:rPr>
              <w:t>4.74</w:t>
            </w:r>
          </w:p>
        </w:tc>
        <w:tc>
          <w:tcPr>
            <w:tcW w:w="46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63"/>
        </w:trPr>
        <w:tc>
          <w:tcPr>
            <w:tcW w:w="506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Net charge-offs as a percentage of average loans in repayment</w:t>
            </w:r>
          </w:p>
        </w:tc>
        <w:tc>
          <w:tcPr>
            <w:tcW w:w="300" w:type="dxa"/>
            <w:vAlign w:val="bottom"/>
            <w:shd w:val="clear" w:color="auto" w:fill="EDEDEE"/>
          </w:tcPr>
          <w:p>
            <w:pPr>
              <w:spacing w:after="0"/>
              <w:rPr>
                <w:sz w:val="14"/>
                <w:szCs w:val="14"/>
                <w:color w:val="auto"/>
              </w:rPr>
            </w:pPr>
          </w:p>
        </w:tc>
        <w:tc>
          <w:tcPr>
            <w:tcW w:w="128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1.88 %</w:t>
            </w:r>
          </w:p>
        </w:tc>
        <w:tc>
          <w:tcPr>
            <w:tcW w:w="460" w:type="dxa"/>
            <w:vAlign w:val="bottom"/>
            <w:shd w:val="clear" w:color="auto" w:fill="EDEDEE"/>
          </w:tcPr>
          <w:p>
            <w:pPr>
              <w:spacing w:after="0"/>
              <w:rPr>
                <w:sz w:val="14"/>
                <w:szCs w:val="14"/>
                <w:color w:val="auto"/>
              </w:rPr>
            </w:pPr>
          </w:p>
        </w:tc>
        <w:tc>
          <w:tcPr>
            <w:tcW w:w="112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2.14 %</w:t>
            </w:r>
          </w:p>
        </w:tc>
        <w:tc>
          <w:tcPr>
            <w:tcW w:w="0" w:type="dxa"/>
            <w:vAlign w:val="bottom"/>
          </w:tcPr>
          <w:p>
            <w:pPr>
              <w:spacing w:after="0"/>
              <w:rPr>
                <w:sz w:val="1"/>
                <w:szCs w:val="1"/>
                <w:color w:val="auto"/>
              </w:rPr>
            </w:pPr>
          </w:p>
        </w:tc>
      </w:tr>
      <w:tr>
        <w:trPr>
          <w:trHeight w:val="216"/>
        </w:trPr>
        <w:tc>
          <w:tcPr>
            <w:tcW w:w="5060" w:type="dxa"/>
            <w:vAlign w:val="bottom"/>
            <w:shd w:val="clear" w:color="auto" w:fill="EDEDEE"/>
          </w:tcPr>
          <w:p>
            <w:pPr>
              <w:ind w:left="20"/>
              <w:spacing w:after="0" w:line="216" w:lineRule="exact"/>
              <w:rPr>
                <w:sz w:val="20"/>
                <w:szCs w:val="20"/>
                <w:color w:val="auto"/>
              </w:rPr>
            </w:pPr>
            <w:r>
              <w:rPr>
                <w:rFonts w:ascii="Arial" w:cs="Arial" w:eastAsia="Arial" w:hAnsi="Arial"/>
                <w:sz w:val="16"/>
                <w:szCs w:val="16"/>
                <w:color w:val="auto"/>
              </w:rPr>
              <w:t>(annualized)</w:t>
            </w:r>
            <w:r>
              <w:rPr>
                <w:rFonts w:ascii="Arial" w:cs="Arial" w:eastAsia="Arial" w:hAnsi="Arial"/>
                <w:sz w:val="21"/>
                <w:szCs w:val="21"/>
                <w:color w:val="auto"/>
                <w:vertAlign w:val="superscript"/>
              </w:rPr>
              <w:t>(4)</w:t>
            </w:r>
          </w:p>
        </w:tc>
        <w:tc>
          <w:tcPr>
            <w:tcW w:w="300" w:type="dxa"/>
            <w:vAlign w:val="bottom"/>
            <w:shd w:val="clear" w:color="auto" w:fill="EDEDEE"/>
          </w:tcPr>
          <w:p>
            <w:pPr>
              <w:spacing w:after="0"/>
              <w:rPr>
                <w:sz w:val="18"/>
                <w:szCs w:val="18"/>
                <w:color w:val="auto"/>
              </w:rPr>
            </w:pPr>
          </w:p>
        </w:tc>
        <w:tc>
          <w:tcPr>
            <w:tcW w:w="1280" w:type="dxa"/>
            <w:vAlign w:val="bottom"/>
            <w:vMerge w:val="continue"/>
            <w:shd w:val="clear" w:color="auto" w:fill="EDEDEE"/>
          </w:tcPr>
          <w:p>
            <w:pPr>
              <w:spacing w:after="0"/>
              <w:rPr>
                <w:sz w:val="18"/>
                <w:szCs w:val="18"/>
                <w:color w:val="auto"/>
              </w:rPr>
            </w:pPr>
          </w:p>
        </w:tc>
        <w:tc>
          <w:tcPr>
            <w:tcW w:w="460" w:type="dxa"/>
            <w:vAlign w:val="bottom"/>
            <w:shd w:val="clear" w:color="auto" w:fill="EDEDEE"/>
          </w:tcPr>
          <w:p>
            <w:pPr>
              <w:spacing w:after="0"/>
              <w:rPr>
                <w:sz w:val="18"/>
                <w:szCs w:val="18"/>
                <w:color w:val="auto"/>
              </w:rPr>
            </w:pPr>
          </w:p>
        </w:tc>
        <w:tc>
          <w:tcPr>
            <w:tcW w:w="112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Delinquencies as a percentage of ending loans in repayment</w:t>
            </w:r>
            <w:r>
              <w:rPr>
                <w:rFonts w:ascii="Arial" w:cs="Arial" w:eastAsia="Arial" w:hAnsi="Arial"/>
                <w:sz w:val="21"/>
                <w:szCs w:val="21"/>
                <w:color w:val="auto"/>
                <w:vertAlign w:val="superscript"/>
              </w:rPr>
              <w:t>(4)</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3.58 %</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3.41 %</w:t>
            </w:r>
          </w:p>
        </w:tc>
        <w:tc>
          <w:tcPr>
            <w:tcW w:w="0" w:type="dxa"/>
            <w:vAlign w:val="bottom"/>
          </w:tcPr>
          <w:p>
            <w:pPr>
              <w:spacing w:after="0"/>
              <w:rPr>
                <w:sz w:val="1"/>
                <w:szCs w:val="1"/>
                <w:color w:val="auto"/>
              </w:rPr>
            </w:pPr>
          </w:p>
        </w:tc>
      </w:tr>
      <w:tr>
        <w:trPr>
          <w:trHeight w:val="162"/>
        </w:trPr>
        <w:tc>
          <w:tcPr>
            <w:tcW w:w="5060" w:type="dxa"/>
            <w:vAlign w:val="bottom"/>
            <w:shd w:val="clear" w:color="auto" w:fill="EDEDEE"/>
          </w:tcPr>
          <w:p>
            <w:pPr>
              <w:ind w:left="20"/>
              <w:spacing w:after="0" w:line="162" w:lineRule="exact"/>
              <w:rPr>
                <w:sz w:val="20"/>
                <w:szCs w:val="20"/>
                <w:color w:val="auto"/>
              </w:rPr>
            </w:pPr>
            <w:r>
              <w:rPr>
                <w:rFonts w:ascii="Arial" w:cs="Arial" w:eastAsia="Arial" w:hAnsi="Arial"/>
                <w:sz w:val="16"/>
                <w:szCs w:val="16"/>
                <w:color w:val="auto"/>
              </w:rPr>
              <w:t>Loans in forbearance as a percentage of ending loans in repayment</w:t>
            </w:r>
          </w:p>
        </w:tc>
        <w:tc>
          <w:tcPr>
            <w:tcW w:w="300" w:type="dxa"/>
            <w:vAlign w:val="bottom"/>
            <w:shd w:val="clear" w:color="auto" w:fill="EDEDEE"/>
          </w:tcPr>
          <w:p>
            <w:pPr>
              <w:spacing w:after="0"/>
              <w:rPr>
                <w:sz w:val="14"/>
                <w:szCs w:val="14"/>
                <w:color w:val="auto"/>
              </w:rPr>
            </w:pPr>
          </w:p>
        </w:tc>
        <w:tc>
          <w:tcPr>
            <w:tcW w:w="128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2.84 %</w:t>
            </w:r>
          </w:p>
        </w:tc>
        <w:tc>
          <w:tcPr>
            <w:tcW w:w="460" w:type="dxa"/>
            <w:vAlign w:val="bottom"/>
            <w:shd w:val="clear" w:color="auto" w:fill="EDEDEE"/>
          </w:tcPr>
          <w:p>
            <w:pPr>
              <w:spacing w:after="0"/>
              <w:rPr>
                <w:sz w:val="14"/>
                <w:szCs w:val="14"/>
                <w:color w:val="auto"/>
              </w:rPr>
            </w:pPr>
          </w:p>
        </w:tc>
        <w:tc>
          <w:tcPr>
            <w:tcW w:w="112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2.53 %</w:t>
            </w:r>
          </w:p>
        </w:tc>
        <w:tc>
          <w:tcPr>
            <w:tcW w:w="0" w:type="dxa"/>
            <w:vAlign w:val="bottom"/>
          </w:tcPr>
          <w:p>
            <w:pPr>
              <w:spacing w:after="0"/>
              <w:rPr>
                <w:sz w:val="1"/>
                <w:szCs w:val="1"/>
                <w:color w:val="auto"/>
              </w:rPr>
            </w:pPr>
          </w:p>
        </w:tc>
      </w:tr>
      <w:tr>
        <w:trPr>
          <w:trHeight w:val="216"/>
        </w:trPr>
        <w:tc>
          <w:tcPr>
            <w:tcW w:w="5060" w:type="dxa"/>
            <w:vAlign w:val="bottom"/>
            <w:shd w:val="clear" w:color="auto" w:fill="EDEDEE"/>
          </w:tcPr>
          <w:p>
            <w:pPr>
              <w:ind w:left="20"/>
              <w:spacing w:after="0" w:line="216" w:lineRule="exact"/>
              <w:rPr>
                <w:sz w:val="20"/>
                <w:szCs w:val="20"/>
                <w:color w:val="auto"/>
              </w:rPr>
            </w:pPr>
            <w:r>
              <w:rPr>
                <w:rFonts w:ascii="Arial" w:cs="Arial" w:eastAsia="Arial" w:hAnsi="Arial"/>
                <w:sz w:val="16"/>
                <w:szCs w:val="16"/>
                <w:color w:val="auto"/>
              </w:rPr>
              <w:t>and forbearance</w:t>
            </w:r>
            <w:r>
              <w:rPr>
                <w:rFonts w:ascii="Arial" w:cs="Arial" w:eastAsia="Arial" w:hAnsi="Arial"/>
                <w:sz w:val="21"/>
                <w:szCs w:val="21"/>
                <w:color w:val="auto"/>
                <w:vertAlign w:val="superscript"/>
              </w:rPr>
              <w:t>(4)</w:t>
            </w:r>
          </w:p>
        </w:tc>
        <w:tc>
          <w:tcPr>
            <w:tcW w:w="300" w:type="dxa"/>
            <w:vAlign w:val="bottom"/>
            <w:shd w:val="clear" w:color="auto" w:fill="EDEDEE"/>
          </w:tcPr>
          <w:p>
            <w:pPr>
              <w:spacing w:after="0"/>
              <w:rPr>
                <w:sz w:val="18"/>
                <w:szCs w:val="18"/>
                <w:color w:val="auto"/>
              </w:rPr>
            </w:pPr>
          </w:p>
        </w:tc>
        <w:tc>
          <w:tcPr>
            <w:tcW w:w="1280" w:type="dxa"/>
            <w:vAlign w:val="bottom"/>
            <w:vMerge w:val="continue"/>
            <w:shd w:val="clear" w:color="auto" w:fill="EDEDEE"/>
          </w:tcPr>
          <w:p>
            <w:pPr>
              <w:spacing w:after="0"/>
              <w:rPr>
                <w:sz w:val="18"/>
                <w:szCs w:val="18"/>
                <w:color w:val="auto"/>
              </w:rPr>
            </w:pPr>
          </w:p>
        </w:tc>
        <w:tc>
          <w:tcPr>
            <w:tcW w:w="460" w:type="dxa"/>
            <w:vAlign w:val="bottom"/>
            <w:shd w:val="clear" w:color="auto" w:fill="EDEDEE"/>
          </w:tcPr>
          <w:p>
            <w:pPr>
              <w:spacing w:after="0"/>
              <w:rPr>
                <w:sz w:val="18"/>
                <w:szCs w:val="18"/>
                <w:color w:val="auto"/>
              </w:rPr>
            </w:pPr>
          </w:p>
        </w:tc>
        <w:tc>
          <w:tcPr>
            <w:tcW w:w="112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Ending total loans, gross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80"/>
              <w:spacing w:after="0"/>
              <w:rPr>
                <w:sz w:val="20"/>
                <w:szCs w:val="20"/>
                <w:color w:val="auto"/>
              </w:rPr>
            </w:pPr>
            <w:r>
              <w:rPr>
                <w:rFonts w:ascii="Arial" w:cs="Arial" w:eastAsia="Arial" w:hAnsi="Arial"/>
                <w:sz w:val="16"/>
                <w:szCs w:val="16"/>
                <w:color w:val="auto"/>
              </w:rPr>
              <w:t>22,432,125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20,952,346</w:t>
            </w:r>
          </w:p>
        </w:tc>
        <w:tc>
          <w:tcPr>
            <w:tcW w:w="0" w:type="dxa"/>
            <w:vAlign w:val="bottom"/>
          </w:tcPr>
          <w:p>
            <w:pPr>
              <w:spacing w:after="0"/>
              <w:rPr>
                <w:sz w:val="1"/>
                <w:szCs w:val="1"/>
                <w:color w:val="auto"/>
              </w:rPr>
            </w:pPr>
          </w:p>
        </w:tc>
      </w:tr>
      <w:tr>
        <w:trPr>
          <w:trHeight w:val="217"/>
        </w:trPr>
        <w:tc>
          <w:tcPr>
            <w:tcW w:w="5060" w:type="dxa"/>
            <w:vAlign w:val="bottom"/>
            <w:shd w:val="clear" w:color="auto" w:fill="EDEDEE"/>
          </w:tcPr>
          <w:p>
            <w:pPr>
              <w:ind w:left="20"/>
              <w:spacing w:after="0" w:line="217" w:lineRule="exact"/>
              <w:rPr>
                <w:sz w:val="20"/>
                <w:szCs w:val="20"/>
                <w:color w:val="auto"/>
              </w:rPr>
            </w:pPr>
            <w:r>
              <w:rPr>
                <w:rFonts w:ascii="Arial" w:cs="Arial" w:eastAsia="Arial" w:hAnsi="Arial"/>
                <w:sz w:val="16"/>
                <w:szCs w:val="16"/>
                <w:color w:val="auto"/>
              </w:rPr>
              <w:t>Average loans in repayment</w:t>
            </w:r>
            <w:r>
              <w:rPr>
                <w:rFonts w:ascii="Arial" w:cs="Arial" w:eastAsia="Arial" w:hAnsi="Arial"/>
                <w:sz w:val="21"/>
                <w:szCs w:val="21"/>
                <w:color w:val="auto"/>
                <w:vertAlign w:val="superscript"/>
              </w:rPr>
              <w:t>(4)</w:t>
            </w:r>
          </w:p>
        </w:tc>
        <w:tc>
          <w:tcPr>
            <w:tcW w:w="30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jc w:val="right"/>
              <w:ind w:right="180"/>
              <w:spacing w:after="0"/>
              <w:rPr>
                <w:sz w:val="20"/>
                <w:szCs w:val="20"/>
                <w:color w:val="auto"/>
              </w:rPr>
            </w:pPr>
            <w:r>
              <w:rPr>
                <w:rFonts w:ascii="Arial" w:cs="Arial" w:eastAsia="Arial" w:hAnsi="Arial"/>
                <w:sz w:val="16"/>
                <w:szCs w:val="16"/>
                <w:color w:val="auto"/>
              </w:rPr>
              <w:t>16,240,511</w:t>
            </w:r>
          </w:p>
        </w:tc>
        <w:tc>
          <w:tcPr>
            <w:tcW w:w="460" w:type="dxa"/>
            <w:vAlign w:val="bottom"/>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DEE"/>
          </w:tcPr>
          <w:p>
            <w:pPr>
              <w:jc w:val="right"/>
              <w:ind w:right="139"/>
              <w:spacing w:after="0"/>
              <w:rPr>
                <w:sz w:val="20"/>
                <w:szCs w:val="20"/>
                <w:color w:val="auto"/>
              </w:rPr>
            </w:pPr>
            <w:r>
              <w:rPr>
                <w:rFonts w:ascii="Arial" w:cs="Arial" w:eastAsia="Arial" w:hAnsi="Arial"/>
                <w:sz w:val="16"/>
                <w:szCs w:val="16"/>
                <w:color w:val="auto"/>
              </w:rPr>
              <w:t>15,407,495</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Ending loans in repayment</w:t>
            </w:r>
            <w:r>
              <w:rPr>
                <w:rFonts w:ascii="Arial" w:cs="Arial" w:eastAsia="Arial" w:hAnsi="Arial"/>
                <w:sz w:val="21"/>
                <w:szCs w:val="21"/>
                <w:color w:val="auto"/>
                <w:vertAlign w:val="superscript"/>
              </w:rPr>
              <w:t>(4)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80"/>
              <w:spacing w:after="0"/>
              <w:rPr>
                <w:sz w:val="20"/>
                <w:szCs w:val="20"/>
                <w:color w:val="auto"/>
              </w:rPr>
            </w:pPr>
            <w:r>
              <w:rPr>
                <w:rFonts w:ascii="Arial" w:cs="Arial" w:eastAsia="Arial" w:hAnsi="Arial"/>
                <w:sz w:val="16"/>
                <w:szCs w:val="16"/>
                <w:color w:val="auto"/>
              </w:rPr>
              <w:t>15,903,797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14,961,692</w:t>
            </w:r>
          </w:p>
        </w:tc>
        <w:tc>
          <w:tcPr>
            <w:tcW w:w="0" w:type="dxa"/>
            <w:vAlign w:val="bottom"/>
          </w:tcPr>
          <w:p>
            <w:pPr>
              <w:spacing w:after="0"/>
              <w:rPr>
                <w:sz w:val="1"/>
                <w:szCs w:val="1"/>
                <w:color w:val="auto"/>
              </w:rPr>
            </w:pPr>
          </w:p>
        </w:tc>
      </w:tr>
      <w:tr>
        <w:trPr>
          <w:trHeight w:val="216"/>
        </w:trPr>
        <w:tc>
          <w:tcPr>
            <w:tcW w:w="5060" w:type="dxa"/>
            <w:vAlign w:val="bottom"/>
            <w:shd w:val="clear" w:color="auto" w:fill="EDEDEE"/>
          </w:tcPr>
          <w:p>
            <w:pPr>
              <w:ind w:left="20"/>
              <w:spacing w:after="0"/>
              <w:rPr>
                <w:sz w:val="20"/>
                <w:szCs w:val="20"/>
                <w:color w:val="auto"/>
              </w:rPr>
            </w:pPr>
            <w:r>
              <w:rPr>
                <w:rFonts w:ascii="Arial" w:cs="Arial" w:eastAsia="Arial" w:hAnsi="Arial"/>
                <w:sz w:val="16"/>
                <w:szCs w:val="16"/>
                <w:color w:val="auto"/>
              </w:rPr>
              <w:t>Unfunded loan commitments</w:t>
            </w:r>
          </w:p>
        </w:tc>
        <w:tc>
          <w:tcPr>
            <w:tcW w:w="30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jc w:val="right"/>
              <w:ind w:right="180"/>
              <w:spacing w:after="0"/>
              <w:rPr>
                <w:sz w:val="20"/>
                <w:szCs w:val="20"/>
                <w:color w:val="auto"/>
              </w:rPr>
            </w:pPr>
            <w:r>
              <w:rPr>
                <w:rFonts w:ascii="Arial" w:cs="Arial" w:eastAsia="Arial" w:hAnsi="Arial"/>
                <w:sz w:val="16"/>
                <w:szCs w:val="16"/>
                <w:color w:val="auto"/>
              </w:rPr>
              <w:t>584,140</w:t>
            </w:r>
          </w:p>
        </w:tc>
        <w:tc>
          <w:tcPr>
            <w:tcW w:w="460" w:type="dxa"/>
            <w:vAlign w:val="bottom"/>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DEE"/>
          </w:tcPr>
          <w:p>
            <w:pPr>
              <w:jc w:val="right"/>
              <w:ind w:right="139"/>
              <w:spacing w:after="0"/>
              <w:rPr>
                <w:sz w:val="20"/>
                <w:szCs w:val="20"/>
                <w:color w:val="auto"/>
              </w:rPr>
            </w:pPr>
            <w:r>
              <w:rPr>
                <w:rFonts w:ascii="Arial" w:cs="Arial" w:eastAsia="Arial" w:hAnsi="Arial"/>
                <w:sz w:val="16"/>
                <w:szCs w:val="16"/>
                <w:color w:val="auto"/>
              </w:rPr>
              <w:t>673,492</w:t>
            </w: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Total accrued interest receivable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80"/>
              <w:spacing w:after="0"/>
              <w:rPr>
                <w:sz w:val="20"/>
                <w:szCs w:val="20"/>
                <w:color w:val="auto"/>
              </w:rPr>
            </w:pPr>
            <w:r>
              <w:rPr>
                <w:rFonts w:ascii="Arial" w:cs="Arial" w:eastAsia="Arial" w:hAnsi="Arial"/>
                <w:sz w:val="16"/>
                <w:szCs w:val="16"/>
                <w:color w:val="auto"/>
              </w:rPr>
              <w:t>1,558,465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1,357,987</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540" w:right="1380" w:hanging="155"/>
        <w:spacing w:after="0" w:line="280" w:lineRule="auto"/>
        <w:tabs>
          <w:tab w:leader="none" w:pos="1500" w:val="left"/>
        </w:tabs>
        <w:numPr>
          <w:ilvl w:val="0"/>
          <w:numId w:val="63"/>
        </w:numPr>
        <w:rPr>
          <w:rFonts w:ascii="Arial" w:cs="Arial" w:eastAsia="Arial" w:hAnsi="Arial"/>
          <w:sz w:val="14"/>
          <w:szCs w:val="14"/>
          <w:color w:val="auto"/>
          <w:vertAlign w:val="superscript"/>
        </w:rPr>
      </w:pPr>
      <w:r>
        <w:rPr>
          <w:rFonts w:ascii="Arial" w:cs="Arial" w:eastAsia="Arial" w:hAnsi="Arial"/>
          <w:sz w:val="11"/>
          <w:szCs w:val="11"/>
          <w:color w:val="auto"/>
        </w:rPr>
        <w:t>When a new loan commitment is made, we record an allowance to cover lifetime expected credit losses on the unfunded commitments, which is recorded in “Other Liabilities” on the consolidated balance sheet. See Note 4, “Allowance for Credit Losses and Unfunded Loan Commitments” in this Form 10-Q for a summary of the activity in the allowance for and balance of unfunded loan commitments.</w:t>
      </w:r>
    </w:p>
    <w:p>
      <w:pPr>
        <w:spacing w:after="0" w:line="83" w:lineRule="exact"/>
        <w:rPr>
          <w:rFonts w:ascii="Arial" w:cs="Arial" w:eastAsia="Arial" w:hAnsi="Arial"/>
          <w:sz w:val="14"/>
          <w:szCs w:val="14"/>
          <w:color w:val="auto"/>
          <w:vertAlign w:val="superscript"/>
        </w:rPr>
      </w:pPr>
    </w:p>
    <w:p>
      <w:pPr>
        <w:ind w:left="1540" w:right="1280" w:hanging="155"/>
        <w:spacing w:after="0" w:line="380" w:lineRule="auto"/>
        <w:tabs>
          <w:tab w:leader="none" w:pos="1500" w:val="left"/>
        </w:tabs>
        <w:numPr>
          <w:ilvl w:val="0"/>
          <w:numId w:val="63"/>
        </w:numPr>
        <w:rPr>
          <w:rFonts w:ascii="Arial" w:cs="Arial" w:eastAsia="Arial" w:hAnsi="Arial"/>
          <w:sz w:val="14"/>
          <w:szCs w:val="14"/>
          <w:color w:val="auto"/>
          <w:vertAlign w:val="superscript"/>
        </w:rPr>
      </w:pPr>
      <w:r>
        <w:rPr>
          <w:rFonts w:ascii="Arial" w:cs="Arial" w:eastAsia="Arial" w:hAnsi="Arial"/>
          <w:sz w:val="11"/>
          <w:szCs w:val="11"/>
          <w:color w:val="auto"/>
        </w:rPr>
        <w:t>See “</w:t>
      </w:r>
      <w:r>
        <w:rPr>
          <w:rFonts w:ascii="Arial" w:cs="Arial" w:eastAsia="Arial" w:hAnsi="Arial"/>
          <w:sz w:val="15"/>
          <w:szCs w:val="15"/>
          <w:color w:val="auto"/>
        </w:rPr>
        <w:t>—</w:t>
      </w:r>
      <w:r>
        <w:rPr>
          <w:rFonts w:ascii="Arial" w:cs="Arial" w:eastAsia="Arial" w:hAnsi="Arial"/>
          <w:sz w:val="11"/>
          <w:szCs w:val="11"/>
          <w:color w:val="auto"/>
        </w:rPr>
        <w:t xml:space="preserve">Financial Condition </w:t>
      </w:r>
      <w:r>
        <w:rPr>
          <w:rFonts w:ascii="Arial" w:cs="Arial" w:eastAsia="Arial" w:hAnsi="Arial"/>
          <w:sz w:val="15"/>
          <w:szCs w:val="15"/>
          <w:color w:val="auto"/>
        </w:rPr>
        <w:t>—</w:t>
      </w:r>
      <w:r>
        <w:rPr>
          <w:rFonts w:ascii="Arial" w:cs="Arial" w:eastAsia="Arial" w:hAnsi="Arial"/>
          <w:sz w:val="11"/>
          <w:szCs w:val="11"/>
          <w:color w:val="auto"/>
        </w:rPr>
        <w:t xml:space="preserve"> Allowance for Credit Losses </w:t>
      </w:r>
      <w:r>
        <w:rPr>
          <w:rFonts w:ascii="Arial" w:cs="Arial" w:eastAsia="Arial" w:hAnsi="Arial"/>
          <w:sz w:val="15"/>
          <w:szCs w:val="15"/>
          <w:color w:val="auto"/>
        </w:rPr>
        <w:t>—</w:t>
      </w:r>
      <w:r>
        <w:rPr>
          <w:rFonts w:ascii="Arial" w:cs="Arial" w:eastAsia="Arial" w:hAnsi="Arial"/>
          <w:sz w:val="11"/>
          <w:szCs w:val="11"/>
          <w:color w:val="auto"/>
        </w:rPr>
        <w:t xml:space="preserve"> Provision for Credit Losses” in this Item 2 for a reconciliation of the provisions for credit losses reported in the consolidated statements of income.</w:t>
      </w:r>
    </w:p>
    <w:p>
      <w:pPr>
        <w:ind w:left="1500" w:hanging="115"/>
        <w:spacing w:after="0"/>
        <w:tabs>
          <w:tab w:leader="none" w:pos="1500" w:val="left"/>
        </w:tabs>
        <w:numPr>
          <w:ilvl w:val="0"/>
          <w:numId w:val="63"/>
        </w:numPr>
        <w:rPr>
          <w:rFonts w:ascii="Arial" w:cs="Arial" w:eastAsia="Arial" w:hAnsi="Arial"/>
          <w:sz w:val="14"/>
          <w:szCs w:val="14"/>
          <w:color w:val="auto"/>
          <w:vertAlign w:val="superscript"/>
        </w:rPr>
      </w:pPr>
      <w:r>
        <w:rPr>
          <w:rFonts w:ascii="Arial" w:cs="Arial" w:eastAsia="Arial" w:hAnsi="Arial"/>
          <w:sz w:val="11"/>
          <w:szCs w:val="11"/>
          <w:color w:val="auto"/>
        </w:rPr>
        <w:t>Includes incremental provision for new commitments and changes to provision for existing commitments.</w:t>
      </w:r>
    </w:p>
    <w:p>
      <w:pPr>
        <w:spacing w:after="0" w:line="95" w:lineRule="exact"/>
        <w:rPr>
          <w:rFonts w:ascii="Arial" w:cs="Arial" w:eastAsia="Arial" w:hAnsi="Arial"/>
          <w:sz w:val="14"/>
          <w:szCs w:val="14"/>
          <w:color w:val="auto"/>
          <w:vertAlign w:val="superscript"/>
        </w:rPr>
      </w:pPr>
    </w:p>
    <w:p>
      <w:pPr>
        <w:ind w:left="1540" w:right="1380" w:hanging="155"/>
        <w:spacing w:after="0" w:line="291" w:lineRule="auto"/>
        <w:tabs>
          <w:tab w:leader="none" w:pos="1500" w:val="left"/>
        </w:tabs>
        <w:numPr>
          <w:ilvl w:val="0"/>
          <w:numId w:val="63"/>
        </w:numPr>
        <w:rPr>
          <w:rFonts w:ascii="Arial" w:cs="Arial" w:eastAsia="Arial" w:hAnsi="Arial"/>
          <w:sz w:val="14"/>
          <w:szCs w:val="14"/>
          <w:color w:val="auto"/>
          <w:vertAlign w:val="superscript"/>
        </w:rPr>
      </w:pPr>
      <w:r>
        <w:rPr>
          <w:rFonts w:ascii="Arial" w:cs="Arial" w:eastAsia="Arial" w:hAnsi="Arial"/>
          <w:sz w:val="11"/>
          <w:szCs w:val="11"/>
          <w:color w:val="auto"/>
        </w:rPr>
        <w:t>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w:t>
      </w:r>
    </w:p>
    <w:p>
      <w:pPr>
        <w:spacing w:after="0" w:line="56" w:lineRule="exact"/>
        <w:rPr>
          <w:rFonts w:ascii="Arial" w:cs="Arial" w:eastAsia="Arial" w:hAnsi="Arial"/>
          <w:sz w:val="14"/>
          <w:szCs w:val="14"/>
          <w:color w:val="auto"/>
          <w:vertAlign w:val="superscript"/>
        </w:rPr>
      </w:pPr>
    </w:p>
    <w:p>
      <w:pPr>
        <w:ind w:left="1540" w:right="1380" w:hanging="155"/>
        <w:spacing w:after="0" w:line="316" w:lineRule="auto"/>
        <w:tabs>
          <w:tab w:leader="none" w:pos="1500" w:val="left"/>
        </w:tabs>
        <w:numPr>
          <w:ilvl w:val="0"/>
          <w:numId w:val="63"/>
        </w:numPr>
        <w:rPr>
          <w:rFonts w:ascii="Arial" w:cs="Arial" w:eastAsia="Arial" w:hAnsi="Arial"/>
          <w:sz w:val="14"/>
          <w:szCs w:val="14"/>
          <w:color w:val="auto"/>
          <w:vertAlign w:val="superscript"/>
        </w:rPr>
      </w:pPr>
      <w:r>
        <w:rPr>
          <w:rFonts w:ascii="Arial" w:cs="Arial" w:eastAsia="Arial" w:hAnsi="Arial"/>
          <w:sz w:val="11"/>
          <w:szCs w:val="11"/>
          <w:color w:val="auto"/>
        </w:rPr>
        <w:t>The Total Allowance Percentage of Private Education Loan Exposure is the total allowance for credit losses as a percentage of ending total loans plus unfunded loan commitments and total accrued interest receivable on Private Education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60" w:name="page61"/>
    <w:bookmarkEnd w:id="60"/>
    <w:p>
      <w:pPr>
        <w:ind w:right="660" w:firstLine="445"/>
        <w:spacing w:after="0" w:line="268" w:lineRule="auto"/>
        <w:rPr>
          <w:sz w:val="20"/>
          <w:szCs w:val="20"/>
          <w:color w:val="auto"/>
        </w:rPr>
      </w:pPr>
      <w:r>
        <w:rPr>
          <w:rFonts w:ascii="Arial" w:cs="Arial" w:eastAsia="Arial" w:hAnsi="Arial"/>
          <w:sz w:val="18"/>
          <w:szCs w:val="18"/>
          <w:color w:val="auto"/>
        </w:rPr>
        <w:t>As part of concluding on the adequacy of the allowance for credit losses, we review key allowance and loan metrics. The most significant of these metrics considered are the allowance coverage of net charge-offs ratio; the Total Allowance Percentage of Private Education Loan Exposure; and delinquency and forbearance percentages.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Forbearance and Rate Modifications as a Private Education Loan Collection Tool</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recent years, we have made significant changes to our credit administration practices, enhancing our loss mitigation programs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both our forbearance and loan modification offerings. We adjust the terms of loans for certain borrowers when we believe such changes will help our borrowers manage their student loan obligations and achieve better student outcomes, and increase the collectability of the loans. These changes generally take the form of a temporary forbearance of payments, a temporary or permanent interest rate reduction, a temporary or permanent interest rate reduction with a permanent extension of the loan term, and/or a short-term extended repayment or interest-only alternative.</w:t>
      </w:r>
    </w:p>
    <w:p>
      <w:pPr>
        <w:spacing w:after="0" w:line="71" w:lineRule="exact"/>
        <w:rPr>
          <w:sz w:val="20"/>
          <w:szCs w:val="20"/>
          <w:color w:val="auto"/>
        </w:rPr>
      </w:pPr>
    </w:p>
    <w:p>
      <w:pPr>
        <w:ind w:right="680" w:firstLine="445"/>
        <w:spacing w:after="0" w:line="287" w:lineRule="auto"/>
        <w:rPr>
          <w:sz w:val="20"/>
          <w:szCs w:val="20"/>
          <w:color w:val="auto"/>
        </w:rPr>
      </w:pPr>
      <w:r>
        <w:rPr>
          <w:rFonts w:ascii="Arial" w:cs="Arial" w:eastAsia="Arial" w:hAnsi="Arial"/>
          <w:sz w:val="18"/>
          <w:szCs w:val="18"/>
          <w:color w:val="auto"/>
        </w:rPr>
        <w:t>We continually monitor our credit administration practices and modify them from time to time based upon performance, industry conventions, and/or regulatory feedback.</w:t>
      </w:r>
    </w:p>
    <w:p>
      <w:pPr>
        <w:spacing w:after="0" w:line="1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See Note 4, “Allowance for Credit Losses and Unfunded Commitments — Loan Modifications to Borrowers Experiencing Financial Difficulty” in this Form 10-Q for additional information regarding loan modifications to borrowers experiencing financial difficulty. As discussed therein, our forbearance programs are not considered loan modifications to borrowers experiencing financial difficulty because they are either short-term in nature, and therefore do not provide a significant concession to the borrower, or they are provided for reasons other than financial difficulty being experienced by the borrower.</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Forbearance</w:t>
      </w:r>
    </w:p>
    <w:p>
      <w:pPr>
        <w:spacing w:after="0" w:line="115"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Forbearance allows a borrower to not make scheduled payments for a specified period of time. Our forbearance policies and practices vary depending upon whether a borrower is current or delinquent at the time forbearance is requested, generally with stricter requirements for delinquent borrowers. Using forbearance extends the original term of the loan by the term of forbearance taken. Forbearance does not grant any reduction in the total principal or interest repayment obligation. While a loan is in forbearance status, interest continues to accrue and is capitalized (added to principal) at the end of the forbearance. Interest will not capitalize at the end of certain types of forbearance, such as disaster forbearance, however.</w:t>
      </w:r>
    </w:p>
    <w:p>
      <w:pPr>
        <w:spacing w:after="0" w:line="74" w:lineRule="exact"/>
        <w:rPr>
          <w:sz w:val="20"/>
          <w:szCs w:val="20"/>
          <w:color w:val="auto"/>
        </w:rPr>
      </w:pPr>
    </w:p>
    <w:p>
      <w:pPr>
        <w:jc w:val="both"/>
        <w:ind w:right="320" w:firstLine="445"/>
        <w:spacing w:after="0" w:line="268" w:lineRule="auto"/>
        <w:rPr>
          <w:sz w:val="20"/>
          <w:szCs w:val="20"/>
          <w:color w:val="auto"/>
        </w:rPr>
      </w:pPr>
      <w:r>
        <w:rPr>
          <w:rFonts w:ascii="Arial" w:cs="Arial" w:eastAsia="Arial" w:hAnsi="Arial"/>
          <w:sz w:val="18"/>
          <w:szCs w:val="18"/>
          <w:color w:val="auto"/>
        </w:rPr>
        <w:t>During the first six months following a borrower’s grace period, the borrower may be eligible for extended grace forbearance, which provides temporary payment relief to give the borrower additional time to be in a position to make regular principal and interest payments. We do not consider borrowers who are eligible for extended grace to be experiencing financial difficulty.</w:t>
      </w:r>
    </w:p>
    <w:p>
      <w:pPr>
        <w:spacing w:after="0" w:line="63" w:lineRule="exact"/>
        <w:rPr>
          <w:sz w:val="20"/>
          <w:szCs w:val="20"/>
          <w:color w:val="auto"/>
        </w:rPr>
      </w:pPr>
    </w:p>
    <w:p>
      <w:pPr>
        <w:ind w:right="60" w:firstLine="445"/>
        <w:spacing w:after="0" w:line="273" w:lineRule="auto"/>
        <w:rPr>
          <w:sz w:val="20"/>
          <w:szCs w:val="20"/>
          <w:color w:val="auto"/>
        </w:rPr>
      </w:pPr>
      <w:r>
        <w:rPr>
          <w:rFonts w:ascii="Arial" w:cs="Arial" w:eastAsia="Arial" w:hAnsi="Arial"/>
          <w:sz w:val="18"/>
          <w:szCs w:val="18"/>
          <w:color w:val="auto"/>
        </w:rPr>
        <w:t>Hardship forbearance may be granted in order to provide temporary payment relief to borrowers who are either current in their payments but demonstrate a need for relief, or who are delinquent in their payments but demonstrate an ability and willingness to repay their</w:t>
      </w:r>
    </w:p>
    <w:p>
      <w:pPr>
        <w:spacing w:after="0" w:line="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obligation. In these circumstances, a borrower’s loan is placed into a forbearance status in limited monthly increments and is reflected in the forbearance status at month-end during this time. At the end of the forbearance period, for borrowers who were current when they entered forbearance, or those who were delinquent but met specific payment requirements curing their delinquency, the borrower will enter repayment status as current. In all instances, the borrowers are expected to begin making scheduled monthly payments at the end of their</w:t>
      </w:r>
    </w:p>
    <w:p>
      <w:pPr>
        <w:spacing w:after="0" w:line="1" w:lineRule="exact"/>
        <w:rPr>
          <w:sz w:val="20"/>
          <w:szCs w:val="20"/>
          <w:color w:val="auto"/>
        </w:rPr>
      </w:pPr>
    </w:p>
    <w:p>
      <w:pPr>
        <w:ind w:right="980"/>
        <w:spacing w:after="0" w:line="303" w:lineRule="auto"/>
        <w:rPr>
          <w:sz w:val="20"/>
          <w:szCs w:val="20"/>
          <w:color w:val="auto"/>
        </w:rPr>
      </w:pPr>
      <w:r>
        <w:rPr>
          <w:rFonts w:ascii="Arial" w:cs="Arial" w:eastAsia="Arial" w:hAnsi="Arial"/>
          <w:sz w:val="18"/>
          <w:szCs w:val="18"/>
          <w:color w:val="auto"/>
        </w:rPr>
        <w:t>forbearance periods. This strategy is aimed at assisting borrowers while mitigating the risks of delinquency and default as well as encouraging resolution of delinquent loans.</w:t>
      </w:r>
    </w:p>
    <w:p>
      <w:pPr>
        <w:spacing w:after="0" w:line="31"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Disaster forbearance is used to assist borrowers affected by material events, typically federally-declared disasters, including hurricanes, wildfires, floods, and pandemics. We typically grant disaster forbearance to affected borrowers in one-month increments, up to three months at a time, but the disaster forbearance granted generally does not apply toward the 12-month forbearance limit described below. Disaster forbearance is granted based on areas impacted by federally declared disasters, not because the borrower is experiencing financial difficulty. Loans in disaster forbearance are not assessed late or other fees. Due to the nature and limited timeframe of disaster forbearance, delinquent loans granted disaster forbearance are maintained in their pre-grant delinquency status, and as such, are not reflected in our loans in forbearance metrics.</w:t>
      </w:r>
    </w:p>
    <w:p>
      <w:pPr>
        <w:spacing w:after="0" w:line="75"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We offer certain other administrative forbearances (e.g., death and disability, bankruptcy, military service, and in school assistance) that are required by law (such as by the Servicemembers Civil Relief Act), are considered separate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44F82"/>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1" w:name="page62"/>
    <w:bookmarkEnd w:id="61"/>
    <w:p>
      <w:pPr>
        <w:ind w:right="200"/>
        <w:spacing w:after="0" w:line="287" w:lineRule="auto"/>
        <w:rPr>
          <w:sz w:val="20"/>
          <w:szCs w:val="20"/>
          <w:color w:val="auto"/>
        </w:rPr>
      </w:pPr>
      <w:r>
        <w:rPr>
          <w:rFonts w:ascii="Arial" w:cs="Arial" w:eastAsia="Arial" w:hAnsi="Arial"/>
          <w:sz w:val="18"/>
          <w:szCs w:val="18"/>
          <w:color w:val="auto"/>
        </w:rPr>
        <w:t>from our active loss mitigation programs, or do not exceed the significance threshold. We do not consider borrowers eligible for these other administrative forbearances to be experiencing financial difficulty.</w:t>
      </w:r>
    </w:p>
    <w:p>
      <w:pPr>
        <w:spacing w:after="0" w:line="45"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Currently, we generally grant forbearance in increments of one to two months at a time, for up to 12 months over the life of the loan, although extended grace forbearance is typically granted in one six-month increment and disaster forbearance and certain other limited instances do not apply toward the 12-month limit. We also currently require 12 months of positive payment performance by a borrower (meaning the borrower must make payment in a cumulative amount equivalent to 12 monthly required payments under the loan) between successive grants of forbearance and between forbearance grants and certain other repayment alternatives. This required period of positive payment performance does not apply, however, to extended grace forbearances and is not required for a borrower to receive a contractual interest rate reduction. In addition, we currently limit the participation of delinquent borrowers in certain short-term extended or interest-only repayment alternatives to once in 12 months and twice in five years. We also now count the number of months a borrower receives a short-term extended repayment alternative toward the 12-month forbearance limit described above.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Modification Programs other than Forbearances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borrowers experiencing more severe hardship, following evaluation of their ability and willingness to repay, we currently use</w:t>
      </w:r>
    </w:p>
    <w:p>
      <w:pPr>
        <w:spacing w:after="0" w:line="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modification programs tailored to the financial condition of the individual borrower. Pursuant to our modification programs, we may reduce the contractual interest rate on a loan to a rate between 2 percent and 8 percent for a temporary period of two to four years, and/or in some instances may permanently extend the final maturity of a loan. For borrowers experiencing the most severe financial conditions, we may permanently reduce the contractual interest rate on a loan to 2 percent for the remaining life of the loan and also permanently extend the final maturity of the loan. Following modification, borrowers who are delinquent but meet specific payment requirements curing their delinquency will be brought current. We currently limit the granting of a permanent extension of the final maturity date of a loan to once over the life of the loan, and the number of interest rate reductions to twice over the life of the loan.</w:t>
      </w:r>
    </w:p>
    <w:p>
      <w:pPr>
        <w:spacing w:after="0" w:line="75"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Modifications under these programs are generally considered loan modifications to borrowers experiencing financial difficulty. See Note 4, “Allowance for Credit Losses and Unfunded Commitments — Loan Modifications to Borrowers Experiencing Financial Difficulty” in this Form 10-Q for disclosures related to these modification programs. However, in some situations, we may offer on a limited basis term extensions or rate reductions or a combination of both to borrowers to reduce consolidation activities. We do not consider these to be modifications of loans to borrowers experiencing financial difficulty.</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Delinquency Trends by Active Repayment Status</w:t>
      </w:r>
    </w:p>
    <w:p>
      <w:pPr>
        <w:spacing w:after="0" w:line="115" w:lineRule="exact"/>
        <w:rPr>
          <w:sz w:val="20"/>
          <w:szCs w:val="20"/>
          <w:color w:val="auto"/>
        </w:rPr>
      </w:pPr>
    </w:p>
    <w:p>
      <w:pPr>
        <w:ind w:right="160" w:firstLine="445"/>
        <w:spacing w:after="0" w:line="255" w:lineRule="auto"/>
        <w:rPr>
          <w:sz w:val="20"/>
          <w:szCs w:val="20"/>
          <w:color w:val="auto"/>
        </w:rPr>
      </w:pPr>
      <w:r>
        <w:rPr>
          <w:rFonts w:ascii="Arial" w:cs="Arial" w:eastAsia="Arial" w:hAnsi="Arial"/>
          <w:sz w:val="18"/>
          <w:szCs w:val="18"/>
          <w:color w:val="auto"/>
        </w:rPr>
        <w:t>The tables below show the composition and status of the Private Education Loan portfolio held for investment aged by number of months in active repayment status (months for which a scheduled monthly payment was due). Active repayment status includes loans on which borrowers are making interest only or fixed payments, as well as loans that have entered full principal and interest repayment status after any applicable grace period. Our experience shows that the percentage of loans in forbearance status generally decreases the longer the loans have been in active repayment status. At March 31, 2025, Private Education Loans (held for investment) in forbearance that have been in active repayment status for fewer than 25 months as a percentage of all loans in repayment and forbearance were 2.2 percent. At March 31, 2025, approximately 76 percent of our Private Education Loans (held for investment) in forbearance status have been in active repayment status for fewer than 25 months.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2" w:name="page63"/>
    <w:bookmarkEnd w:id="62"/>
    <w:p>
      <w:pPr>
        <w:jc w:val="center"/>
        <w:ind w:right="-99"/>
        <w:spacing w:after="0"/>
        <w:rPr>
          <w:sz w:val="20"/>
          <w:szCs w:val="20"/>
          <w:color w:val="auto"/>
        </w:rPr>
      </w:pPr>
      <w:r>
        <w:rPr>
          <w:rFonts w:ascii="Arial" w:cs="Arial" w:eastAsia="Arial" w:hAnsi="Arial"/>
          <w:sz w:val="14"/>
          <w:szCs w:val="14"/>
          <w:b w:val="1"/>
          <w:bCs w:val="1"/>
          <w:color w:val="144F82"/>
        </w:rPr>
        <w:drawing>
          <wp:anchor simplePos="0" relativeHeight="251657728" behindDoc="1" locked="0" layoutInCell="0" allowOverlap="1">
            <wp:simplePos x="0" y="0"/>
            <wp:positionH relativeFrom="page">
              <wp:posOffset>490855</wp:posOffset>
            </wp:positionH>
            <wp:positionV relativeFrom="page">
              <wp:posOffset>877570</wp:posOffset>
            </wp:positionV>
            <wp:extent cx="65665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66535" cy="8255"/>
                    </a:xfrm>
                    <a:prstGeom prst="rect">
                      <a:avLst/>
                    </a:prstGeom>
                    <a:noFill/>
                  </pic:spPr>
                </pic:pic>
              </a:graphicData>
            </a:graphic>
          </wp:anchor>
        </w:drawing>
        <w:t>Private Education Loans Held for Investment</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144F82"/>
        </w:rPr>
        <w:t>Aged by Number of Months in Active Repayment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6350</wp:posOffset>
            </wp:positionV>
            <wp:extent cx="33947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2540" w:type="dxa"/>
            <w:vAlign w:val="bottom"/>
            <w:gridSpan w:val="2"/>
          </w:tcPr>
          <w:p>
            <w:pPr>
              <w:ind w:left="20"/>
              <w:spacing w:after="0"/>
              <w:rPr>
                <w:sz w:val="20"/>
                <w:szCs w:val="20"/>
                <w:color w:val="auto"/>
              </w:rPr>
            </w:pPr>
            <w:r>
              <w:rPr>
                <w:rFonts w:ascii="Arial" w:cs="Arial" w:eastAsia="Arial" w:hAnsi="Arial"/>
                <w:sz w:val="13"/>
                <w:szCs w:val="13"/>
                <w:b w:val="1"/>
                <w:bCs w:val="1"/>
                <w:color w:val="144F82"/>
              </w:rPr>
              <w:t>As of March 31, 2025</w:t>
            </w:r>
          </w:p>
        </w:tc>
        <w:tc>
          <w:tcPr>
            <w:tcW w:w="160" w:type="dxa"/>
            <w:vAlign w:val="bottom"/>
          </w:tcPr>
          <w:p>
            <w:pPr>
              <w:spacing w:after="0"/>
              <w:rPr>
                <w:sz w:val="14"/>
                <w:szCs w:val="14"/>
                <w:color w:val="auto"/>
              </w:rPr>
            </w:pPr>
          </w:p>
        </w:tc>
        <w:tc>
          <w:tcPr>
            <w:tcW w:w="8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144F82"/>
              </w:rPr>
              <w:t>0 to 12</w:t>
            </w:r>
          </w:p>
        </w:tc>
        <w:tc>
          <w:tcPr>
            <w:tcW w:w="200" w:type="dxa"/>
            <w:vAlign w:val="bottom"/>
          </w:tcPr>
          <w:p>
            <w:pPr>
              <w:spacing w:after="0"/>
              <w:rPr>
                <w:sz w:val="14"/>
                <w:szCs w:val="14"/>
                <w:color w:val="auto"/>
              </w:rPr>
            </w:pPr>
          </w:p>
        </w:tc>
        <w:tc>
          <w:tcPr>
            <w:tcW w:w="8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144F82"/>
              </w:rPr>
              <w:t>13 to 24</w:t>
            </w:r>
          </w:p>
        </w:tc>
        <w:tc>
          <w:tcPr>
            <w:tcW w:w="200" w:type="dxa"/>
            <w:vAlign w:val="bottom"/>
          </w:tcPr>
          <w:p>
            <w:pPr>
              <w:spacing w:after="0"/>
              <w:rPr>
                <w:sz w:val="14"/>
                <w:szCs w:val="14"/>
                <w:color w:val="auto"/>
              </w:rPr>
            </w:pPr>
          </w:p>
        </w:tc>
        <w:tc>
          <w:tcPr>
            <w:tcW w:w="8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144F82"/>
              </w:rPr>
              <w:t>25 to 36</w:t>
            </w:r>
          </w:p>
        </w:tc>
        <w:tc>
          <w:tcPr>
            <w:tcW w:w="220" w:type="dxa"/>
            <w:vAlign w:val="bottom"/>
          </w:tcPr>
          <w:p>
            <w:pPr>
              <w:spacing w:after="0"/>
              <w:rPr>
                <w:sz w:val="14"/>
                <w:szCs w:val="14"/>
                <w:color w:val="auto"/>
              </w:rPr>
            </w:pPr>
          </w:p>
        </w:tc>
        <w:tc>
          <w:tcPr>
            <w:tcW w:w="9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144F82"/>
              </w:rPr>
              <w:t>37 to 48</w:t>
            </w:r>
          </w:p>
        </w:tc>
        <w:tc>
          <w:tcPr>
            <w:tcW w:w="120" w:type="dxa"/>
            <w:vAlign w:val="bottom"/>
          </w:tcPr>
          <w:p>
            <w:pPr>
              <w:spacing w:after="0"/>
              <w:rPr>
                <w:sz w:val="14"/>
                <w:szCs w:val="14"/>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144F82"/>
              </w:rPr>
              <w:t>More than 48</w:t>
            </w:r>
          </w:p>
        </w:tc>
        <w:tc>
          <w:tcPr>
            <w:tcW w:w="2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144F82"/>
              </w:rPr>
              <w:t>Not Yet in</w:t>
            </w:r>
          </w:p>
        </w:tc>
        <w:tc>
          <w:tcPr>
            <w:tcW w:w="240" w:type="dxa"/>
            <w:vAlign w:val="bottom"/>
          </w:tcPr>
          <w:p>
            <w:pPr>
              <w:spacing w:after="0"/>
              <w:rPr>
                <w:sz w:val="14"/>
                <w:szCs w:val="14"/>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144F82"/>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144F82"/>
              </w:rPr>
              <w:t>(dollars in millions)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144F82"/>
              </w:rPr>
              <w:t>Repayment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540" w:type="dxa"/>
            <w:vAlign w:val="bottom"/>
            <w:gridSpan w:val="2"/>
            <w:shd w:val="clear" w:color="auto" w:fill="EDEDEE"/>
          </w:tcPr>
          <w:p>
            <w:pPr>
              <w:ind w:left="20"/>
              <w:spacing w:after="0"/>
              <w:rPr>
                <w:sz w:val="20"/>
                <w:szCs w:val="20"/>
                <w:color w:val="auto"/>
              </w:rPr>
            </w:pPr>
            <w:r>
              <w:rPr>
                <w:rFonts w:ascii="Arial" w:cs="Arial" w:eastAsia="Arial" w:hAnsi="Arial"/>
                <w:sz w:val="16"/>
                <w:szCs w:val="16"/>
                <w:color w:val="auto"/>
              </w:rPr>
              <w:t>Loans in-school/grace/deferment</w:t>
            </w:r>
          </w:p>
        </w:tc>
        <w:tc>
          <w:tcPr>
            <w:tcW w:w="1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DEDEE"/>
          </w:tcPr>
          <w:p>
            <w:pPr>
              <w:jc w:val="right"/>
              <w:ind w:right="181"/>
              <w:spacing w:after="0"/>
              <w:rPr>
                <w:sz w:val="20"/>
                <w:szCs w:val="20"/>
                <w:color w:val="auto"/>
              </w:rPr>
            </w:pPr>
            <w:r>
              <w:rPr>
                <w:rFonts w:ascii="Arial" w:cs="Arial" w:eastAsia="Arial" w:hAnsi="Arial"/>
                <w:sz w:val="16"/>
                <w:szCs w:val="16"/>
                <w:color w:val="auto"/>
              </w:rPr>
              <w:t>—</w:t>
            </w:r>
          </w:p>
        </w:tc>
        <w:tc>
          <w:tcPr>
            <w:tcW w:w="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DEDEE"/>
          </w:tcPr>
          <w:p>
            <w:pPr>
              <w:jc w:val="right"/>
              <w:ind w:right="201"/>
              <w:spacing w:after="0"/>
              <w:rPr>
                <w:sz w:val="20"/>
                <w:szCs w:val="20"/>
                <w:color w:val="auto"/>
              </w:rPr>
            </w:pPr>
            <w:r>
              <w:rPr>
                <w:rFonts w:ascii="Arial" w:cs="Arial" w:eastAsia="Arial" w:hAnsi="Arial"/>
                <w:sz w:val="16"/>
                <w:szCs w:val="16"/>
                <w:color w:val="auto"/>
              </w:rPr>
              <w:t>—</w:t>
            </w:r>
          </w:p>
        </w:tc>
        <w:tc>
          <w:tcPr>
            <w:tcW w:w="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DEDEE"/>
          </w:tcPr>
          <w:p>
            <w:pPr>
              <w:jc w:val="right"/>
              <w:ind w:right="181"/>
              <w:spacing w:after="0"/>
              <w:rPr>
                <w:sz w:val="20"/>
                <w:szCs w:val="20"/>
                <w:color w:val="auto"/>
              </w:rPr>
            </w:pPr>
            <w:r>
              <w:rPr>
                <w:rFonts w:ascii="Arial" w:cs="Arial" w:eastAsia="Arial" w:hAnsi="Arial"/>
                <w:sz w:val="16"/>
                <w:szCs w:val="16"/>
                <w:color w:val="auto"/>
              </w:rPr>
              <w:t>—</w:t>
            </w:r>
          </w:p>
        </w:tc>
        <w:tc>
          <w:tcPr>
            <w:tcW w:w="2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DEDEE"/>
          </w:tcPr>
          <w:p>
            <w:pPr>
              <w:jc w:val="right"/>
              <w:ind w:right="241"/>
              <w:spacing w:after="0"/>
              <w:rPr>
                <w:sz w:val="20"/>
                <w:szCs w:val="20"/>
                <w:color w:val="auto"/>
              </w:rPr>
            </w:pPr>
            <w:r>
              <w:rPr>
                <w:rFonts w:ascii="Arial" w:cs="Arial" w:eastAsia="Arial" w:hAnsi="Arial"/>
                <w:sz w:val="16"/>
                <w:szCs w:val="16"/>
                <w:color w:val="auto"/>
              </w:rPr>
              <w:t>—</w:t>
            </w:r>
          </w:p>
        </w:tc>
        <w:tc>
          <w:tcPr>
            <w:tcW w:w="1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DEDEE"/>
          </w:tcPr>
          <w:p>
            <w:pPr>
              <w:jc w:val="right"/>
              <w:ind w:right="121"/>
              <w:spacing w:after="0"/>
              <w:rPr>
                <w:sz w:val="20"/>
                <w:szCs w:val="20"/>
                <w:color w:val="auto"/>
              </w:rPr>
            </w:pPr>
            <w:r>
              <w:rPr>
                <w:rFonts w:ascii="Arial" w:cs="Arial" w:eastAsia="Arial" w:hAnsi="Arial"/>
                <w:sz w:val="16"/>
                <w:szCs w:val="16"/>
                <w:color w:val="auto"/>
              </w:rPr>
              <w:t>—</w:t>
            </w:r>
          </w:p>
        </w:tc>
        <w:tc>
          <w:tcPr>
            <w:tcW w:w="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DEDEE"/>
          </w:tcPr>
          <w:p>
            <w:pPr>
              <w:jc w:val="right"/>
              <w:ind w:right="122"/>
              <w:spacing w:after="0"/>
              <w:rPr>
                <w:sz w:val="20"/>
                <w:szCs w:val="20"/>
                <w:color w:val="auto"/>
              </w:rPr>
            </w:pPr>
            <w:r>
              <w:rPr>
                <w:rFonts w:ascii="Arial" w:cs="Arial" w:eastAsia="Arial" w:hAnsi="Arial"/>
                <w:sz w:val="16"/>
                <w:szCs w:val="16"/>
                <w:color w:val="auto"/>
              </w:rPr>
              <w:t>6,064</w:t>
            </w:r>
          </w:p>
        </w:tc>
        <w:tc>
          <w:tcPr>
            <w:tcW w:w="120" w:type="dxa"/>
            <w:vAlign w:val="bottom"/>
            <w:shd w:val="clear" w:color="auto" w:fill="EDEDEE"/>
          </w:tcPr>
          <w:p>
            <w:pPr>
              <w:spacing w:after="0"/>
              <w:rPr>
                <w:sz w:val="18"/>
                <w:szCs w:val="18"/>
                <w:color w:val="auto"/>
              </w:rPr>
            </w:pPr>
          </w:p>
        </w:tc>
        <w:tc>
          <w:tcPr>
            <w:tcW w:w="240" w:type="dxa"/>
            <w:vAlign w:val="bottom"/>
            <w:shd w:val="clear" w:color="auto" w:fill="EDEDEE"/>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DEDEE"/>
          </w:tcPr>
          <w:p>
            <w:pPr>
              <w:jc w:val="right"/>
              <w:ind w:right="140"/>
              <w:spacing w:after="0"/>
              <w:rPr>
                <w:sz w:val="20"/>
                <w:szCs w:val="20"/>
                <w:color w:val="auto"/>
              </w:rPr>
            </w:pPr>
            <w:r>
              <w:rPr>
                <w:rFonts w:ascii="Arial" w:cs="Arial" w:eastAsia="Arial" w:hAnsi="Arial"/>
                <w:sz w:val="16"/>
                <w:szCs w:val="16"/>
                <w:color w:val="auto"/>
              </w:rPr>
              <w:t>6,064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Loans in forbearance</w:t>
            </w:r>
          </w:p>
        </w:tc>
        <w:tc>
          <w:tcPr>
            <w:tcW w:w="160" w:type="dxa"/>
            <w:vAlign w:val="bottom"/>
          </w:tcPr>
          <w:p>
            <w:pPr>
              <w:spacing w:after="0"/>
              <w:rPr>
                <w:sz w:val="18"/>
                <w:szCs w:val="18"/>
                <w:color w:val="auto"/>
              </w:rPr>
            </w:pPr>
          </w:p>
        </w:tc>
        <w:tc>
          <w:tcPr>
            <w:tcW w:w="820" w:type="dxa"/>
            <w:vAlign w:val="bottom"/>
          </w:tcPr>
          <w:p>
            <w:pPr>
              <w:jc w:val="right"/>
              <w:ind w:right="181"/>
              <w:spacing w:after="0"/>
              <w:rPr>
                <w:sz w:val="20"/>
                <w:szCs w:val="20"/>
                <w:color w:val="auto"/>
              </w:rPr>
            </w:pPr>
            <w:r>
              <w:rPr>
                <w:rFonts w:ascii="Arial" w:cs="Arial" w:eastAsia="Arial" w:hAnsi="Arial"/>
                <w:sz w:val="16"/>
                <w:szCs w:val="16"/>
                <w:color w:val="auto"/>
              </w:rPr>
              <w:t>289</w:t>
            </w:r>
          </w:p>
        </w:tc>
        <w:tc>
          <w:tcPr>
            <w:tcW w:w="20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8"/>
                <w:szCs w:val="18"/>
                <w:color w:val="auto"/>
              </w:rPr>
            </w:pPr>
          </w:p>
        </w:tc>
        <w:tc>
          <w:tcPr>
            <w:tcW w:w="840" w:type="dxa"/>
            <w:vAlign w:val="bottom"/>
          </w:tcPr>
          <w:p>
            <w:pPr>
              <w:jc w:val="right"/>
              <w:ind w:right="181"/>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900" w:type="dxa"/>
            <w:vAlign w:val="bottom"/>
          </w:tcPr>
          <w:p>
            <w:pPr>
              <w:jc w:val="right"/>
              <w:ind w:right="24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540" w:type="dxa"/>
            <w:vAlign w:val="bottom"/>
            <w:gridSpan w:val="2"/>
            <w:shd w:val="clear" w:color="auto" w:fill="EDEDEE"/>
          </w:tcPr>
          <w:p>
            <w:pPr>
              <w:ind w:left="20"/>
              <w:spacing w:after="0"/>
              <w:rPr>
                <w:sz w:val="20"/>
                <w:szCs w:val="20"/>
                <w:color w:val="auto"/>
              </w:rPr>
            </w:pPr>
            <w:r>
              <w:rPr>
                <w:rFonts w:ascii="Arial" w:cs="Arial" w:eastAsia="Arial" w:hAnsi="Arial"/>
                <w:sz w:val="16"/>
                <w:szCs w:val="16"/>
                <w:color w:val="auto"/>
              </w:rPr>
              <w:t>Loans in repayment - current</w:t>
            </w:r>
          </w:p>
        </w:tc>
        <w:tc>
          <w:tcPr>
            <w:tcW w:w="160" w:type="dxa"/>
            <w:vAlign w:val="bottom"/>
            <w:shd w:val="clear" w:color="auto" w:fill="EDEDEE"/>
          </w:tcPr>
          <w:p>
            <w:pPr>
              <w:spacing w:after="0"/>
              <w:rPr>
                <w:sz w:val="18"/>
                <w:szCs w:val="18"/>
                <w:color w:val="auto"/>
              </w:rPr>
            </w:pPr>
          </w:p>
        </w:tc>
        <w:tc>
          <w:tcPr>
            <w:tcW w:w="820" w:type="dxa"/>
            <w:vAlign w:val="bottom"/>
            <w:shd w:val="clear" w:color="auto" w:fill="EDEDEE"/>
          </w:tcPr>
          <w:p>
            <w:pPr>
              <w:jc w:val="right"/>
              <w:ind w:right="181"/>
              <w:spacing w:after="0"/>
              <w:rPr>
                <w:sz w:val="20"/>
                <w:szCs w:val="20"/>
                <w:color w:val="auto"/>
              </w:rPr>
            </w:pPr>
            <w:r>
              <w:rPr>
                <w:rFonts w:ascii="Arial" w:cs="Arial" w:eastAsia="Arial" w:hAnsi="Arial"/>
                <w:sz w:val="16"/>
                <w:szCs w:val="16"/>
                <w:color w:val="auto"/>
              </w:rPr>
              <w:t>5,044</w:t>
            </w:r>
          </w:p>
        </w:tc>
        <w:tc>
          <w:tcPr>
            <w:tcW w:w="200" w:type="dxa"/>
            <w:vAlign w:val="bottom"/>
            <w:shd w:val="clear" w:color="auto" w:fill="EDEDEE"/>
          </w:tcPr>
          <w:p>
            <w:pPr>
              <w:spacing w:after="0"/>
              <w:rPr>
                <w:sz w:val="18"/>
                <w:szCs w:val="18"/>
                <w:color w:val="auto"/>
              </w:rPr>
            </w:pPr>
          </w:p>
        </w:tc>
        <w:tc>
          <w:tcPr>
            <w:tcW w:w="860" w:type="dxa"/>
            <w:vAlign w:val="bottom"/>
            <w:shd w:val="clear" w:color="auto" w:fill="EDEDEE"/>
          </w:tcPr>
          <w:p>
            <w:pPr>
              <w:jc w:val="right"/>
              <w:ind w:right="201"/>
              <w:spacing w:after="0"/>
              <w:rPr>
                <w:sz w:val="20"/>
                <w:szCs w:val="20"/>
                <w:color w:val="auto"/>
              </w:rPr>
            </w:pPr>
            <w:r>
              <w:rPr>
                <w:rFonts w:ascii="Arial" w:cs="Arial" w:eastAsia="Arial" w:hAnsi="Arial"/>
                <w:sz w:val="16"/>
                <w:szCs w:val="16"/>
                <w:color w:val="auto"/>
              </w:rPr>
              <w:t>3,069</w:t>
            </w:r>
          </w:p>
        </w:tc>
        <w:tc>
          <w:tcPr>
            <w:tcW w:w="200" w:type="dxa"/>
            <w:vAlign w:val="bottom"/>
            <w:shd w:val="clear" w:color="auto" w:fill="EDEDEE"/>
          </w:tcPr>
          <w:p>
            <w:pPr>
              <w:spacing w:after="0"/>
              <w:rPr>
                <w:sz w:val="18"/>
                <w:szCs w:val="18"/>
                <w:color w:val="auto"/>
              </w:rPr>
            </w:pPr>
          </w:p>
        </w:tc>
        <w:tc>
          <w:tcPr>
            <w:tcW w:w="840" w:type="dxa"/>
            <w:vAlign w:val="bottom"/>
            <w:shd w:val="clear" w:color="auto" w:fill="EDEDEE"/>
          </w:tcPr>
          <w:p>
            <w:pPr>
              <w:jc w:val="right"/>
              <w:ind w:right="181"/>
              <w:spacing w:after="0"/>
              <w:rPr>
                <w:sz w:val="20"/>
                <w:szCs w:val="20"/>
                <w:color w:val="auto"/>
              </w:rPr>
            </w:pPr>
            <w:r>
              <w:rPr>
                <w:rFonts w:ascii="Arial" w:cs="Arial" w:eastAsia="Arial" w:hAnsi="Arial"/>
                <w:sz w:val="16"/>
                <w:szCs w:val="16"/>
                <w:color w:val="auto"/>
              </w:rPr>
              <w:t>2,075</w:t>
            </w:r>
          </w:p>
        </w:tc>
        <w:tc>
          <w:tcPr>
            <w:tcW w:w="220" w:type="dxa"/>
            <w:vAlign w:val="bottom"/>
            <w:shd w:val="clear" w:color="auto" w:fill="EDEDEE"/>
          </w:tcPr>
          <w:p>
            <w:pPr>
              <w:spacing w:after="0"/>
              <w:rPr>
                <w:sz w:val="18"/>
                <w:szCs w:val="18"/>
                <w:color w:val="auto"/>
              </w:rPr>
            </w:pPr>
          </w:p>
        </w:tc>
        <w:tc>
          <w:tcPr>
            <w:tcW w:w="900" w:type="dxa"/>
            <w:vAlign w:val="bottom"/>
            <w:shd w:val="clear" w:color="auto" w:fill="EDEDEE"/>
          </w:tcPr>
          <w:p>
            <w:pPr>
              <w:jc w:val="right"/>
              <w:ind w:right="241"/>
              <w:spacing w:after="0"/>
              <w:rPr>
                <w:sz w:val="20"/>
                <w:szCs w:val="20"/>
                <w:color w:val="auto"/>
              </w:rPr>
            </w:pPr>
            <w:r>
              <w:rPr>
                <w:rFonts w:ascii="Arial" w:cs="Arial" w:eastAsia="Arial" w:hAnsi="Arial"/>
                <w:sz w:val="16"/>
                <w:szCs w:val="16"/>
                <w:color w:val="auto"/>
              </w:rPr>
              <w:t>1,509</w:t>
            </w:r>
          </w:p>
        </w:tc>
        <w:tc>
          <w:tcPr>
            <w:tcW w:w="120" w:type="dxa"/>
            <w:vAlign w:val="bottom"/>
            <w:shd w:val="clear" w:color="auto" w:fill="EDEDEE"/>
          </w:tcPr>
          <w:p>
            <w:pPr>
              <w:spacing w:after="0"/>
              <w:rPr>
                <w:sz w:val="18"/>
                <w:szCs w:val="18"/>
                <w:color w:val="auto"/>
              </w:rPr>
            </w:pPr>
          </w:p>
        </w:tc>
        <w:tc>
          <w:tcPr>
            <w:tcW w:w="1020" w:type="dxa"/>
            <w:vAlign w:val="bottom"/>
            <w:shd w:val="clear" w:color="auto" w:fill="EDEDEE"/>
          </w:tcPr>
          <w:p>
            <w:pPr>
              <w:jc w:val="right"/>
              <w:ind w:right="121"/>
              <w:spacing w:after="0"/>
              <w:rPr>
                <w:sz w:val="20"/>
                <w:szCs w:val="20"/>
                <w:color w:val="auto"/>
              </w:rPr>
            </w:pPr>
            <w:r>
              <w:rPr>
                <w:rFonts w:ascii="Arial" w:cs="Arial" w:eastAsia="Arial" w:hAnsi="Arial"/>
                <w:sz w:val="16"/>
                <w:szCs w:val="16"/>
                <w:color w:val="auto"/>
              </w:rPr>
              <w:t>3,637</w:t>
            </w:r>
          </w:p>
        </w:tc>
        <w:tc>
          <w:tcPr>
            <w:tcW w:w="260" w:type="dxa"/>
            <w:vAlign w:val="bottom"/>
            <w:shd w:val="clear" w:color="auto" w:fill="EDEDEE"/>
          </w:tcPr>
          <w:p>
            <w:pPr>
              <w:spacing w:after="0"/>
              <w:rPr>
                <w:sz w:val="18"/>
                <w:szCs w:val="18"/>
                <w:color w:val="auto"/>
              </w:rPr>
            </w:pPr>
          </w:p>
        </w:tc>
        <w:tc>
          <w:tcPr>
            <w:tcW w:w="11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18"/>
                <w:szCs w:val="18"/>
                <w:color w:val="auto"/>
              </w:rPr>
            </w:pPr>
          </w:p>
        </w:tc>
        <w:tc>
          <w:tcPr>
            <w:tcW w:w="840" w:type="dxa"/>
            <w:vAlign w:val="bottom"/>
            <w:shd w:val="clear" w:color="auto" w:fill="EDEDEE"/>
          </w:tcPr>
          <w:p>
            <w:pPr>
              <w:jc w:val="right"/>
              <w:ind w:right="140"/>
              <w:spacing w:after="0"/>
              <w:rPr>
                <w:sz w:val="20"/>
                <w:szCs w:val="20"/>
                <w:color w:val="auto"/>
              </w:rPr>
            </w:pPr>
            <w:r>
              <w:rPr>
                <w:rFonts w:ascii="Arial" w:cs="Arial" w:eastAsia="Arial" w:hAnsi="Arial"/>
                <w:sz w:val="16"/>
                <w:szCs w:val="16"/>
                <w:color w:val="auto"/>
              </w:rPr>
              <w:t>15,334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Loans in repayment - delinquent</w:t>
            </w:r>
          </w:p>
        </w:tc>
        <w:tc>
          <w:tcPr>
            <w:tcW w:w="160" w:type="dxa"/>
            <w:vAlign w:val="bottom"/>
          </w:tcPr>
          <w:p>
            <w:pPr>
              <w:spacing w:after="0"/>
              <w:rPr>
                <w:sz w:val="14"/>
                <w:szCs w:val="14"/>
                <w:color w:val="auto"/>
              </w:rPr>
            </w:pPr>
          </w:p>
        </w:tc>
        <w:tc>
          <w:tcPr>
            <w:tcW w:w="820" w:type="dxa"/>
            <w:vAlign w:val="bottom"/>
            <w:vMerge w:val="restart"/>
          </w:tcPr>
          <w:p>
            <w:pPr>
              <w:jc w:val="right"/>
              <w:ind w:right="181"/>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4"/>
                <w:szCs w:val="14"/>
                <w:color w:val="auto"/>
              </w:rPr>
            </w:pPr>
          </w:p>
        </w:tc>
        <w:tc>
          <w:tcPr>
            <w:tcW w:w="860" w:type="dxa"/>
            <w:vAlign w:val="bottom"/>
            <w:vMerge w:val="restart"/>
          </w:tcPr>
          <w:p>
            <w:pPr>
              <w:jc w:val="right"/>
              <w:ind w:right="201"/>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4"/>
                <w:szCs w:val="14"/>
                <w:color w:val="auto"/>
              </w:rPr>
            </w:pPr>
          </w:p>
        </w:tc>
        <w:tc>
          <w:tcPr>
            <w:tcW w:w="840" w:type="dxa"/>
            <w:vAlign w:val="bottom"/>
            <w:vMerge w:val="restart"/>
          </w:tcPr>
          <w:p>
            <w:pPr>
              <w:jc w:val="right"/>
              <w:ind w:right="181"/>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4"/>
                <w:szCs w:val="14"/>
                <w:color w:val="auto"/>
              </w:rPr>
            </w:pPr>
          </w:p>
        </w:tc>
        <w:tc>
          <w:tcPr>
            <w:tcW w:w="900" w:type="dxa"/>
            <w:vAlign w:val="bottom"/>
            <w:vMerge w:val="restart"/>
          </w:tcPr>
          <w:p>
            <w:pPr>
              <w:jc w:val="right"/>
              <w:ind w:right="2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4"/>
                <w:szCs w:val="14"/>
                <w:color w:val="auto"/>
              </w:rPr>
            </w:pPr>
          </w:p>
        </w:tc>
        <w:tc>
          <w:tcPr>
            <w:tcW w:w="1020" w:type="dxa"/>
            <w:vAlign w:val="bottom"/>
            <w:vMerge w:val="restart"/>
          </w:tcPr>
          <w:p>
            <w:pPr>
              <w:jc w:val="right"/>
              <w:ind w:right="121"/>
              <w:spacing w:after="0"/>
              <w:rPr>
                <w:sz w:val="20"/>
                <w:szCs w:val="20"/>
                <w:color w:val="auto"/>
              </w:rPr>
            </w:pPr>
            <w:r>
              <w:rPr>
                <w:rFonts w:ascii="Arial" w:cs="Arial" w:eastAsia="Arial" w:hAnsi="Arial"/>
                <w:sz w:val="16"/>
                <w:szCs w:val="16"/>
                <w:color w:val="auto"/>
              </w:rPr>
              <w:t>80</w:t>
            </w:r>
          </w:p>
        </w:tc>
        <w:tc>
          <w:tcPr>
            <w:tcW w:w="260" w:type="dxa"/>
            <w:vAlign w:val="bottom"/>
          </w:tcPr>
          <w:p>
            <w:pPr>
              <w:spacing w:after="0"/>
              <w:rPr>
                <w:sz w:val="14"/>
                <w:szCs w:val="14"/>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6"/>
                <w:szCs w:val="16"/>
                <w:color w:val="auto"/>
              </w:rPr>
              <w:t>276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30-59 days</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2540" w:type="dxa"/>
            <w:vAlign w:val="bottom"/>
            <w:gridSpan w:val="2"/>
            <w:shd w:val="clear" w:color="auto" w:fill="EDEDEE"/>
          </w:tcPr>
          <w:p>
            <w:pPr>
              <w:ind w:left="20"/>
              <w:spacing w:after="0" w:line="163" w:lineRule="exact"/>
              <w:rPr>
                <w:sz w:val="20"/>
                <w:szCs w:val="20"/>
                <w:color w:val="auto"/>
              </w:rPr>
            </w:pPr>
            <w:r>
              <w:rPr>
                <w:rFonts w:ascii="Arial" w:cs="Arial" w:eastAsia="Arial" w:hAnsi="Arial"/>
                <w:sz w:val="16"/>
                <w:szCs w:val="16"/>
                <w:color w:val="auto"/>
              </w:rPr>
              <w:t>Loans in repayment - delinquent</w:t>
            </w:r>
          </w:p>
        </w:tc>
        <w:tc>
          <w:tcPr>
            <w:tcW w:w="160" w:type="dxa"/>
            <w:vAlign w:val="bottom"/>
            <w:shd w:val="clear" w:color="auto" w:fill="EDEDEE"/>
          </w:tcPr>
          <w:p>
            <w:pPr>
              <w:spacing w:after="0"/>
              <w:rPr>
                <w:sz w:val="14"/>
                <w:szCs w:val="14"/>
                <w:color w:val="auto"/>
              </w:rPr>
            </w:pPr>
          </w:p>
        </w:tc>
        <w:tc>
          <w:tcPr>
            <w:tcW w:w="820" w:type="dxa"/>
            <w:vAlign w:val="bottom"/>
            <w:vMerge w:val="restart"/>
            <w:shd w:val="clear" w:color="auto" w:fill="EDEDEE"/>
          </w:tcPr>
          <w:p>
            <w:pPr>
              <w:jc w:val="right"/>
              <w:ind w:right="181"/>
              <w:spacing w:after="0"/>
              <w:rPr>
                <w:sz w:val="20"/>
                <w:szCs w:val="20"/>
                <w:color w:val="auto"/>
              </w:rPr>
            </w:pPr>
            <w:r>
              <w:rPr>
                <w:rFonts w:ascii="Arial" w:cs="Arial" w:eastAsia="Arial" w:hAnsi="Arial"/>
                <w:sz w:val="16"/>
                <w:szCs w:val="16"/>
                <w:color w:val="auto"/>
              </w:rPr>
              <w:t>50</w:t>
            </w:r>
          </w:p>
        </w:tc>
        <w:tc>
          <w:tcPr>
            <w:tcW w:w="200" w:type="dxa"/>
            <w:vAlign w:val="bottom"/>
            <w:shd w:val="clear" w:color="auto" w:fill="EDEDEE"/>
          </w:tcPr>
          <w:p>
            <w:pPr>
              <w:spacing w:after="0"/>
              <w:rPr>
                <w:sz w:val="14"/>
                <w:szCs w:val="14"/>
                <w:color w:val="auto"/>
              </w:rPr>
            </w:pPr>
          </w:p>
        </w:tc>
        <w:tc>
          <w:tcPr>
            <w:tcW w:w="860" w:type="dxa"/>
            <w:vAlign w:val="bottom"/>
            <w:vMerge w:val="restart"/>
            <w:shd w:val="clear" w:color="auto" w:fill="EDEDEE"/>
          </w:tcPr>
          <w:p>
            <w:pPr>
              <w:jc w:val="right"/>
              <w:ind w:right="201"/>
              <w:spacing w:after="0"/>
              <w:rPr>
                <w:sz w:val="20"/>
                <w:szCs w:val="20"/>
                <w:color w:val="auto"/>
              </w:rPr>
            </w:pPr>
            <w:r>
              <w:rPr>
                <w:rFonts w:ascii="Arial" w:cs="Arial" w:eastAsia="Arial" w:hAnsi="Arial"/>
                <w:sz w:val="16"/>
                <w:szCs w:val="16"/>
                <w:color w:val="auto"/>
              </w:rPr>
              <w:t>24</w:t>
            </w:r>
          </w:p>
        </w:tc>
        <w:tc>
          <w:tcPr>
            <w:tcW w:w="200" w:type="dxa"/>
            <w:vAlign w:val="bottom"/>
            <w:shd w:val="clear" w:color="auto" w:fill="EDEDEE"/>
          </w:tcPr>
          <w:p>
            <w:pPr>
              <w:spacing w:after="0"/>
              <w:rPr>
                <w:sz w:val="14"/>
                <w:szCs w:val="14"/>
                <w:color w:val="auto"/>
              </w:rPr>
            </w:pPr>
          </w:p>
        </w:tc>
        <w:tc>
          <w:tcPr>
            <w:tcW w:w="840" w:type="dxa"/>
            <w:vAlign w:val="bottom"/>
            <w:vMerge w:val="restart"/>
            <w:shd w:val="clear" w:color="auto" w:fill="EDEDEE"/>
          </w:tcPr>
          <w:p>
            <w:pPr>
              <w:jc w:val="right"/>
              <w:ind w:right="181"/>
              <w:spacing w:after="0"/>
              <w:rPr>
                <w:sz w:val="20"/>
                <w:szCs w:val="20"/>
                <w:color w:val="auto"/>
              </w:rPr>
            </w:pPr>
            <w:r>
              <w:rPr>
                <w:rFonts w:ascii="Arial" w:cs="Arial" w:eastAsia="Arial" w:hAnsi="Arial"/>
                <w:sz w:val="16"/>
                <w:szCs w:val="16"/>
                <w:color w:val="auto"/>
              </w:rPr>
              <w:t>22</w:t>
            </w:r>
          </w:p>
        </w:tc>
        <w:tc>
          <w:tcPr>
            <w:tcW w:w="220" w:type="dxa"/>
            <w:vAlign w:val="bottom"/>
            <w:shd w:val="clear" w:color="auto" w:fill="EDEDEE"/>
          </w:tcPr>
          <w:p>
            <w:pPr>
              <w:spacing w:after="0"/>
              <w:rPr>
                <w:sz w:val="14"/>
                <w:szCs w:val="14"/>
                <w:color w:val="auto"/>
              </w:rPr>
            </w:pPr>
          </w:p>
        </w:tc>
        <w:tc>
          <w:tcPr>
            <w:tcW w:w="900" w:type="dxa"/>
            <w:vAlign w:val="bottom"/>
            <w:vMerge w:val="restart"/>
            <w:shd w:val="clear" w:color="auto" w:fill="EDEDEE"/>
          </w:tcPr>
          <w:p>
            <w:pPr>
              <w:jc w:val="right"/>
              <w:ind w:right="241"/>
              <w:spacing w:after="0"/>
              <w:rPr>
                <w:sz w:val="20"/>
                <w:szCs w:val="20"/>
                <w:color w:val="auto"/>
              </w:rPr>
            </w:pPr>
            <w:r>
              <w:rPr>
                <w:rFonts w:ascii="Arial" w:cs="Arial" w:eastAsia="Arial" w:hAnsi="Arial"/>
                <w:sz w:val="16"/>
                <w:szCs w:val="16"/>
                <w:color w:val="auto"/>
              </w:rPr>
              <w:t>15</w:t>
            </w:r>
          </w:p>
        </w:tc>
        <w:tc>
          <w:tcPr>
            <w:tcW w:w="120" w:type="dxa"/>
            <w:vAlign w:val="bottom"/>
            <w:shd w:val="clear" w:color="auto" w:fill="EDEDEE"/>
          </w:tcPr>
          <w:p>
            <w:pPr>
              <w:spacing w:after="0"/>
              <w:rPr>
                <w:sz w:val="14"/>
                <w:szCs w:val="14"/>
                <w:color w:val="auto"/>
              </w:rPr>
            </w:pPr>
          </w:p>
        </w:tc>
        <w:tc>
          <w:tcPr>
            <w:tcW w:w="1020" w:type="dxa"/>
            <w:vAlign w:val="bottom"/>
            <w:vMerge w:val="restart"/>
            <w:shd w:val="clear" w:color="auto" w:fill="EDEDEE"/>
          </w:tcPr>
          <w:p>
            <w:pPr>
              <w:jc w:val="right"/>
              <w:ind w:right="121"/>
              <w:spacing w:after="0"/>
              <w:rPr>
                <w:sz w:val="20"/>
                <w:szCs w:val="20"/>
                <w:color w:val="auto"/>
              </w:rPr>
            </w:pPr>
            <w:r>
              <w:rPr>
                <w:rFonts w:ascii="Arial" w:cs="Arial" w:eastAsia="Arial" w:hAnsi="Arial"/>
                <w:sz w:val="16"/>
                <w:szCs w:val="16"/>
                <w:color w:val="auto"/>
              </w:rPr>
              <w:t>41</w:t>
            </w:r>
          </w:p>
        </w:tc>
        <w:tc>
          <w:tcPr>
            <w:tcW w:w="260" w:type="dxa"/>
            <w:vAlign w:val="bottom"/>
            <w:shd w:val="clear" w:color="auto" w:fill="EDEDEE"/>
          </w:tcPr>
          <w:p>
            <w:pPr>
              <w:spacing w:after="0"/>
              <w:rPr>
                <w:sz w:val="14"/>
                <w:szCs w:val="14"/>
                <w:color w:val="auto"/>
              </w:rPr>
            </w:pPr>
          </w:p>
        </w:tc>
        <w:tc>
          <w:tcPr>
            <w:tcW w:w="1120" w:type="dxa"/>
            <w:vAlign w:val="bottom"/>
            <w:gridSpan w:val="2"/>
            <w:vMerge w:val="restart"/>
            <w:shd w:val="clear" w:color="auto" w:fill="EDEDEE"/>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14"/>
                <w:szCs w:val="14"/>
                <w:color w:val="auto"/>
              </w:rPr>
            </w:pPr>
          </w:p>
        </w:tc>
        <w:tc>
          <w:tcPr>
            <w:tcW w:w="840" w:type="dxa"/>
            <w:vAlign w:val="bottom"/>
            <w:vMerge w:val="restart"/>
            <w:shd w:val="clear" w:color="auto" w:fill="EDEDEE"/>
          </w:tcPr>
          <w:p>
            <w:pPr>
              <w:jc w:val="right"/>
              <w:ind w:right="140"/>
              <w:spacing w:after="0"/>
              <w:rPr>
                <w:sz w:val="20"/>
                <w:szCs w:val="20"/>
                <w:color w:val="auto"/>
              </w:rPr>
            </w:pPr>
            <w:r>
              <w:rPr>
                <w:rFonts w:ascii="Arial" w:cs="Arial" w:eastAsia="Arial" w:hAnsi="Arial"/>
                <w:sz w:val="16"/>
                <w:szCs w:val="16"/>
                <w:color w:val="auto"/>
              </w:rPr>
              <w:t>152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540" w:type="dxa"/>
            <w:vAlign w:val="bottom"/>
            <w:gridSpan w:val="2"/>
            <w:shd w:val="clear" w:color="auto" w:fill="EDEDEE"/>
          </w:tcPr>
          <w:p>
            <w:pPr>
              <w:ind w:left="20"/>
              <w:spacing w:after="0"/>
              <w:rPr>
                <w:sz w:val="20"/>
                <w:szCs w:val="20"/>
                <w:color w:val="auto"/>
              </w:rPr>
            </w:pPr>
            <w:r>
              <w:rPr>
                <w:rFonts w:ascii="Arial" w:cs="Arial" w:eastAsia="Arial" w:hAnsi="Arial"/>
                <w:sz w:val="16"/>
                <w:szCs w:val="16"/>
                <w:color w:val="auto"/>
              </w:rPr>
              <w:t>60-89 days</w:t>
            </w:r>
          </w:p>
        </w:tc>
        <w:tc>
          <w:tcPr>
            <w:tcW w:w="160" w:type="dxa"/>
            <w:vAlign w:val="bottom"/>
            <w:shd w:val="clear" w:color="auto" w:fill="EDEDEE"/>
          </w:tcPr>
          <w:p>
            <w:pPr>
              <w:spacing w:after="0"/>
              <w:rPr>
                <w:sz w:val="18"/>
                <w:szCs w:val="18"/>
                <w:color w:val="auto"/>
              </w:rPr>
            </w:pPr>
          </w:p>
        </w:tc>
        <w:tc>
          <w:tcPr>
            <w:tcW w:w="820" w:type="dxa"/>
            <w:vAlign w:val="bottom"/>
            <w:vMerge w:val="continue"/>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860" w:type="dxa"/>
            <w:vAlign w:val="bottom"/>
            <w:vMerge w:val="continue"/>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840" w:type="dxa"/>
            <w:vAlign w:val="bottom"/>
            <w:vMerge w:val="continue"/>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900" w:type="dxa"/>
            <w:vAlign w:val="bottom"/>
            <w:vMerge w:val="continue"/>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1020" w:type="dxa"/>
            <w:vAlign w:val="bottom"/>
            <w:vMerge w:val="continue"/>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120" w:type="dxa"/>
            <w:vAlign w:val="bottom"/>
            <w:gridSpan w:val="2"/>
            <w:vMerge w:val="continue"/>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840" w:type="dxa"/>
            <w:vAlign w:val="bottom"/>
            <w:vMerge w:val="continue"/>
            <w:shd w:val="clear" w:color="auto" w:fill="EDEDE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Loans in repayment - 90 days or</w:t>
            </w:r>
          </w:p>
        </w:tc>
        <w:tc>
          <w:tcPr>
            <w:tcW w:w="160" w:type="dxa"/>
            <w:vAlign w:val="bottom"/>
          </w:tcPr>
          <w:p>
            <w:pPr>
              <w:spacing w:after="0"/>
              <w:rPr>
                <w:sz w:val="14"/>
                <w:szCs w:val="14"/>
                <w:color w:val="auto"/>
              </w:rPr>
            </w:pPr>
          </w:p>
        </w:tc>
        <w:tc>
          <w:tcPr>
            <w:tcW w:w="820" w:type="dxa"/>
            <w:vAlign w:val="bottom"/>
            <w:vMerge w:val="restart"/>
          </w:tcPr>
          <w:p>
            <w:pPr>
              <w:jc w:val="right"/>
              <w:ind w:right="181"/>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4"/>
                <w:szCs w:val="14"/>
                <w:color w:val="auto"/>
              </w:rPr>
            </w:pPr>
          </w:p>
        </w:tc>
        <w:tc>
          <w:tcPr>
            <w:tcW w:w="860" w:type="dxa"/>
            <w:vAlign w:val="bottom"/>
            <w:vMerge w:val="restart"/>
          </w:tcPr>
          <w:p>
            <w:pPr>
              <w:jc w:val="right"/>
              <w:ind w:right="201"/>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4"/>
                <w:szCs w:val="14"/>
                <w:color w:val="auto"/>
              </w:rPr>
            </w:pPr>
          </w:p>
        </w:tc>
        <w:tc>
          <w:tcPr>
            <w:tcW w:w="840" w:type="dxa"/>
            <w:vAlign w:val="bottom"/>
            <w:vMerge w:val="restart"/>
          </w:tcPr>
          <w:p>
            <w:pPr>
              <w:jc w:val="right"/>
              <w:ind w:right="181"/>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4"/>
                <w:szCs w:val="14"/>
                <w:color w:val="auto"/>
              </w:rPr>
            </w:pPr>
          </w:p>
        </w:tc>
        <w:tc>
          <w:tcPr>
            <w:tcW w:w="900" w:type="dxa"/>
            <w:vAlign w:val="bottom"/>
            <w:vMerge w:val="restart"/>
          </w:tcPr>
          <w:p>
            <w:pPr>
              <w:jc w:val="right"/>
              <w:ind w:right="24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4"/>
                <w:szCs w:val="14"/>
                <w:color w:val="auto"/>
              </w:rPr>
            </w:pPr>
          </w:p>
        </w:tc>
        <w:tc>
          <w:tcPr>
            <w:tcW w:w="1020" w:type="dxa"/>
            <w:vAlign w:val="bottom"/>
            <w:vMerge w:val="restart"/>
          </w:tcPr>
          <w:p>
            <w:pPr>
              <w:jc w:val="right"/>
              <w:ind w:right="121"/>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4"/>
                <w:szCs w:val="14"/>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6"/>
                <w:szCs w:val="16"/>
                <w:color w:val="auto"/>
              </w:rPr>
              <w:t>141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540" w:type="dxa"/>
            <w:vAlign w:val="bottom"/>
            <w:tcBorders>
              <w:bottom w:val="single" w:sz="8" w:color="EDEDEE"/>
            </w:tcBorders>
            <w:gridSpan w:val="2"/>
          </w:tcPr>
          <w:p>
            <w:pPr>
              <w:ind w:left="20"/>
              <w:spacing w:after="0"/>
              <w:rPr>
                <w:sz w:val="20"/>
                <w:szCs w:val="20"/>
                <w:color w:val="auto"/>
              </w:rPr>
            </w:pPr>
            <w:r>
              <w:rPr>
                <w:rFonts w:ascii="Arial" w:cs="Arial" w:eastAsia="Arial" w:hAnsi="Arial"/>
                <w:sz w:val="16"/>
                <w:szCs w:val="16"/>
                <w:color w:val="auto"/>
              </w:rPr>
              <w:t>greater past due</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2540" w:type="dxa"/>
            <w:vAlign w:val="bottom"/>
            <w:tcBorders>
              <w:bottom w:val="single" w:sz="8" w:color="EDEDEE"/>
            </w:tcBorders>
            <w:gridSpan w:val="2"/>
            <w:shd w:val="clear" w:color="auto" w:fill="EDEDEE"/>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DEDEE"/>
          </w:tcPr>
          <w:p>
            <w:pPr>
              <w:jc w:val="right"/>
              <w:ind w:right="181"/>
              <w:spacing w:after="0"/>
              <w:rPr>
                <w:sz w:val="20"/>
                <w:szCs w:val="20"/>
                <w:color w:val="auto"/>
              </w:rPr>
            </w:pPr>
            <w:r>
              <w:rPr>
                <w:rFonts w:ascii="Arial" w:cs="Arial" w:eastAsia="Arial" w:hAnsi="Arial"/>
                <w:sz w:val="16"/>
                <w:szCs w:val="16"/>
                <w:color w:val="auto"/>
              </w:rPr>
              <w:t>5,504</w:t>
            </w:r>
          </w:p>
        </w:tc>
        <w:tc>
          <w:tcPr>
            <w:tcW w:w="2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DEDEE"/>
          </w:tcPr>
          <w:p>
            <w:pPr>
              <w:jc w:val="right"/>
              <w:ind w:right="201"/>
              <w:spacing w:after="0"/>
              <w:rPr>
                <w:sz w:val="20"/>
                <w:szCs w:val="20"/>
                <w:color w:val="auto"/>
              </w:rPr>
            </w:pPr>
            <w:r>
              <w:rPr>
                <w:rFonts w:ascii="Arial" w:cs="Arial" w:eastAsia="Arial" w:hAnsi="Arial"/>
                <w:sz w:val="16"/>
                <w:szCs w:val="16"/>
                <w:color w:val="auto"/>
              </w:rPr>
              <w:t>3,228</w:t>
            </w:r>
          </w:p>
        </w:tc>
        <w:tc>
          <w:tcPr>
            <w:tcW w:w="2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DEDEE"/>
          </w:tcPr>
          <w:p>
            <w:pPr>
              <w:jc w:val="right"/>
              <w:ind w:right="181"/>
              <w:spacing w:after="0"/>
              <w:rPr>
                <w:sz w:val="20"/>
                <w:szCs w:val="20"/>
                <w:color w:val="auto"/>
              </w:rPr>
            </w:pPr>
            <w:r>
              <w:rPr>
                <w:rFonts w:ascii="Arial" w:cs="Arial" w:eastAsia="Arial" w:hAnsi="Arial"/>
                <w:sz w:val="16"/>
                <w:szCs w:val="16"/>
                <w:color w:val="auto"/>
              </w:rPr>
              <w:t>2,203</w:t>
            </w:r>
          </w:p>
        </w:tc>
        <w:tc>
          <w:tcPr>
            <w:tcW w:w="2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DEDEE"/>
          </w:tcPr>
          <w:p>
            <w:pPr>
              <w:jc w:val="right"/>
              <w:ind w:right="241"/>
              <w:spacing w:after="0"/>
              <w:rPr>
                <w:sz w:val="20"/>
                <w:szCs w:val="20"/>
                <w:color w:val="auto"/>
              </w:rPr>
            </w:pPr>
            <w:r>
              <w:rPr>
                <w:rFonts w:ascii="Arial" w:cs="Arial" w:eastAsia="Arial" w:hAnsi="Arial"/>
                <w:sz w:val="16"/>
                <w:szCs w:val="16"/>
                <w:color w:val="auto"/>
              </w:rPr>
              <w:t>1,598</w:t>
            </w: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DEDEE"/>
          </w:tcPr>
          <w:p>
            <w:pPr>
              <w:jc w:val="right"/>
              <w:ind w:right="121"/>
              <w:spacing w:after="0"/>
              <w:rPr>
                <w:sz w:val="20"/>
                <w:szCs w:val="20"/>
                <w:color w:val="auto"/>
              </w:rPr>
            </w:pPr>
            <w:r>
              <w:rPr>
                <w:rFonts w:ascii="Arial" w:cs="Arial" w:eastAsia="Arial" w:hAnsi="Arial"/>
                <w:sz w:val="16"/>
                <w:szCs w:val="16"/>
                <w:color w:val="auto"/>
              </w:rPr>
              <w:t>3,835</w:t>
            </w:r>
          </w:p>
        </w:tc>
        <w:tc>
          <w:tcPr>
            <w:tcW w:w="2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DEDEE"/>
          </w:tcPr>
          <w:p>
            <w:pPr>
              <w:jc w:val="right"/>
              <w:ind w:right="122"/>
              <w:spacing w:after="0"/>
              <w:rPr>
                <w:sz w:val="20"/>
                <w:szCs w:val="20"/>
                <w:color w:val="auto"/>
              </w:rPr>
            </w:pPr>
            <w:r>
              <w:rPr>
                <w:rFonts w:ascii="Arial" w:cs="Arial" w:eastAsia="Arial" w:hAnsi="Arial"/>
                <w:sz w:val="16"/>
                <w:szCs w:val="16"/>
                <w:color w:val="auto"/>
              </w:rPr>
              <w:t>6,064</w:t>
            </w:r>
          </w:p>
        </w:tc>
        <w:tc>
          <w:tcPr>
            <w:tcW w:w="120" w:type="dxa"/>
            <w:vAlign w:val="bottom"/>
            <w:tcBorders>
              <w:bottom w:val="single" w:sz="8" w:color="EDEDEE"/>
            </w:tcBorders>
            <w:shd w:val="clear" w:color="auto" w:fill="EDEDEE"/>
          </w:tcPr>
          <w:p>
            <w:pPr>
              <w:spacing w:after="0"/>
              <w:rPr>
                <w:sz w:val="20"/>
                <w:szCs w:val="20"/>
                <w:color w:val="auto"/>
              </w:rPr>
            </w:pPr>
          </w:p>
        </w:tc>
        <w:tc>
          <w:tcPr>
            <w:tcW w:w="240" w:type="dxa"/>
            <w:vAlign w:val="bottom"/>
            <w:tcBorders>
              <w:bottom w:val="single" w:sz="8" w:color="EDEDEE"/>
            </w:tcBorders>
            <w:shd w:val="clear" w:color="auto" w:fill="EDEDEE"/>
          </w:tcPr>
          <w:p>
            <w:pPr>
              <w:spacing w:after="0"/>
              <w:rPr>
                <w:sz w:val="20"/>
                <w:szCs w:val="20"/>
                <w:color w:val="auto"/>
              </w:rPr>
            </w:pPr>
          </w:p>
        </w:tc>
        <w:tc>
          <w:tcPr>
            <w:tcW w:w="840" w:type="dxa"/>
            <w:vAlign w:val="bottom"/>
            <w:tcBorders>
              <w:bottom w:val="single" w:sz="8" w:color="EDEDEE"/>
            </w:tcBorders>
            <w:shd w:val="clear" w:color="auto" w:fill="EDEDEE"/>
          </w:tcPr>
          <w:p>
            <w:pPr>
              <w:jc w:val="right"/>
              <w:ind w:right="140"/>
              <w:spacing w:after="0"/>
              <w:rPr>
                <w:sz w:val="20"/>
                <w:szCs w:val="20"/>
                <w:color w:val="auto"/>
              </w:rPr>
            </w:pPr>
            <w:r>
              <w:rPr>
                <w:rFonts w:ascii="Arial" w:cs="Arial" w:eastAsia="Arial" w:hAnsi="Arial"/>
                <w:sz w:val="16"/>
                <w:szCs w:val="16"/>
                <w:color w:val="auto"/>
              </w:rPr>
              <w:t>22,432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540" w:type="dxa"/>
            <w:vAlign w:val="bottom"/>
            <w:tcBorders>
              <w:top w:val="single" w:sz="8" w:color="EDEDEE"/>
              <w:bottom w:val="single" w:sz="8" w:color="EDEDEE"/>
            </w:tcBorders>
            <w:gridSpan w:val="2"/>
            <w:vMerge w:val="restart"/>
          </w:tcPr>
          <w:p>
            <w:pPr>
              <w:ind w:left="20"/>
              <w:spacing w:after="0" w:line="149" w:lineRule="exact"/>
              <w:rPr>
                <w:sz w:val="20"/>
                <w:szCs w:val="20"/>
                <w:color w:val="auto"/>
              </w:rPr>
            </w:pPr>
            <w:r>
              <w:rPr>
                <w:rFonts w:ascii="Arial" w:cs="Arial" w:eastAsia="Arial" w:hAnsi="Arial"/>
                <w:sz w:val="16"/>
                <w:szCs w:val="16"/>
                <w:color w:val="auto"/>
              </w:rPr>
              <w:t>Deferred origination costs and</w:t>
            </w:r>
          </w:p>
        </w:tc>
        <w:tc>
          <w:tcPr>
            <w:tcW w:w="160" w:type="dxa"/>
            <w:vAlign w:val="bottom"/>
            <w:tcBorders>
              <w:top w:val="single" w:sz="8" w:color="EDEDEE"/>
              <w:bottom w:val="single" w:sz="8" w:color="auto"/>
            </w:tcBorders>
          </w:tcPr>
          <w:p>
            <w:pPr>
              <w:spacing w:after="0" w:line="20" w:lineRule="exact"/>
              <w:rPr>
                <w:sz w:val="1"/>
                <w:szCs w:val="1"/>
                <w:color w:val="auto"/>
              </w:rPr>
            </w:pPr>
          </w:p>
        </w:tc>
        <w:tc>
          <w:tcPr>
            <w:tcW w:w="820" w:type="dxa"/>
            <w:vAlign w:val="bottom"/>
            <w:tcBorders>
              <w:top w:val="single" w:sz="8" w:color="EDEDEE"/>
              <w:bottom w:val="single" w:sz="8" w:color="auto"/>
            </w:tcBorders>
          </w:tcPr>
          <w:p>
            <w:pPr>
              <w:spacing w:after="0" w:line="20" w:lineRule="exact"/>
              <w:rPr>
                <w:sz w:val="1"/>
                <w:szCs w:val="1"/>
                <w:color w:val="auto"/>
              </w:rPr>
            </w:pPr>
          </w:p>
        </w:tc>
        <w:tc>
          <w:tcPr>
            <w:tcW w:w="200" w:type="dxa"/>
            <w:vAlign w:val="bottom"/>
            <w:tcBorders>
              <w:top w:val="single" w:sz="8" w:color="EDEDEE"/>
              <w:bottom w:val="single" w:sz="8" w:color="auto"/>
            </w:tcBorders>
          </w:tcPr>
          <w:p>
            <w:pPr>
              <w:spacing w:after="0" w:line="20" w:lineRule="exact"/>
              <w:rPr>
                <w:sz w:val="1"/>
                <w:szCs w:val="1"/>
                <w:color w:val="auto"/>
              </w:rPr>
            </w:pPr>
          </w:p>
        </w:tc>
        <w:tc>
          <w:tcPr>
            <w:tcW w:w="860" w:type="dxa"/>
            <w:vAlign w:val="bottom"/>
            <w:tcBorders>
              <w:top w:val="single" w:sz="8" w:color="EDEDEE"/>
              <w:bottom w:val="single" w:sz="8" w:color="auto"/>
            </w:tcBorders>
          </w:tcPr>
          <w:p>
            <w:pPr>
              <w:spacing w:after="0" w:line="20" w:lineRule="exact"/>
              <w:rPr>
                <w:sz w:val="1"/>
                <w:szCs w:val="1"/>
                <w:color w:val="auto"/>
              </w:rPr>
            </w:pPr>
          </w:p>
        </w:tc>
        <w:tc>
          <w:tcPr>
            <w:tcW w:w="200" w:type="dxa"/>
            <w:vAlign w:val="bottom"/>
            <w:tcBorders>
              <w:top w:val="single" w:sz="8" w:color="EDEDEE"/>
              <w:bottom w:val="single" w:sz="8" w:color="auto"/>
            </w:tcBorders>
          </w:tcPr>
          <w:p>
            <w:pPr>
              <w:spacing w:after="0" w:line="20" w:lineRule="exact"/>
              <w:rPr>
                <w:sz w:val="1"/>
                <w:szCs w:val="1"/>
                <w:color w:val="auto"/>
              </w:rPr>
            </w:pPr>
          </w:p>
        </w:tc>
        <w:tc>
          <w:tcPr>
            <w:tcW w:w="84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1020" w:type="dxa"/>
            <w:vAlign w:val="bottom"/>
            <w:tcBorders>
              <w:top w:val="single" w:sz="8" w:color="EDEDEE"/>
              <w:bottom w:val="single" w:sz="8" w:color="auto"/>
            </w:tcBorders>
          </w:tcPr>
          <w:p>
            <w:pPr>
              <w:spacing w:after="0" w:line="20" w:lineRule="exact"/>
              <w:rPr>
                <w:sz w:val="1"/>
                <w:szCs w:val="1"/>
                <w:color w:val="auto"/>
              </w:rPr>
            </w:pPr>
          </w:p>
        </w:tc>
        <w:tc>
          <w:tcPr>
            <w:tcW w:w="260" w:type="dxa"/>
            <w:vAlign w:val="bottom"/>
            <w:tcBorders>
              <w:top w:val="single" w:sz="8" w:color="EDEDEE"/>
              <w:bottom w:val="single" w:sz="8" w:color="auto"/>
            </w:tcBorders>
          </w:tcPr>
          <w:p>
            <w:pPr>
              <w:spacing w:after="0" w:line="20" w:lineRule="exact"/>
              <w:rPr>
                <w:sz w:val="1"/>
                <w:szCs w:val="1"/>
                <w:color w:val="auto"/>
              </w:rPr>
            </w:pPr>
          </w:p>
        </w:tc>
        <w:tc>
          <w:tcPr>
            <w:tcW w:w="100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tcBorders>
          </w:tcPr>
          <w:p>
            <w:pPr>
              <w:spacing w:after="0" w:line="20" w:lineRule="exact"/>
              <w:rPr>
                <w:sz w:val="1"/>
                <w:szCs w:val="1"/>
                <w:color w:val="auto"/>
              </w:rPr>
            </w:pPr>
          </w:p>
        </w:tc>
        <w:tc>
          <w:tcPr>
            <w:tcW w:w="240" w:type="dxa"/>
            <w:vAlign w:val="bottom"/>
            <w:tcBorders>
              <w:top w:val="single" w:sz="8" w:color="EDEDEE"/>
            </w:tcBorders>
          </w:tcPr>
          <w:p>
            <w:pPr>
              <w:spacing w:after="0" w:line="20" w:lineRule="exact"/>
              <w:rPr>
                <w:sz w:val="1"/>
                <w:szCs w:val="1"/>
                <w:color w:val="auto"/>
              </w:rPr>
            </w:pPr>
          </w:p>
        </w:tc>
        <w:tc>
          <w:tcPr>
            <w:tcW w:w="840" w:type="dxa"/>
            <w:vAlign w:val="bottom"/>
            <w:tcBorders>
              <w:top w:val="single" w:sz="8" w:color="EDEDEE"/>
              <w:bottom w:val="single" w:sz="8" w:color="EDEDEE"/>
            </w:tcBorders>
            <w:vMerge w:val="restart"/>
          </w:tcPr>
          <w:p>
            <w:pPr>
              <w:jc w:val="right"/>
              <w:ind w:right="140"/>
              <w:spacing w:after="0"/>
              <w:rPr>
                <w:sz w:val="20"/>
                <w:szCs w:val="20"/>
                <w:color w:val="auto"/>
              </w:rPr>
            </w:pPr>
            <w:r>
              <w:rPr>
                <w:rFonts w:ascii="Arial" w:cs="Arial" w:eastAsia="Arial" w:hAnsi="Arial"/>
                <w:sz w:val="16"/>
                <w:szCs w:val="16"/>
                <w:color w:val="auto"/>
              </w:rPr>
              <w:t>103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2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unamortized premium/(discount)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540" w:type="dxa"/>
            <w:vAlign w:val="bottom"/>
            <w:gridSpan w:val="2"/>
            <w:shd w:val="clear" w:color="auto" w:fill="EDEDEE"/>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shd w:val="clear" w:color="auto" w:fill="EDEDEE"/>
          </w:tcPr>
          <w:p>
            <w:pPr>
              <w:spacing w:after="0"/>
              <w:rPr>
                <w:sz w:val="18"/>
                <w:szCs w:val="18"/>
                <w:color w:val="auto"/>
              </w:rPr>
            </w:pPr>
          </w:p>
        </w:tc>
        <w:tc>
          <w:tcPr>
            <w:tcW w:w="82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86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84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90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10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240" w:type="dxa"/>
            <w:vAlign w:val="bottom"/>
            <w:tcBorders>
              <w:bottom w:val="single" w:sz="8" w:color="auto"/>
            </w:tcBorders>
            <w:shd w:val="clear" w:color="auto" w:fill="EDEDEE"/>
          </w:tcPr>
          <w:p>
            <w:pPr>
              <w:spacing w:after="0"/>
              <w:rPr>
                <w:sz w:val="18"/>
                <w:szCs w:val="18"/>
                <w:color w:val="auto"/>
              </w:rPr>
            </w:pPr>
          </w:p>
        </w:tc>
        <w:tc>
          <w:tcPr>
            <w:tcW w:w="840" w:type="dxa"/>
            <w:vAlign w:val="bottom"/>
            <w:tcBorders>
              <w:bottom w:val="single" w:sz="8" w:color="auto"/>
            </w:tcBorders>
            <w:shd w:val="clear" w:color="auto" w:fill="EDEDEE"/>
          </w:tcPr>
          <w:p>
            <w:pPr>
              <w:jc w:val="right"/>
              <w:ind w:right="80"/>
              <w:spacing w:after="0"/>
              <w:rPr>
                <w:sz w:val="20"/>
                <w:szCs w:val="20"/>
                <w:color w:val="auto"/>
              </w:rPr>
            </w:pPr>
            <w:r>
              <w:rPr>
                <w:rFonts w:ascii="Arial" w:cs="Arial" w:eastAsia="Arial" w:hAnsi="Arial"/>
                <w:sz w:val="16"/>
                <w:szCs w:val="16"/>
                <w:color w:val="auto"/>
              </w:rPr>
              <w:t>(1,444)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540" w:type="dxa"/>
            <w:vAlign w:val="bottom"/>
            <w:gridSpan w:val="2"/>
          </w:tcPr>
          <w:p>
            <w:pPr>
              <w:ind w:left="20"/>
              <w:spacing w:after="0" w:line="142" w:lineRule="exact"/>
              <w:rPr>
                <w:sz w:val="20"/>
                <w:szCs w:val="20"/>
                <w:color w:val="auto"/>
              </w:rPr>
            </w:pPr>
            <w:r>
              <w:rPr>
                <w:rFonts w:ascii="Arial" w:cs="Arial" w:eastAsia="Arial" w:hAnsi="Arial"/>
                <w:sz w:val="16"/>
                <w:szCs w:val="16"/>
                <w:color w:val="144F82"/>
              </w:rPr>
              <w:t>Total Private Education Loans,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40"/>
              <w:spacing w:after="0"/>
              <w:rPr>
                <w:sz w:val="20"/>
                <w:szCs w:val="20"/>
                <w:color w:val="auto"/>
              </w:rPr>
            </w:pPr>
            <w:r>
              <w:rPr>
                <w:rFonts w:ascii="Arial" w:cs="Arial" w:eastAsia="Arial" w:hAnsi="Arial"/>
                <w:sz w:val="16"/>
                <w:szCs w:val="16"/>
                <w:color w:val="auto"/>
              </w:rPr>
              <w:t>21,091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2540" w:type="dxa"/>
            <w:vAlign w:val="bottom"/>
            <w:gridSpan w:val="2"/>
          </w:tcPr>
          <w:p>
            <w:pPr>
              <w:ind w:left="20"/>
              <w:spacing w:after="0"/>
              <w:rPr>
                <w:sz w:val="20"/>
                <w:szCs w:val="20"/>
                <w:color w:val="auto"/>
              </w:rPr>
            </w:pPr>
            <w:r>
              <w:rPr>
                <w:rFonts w:ascii="Arial" w:cs="Arial" w:eastAsia="Arial" w:hAnsi="Arial"/>
                <w:sz w:val="16"/>
                <w:szCs w:val="16"/>
                <w:color w:val="144F82"/>
              </w:rPr>
              <w:t>net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500" w:type="dxa"/>
            <w:vAlign w:val="bottom"/>
            <w:tcBorders>
              <w:bottom w:val="single" w:sz="8" w:color="EDEDEE"/>
            </w:tcBorders>
          </w:tcPr>
          <w:p>
            <w:pPr>
              <w:spacing w:after="0" w:line="20" w:lineRule="exact"/>
              <w:rPr>
                <w:sz w:val="1"/>
                <w:szCs w:val="1"/>
                <w:color w:val="auto"/>
              </w:rPr>
            </w:pPr>
          </w:p>
        </w:tc>
        <w:tc>
          <w:tcPr>
            <w:tcW w:w="40" w:type="dxa"/>
            <w:vAlign w:val="bottom"/>
            <w:tcBorders>
              <w:bottom w:val="single" w:sz="8" w:color="EDEDEE"/>
            </w:tcBorders>
          </w:tcPr>
          <w:p>
            <w:pPr>
              <w:spacing w:after="0" w:line="20" w:lineRule="exact"/>
              <w:rPr>
                <w:sz w:val="1"/>
                <w:szCs w:val="1"/>
                <w:color w:val="auto"/>
              </w:rPr>
            </w:pPr>
          </w:p>
        </w:tc>
        <w:tc>
          <w:tcPr>
            <w:tcW w:w="160" w:type="dxa"/>
            <w:vAlign w:val="bottom"/>
            <w:tcBorders>
              <w:bottom w:val="single" w:sz="8" w:color="EDEDEE"/>
            </w:tcBorders>
          </w:tcPr>
          <w:p>
            <w:pPr>
              <w:spacing w:after="0" w:line="20" w:lineRule="exact"/>
              <w:rPr>
                <w:sz w:val="1"/>
                <w:szCs w:val="1"/>
                <w:color w:val="auto"/>
              </w:rPr>
            </w:pPr>
          </w:p>
        </w:tc>
        <w:tc>
          <w:tcPr>
            <w:tcW w:w="820" w:type="dxa"/>
            <w:vAlign w:val="bottom"/>
            <w:tcBorders>
              <w:bottom w:val="single" w:sz="8" w:color="EDEDEE"/>
            </w:tcBorders>
          </w:tcPr>
          <w:p>
            <w:pPr>
              <w:spacing w:after="0" w:line="20" w:lineRule="exact"/>
              <w:rPr>
                <w:sz w:val="1"/>
                <w:szCs w:val="1"/>
                <w:color w:val="auto"/>
              </w:rPr>
            </w:pPr>
          </w:p>
        </w:tc>
        <w:tc>
          <w:tcPr>
            <w:tcW w:w="200" w:type="dxa"/>
            <w:vAlign w:val="bottom"/>
            <w:tcBorders>
              <w:bottom w:val="single" w:sz="8" w:color="EDEDEE"/>
            </w:tcBorders>
          </w:tcPr>
          <w:p>
            <w:pPr>
              <w:spacing w:after="0" w:line="20" w:lineRule="exact"/>
              <w:rPr>
                <w:sz w:val="1"/>
                <w:szCs w:val="1"/>
                <w:color w:val="auto"/>
              </w:rPr>
            </w:pPr>
          </w:p>
        </w:tc>
        <w:tc>
          <w:tcPr>
            <w:tcW w:w="860" w:type="dxa"/>
            <w:vAlign w:val="bottom"/>
            <w:tcBorders>
              <w:bottom w:val="single" w:sz="8" w:color="EDEDEE"/>
            </w:tcBorders>
          </w:tcPr>
          <w:p>
            <w:pPr>
              <w:spacing w:after="0" w:line="20" w:lineRule="exact"/>
              <w:rPr>
                <w:sz w:val="1"/>
                <w:szCs w:val="1"/>
                <w:color w:val="auto"/>
              </w:rPr>
            </w:pPr>
          </w:p>
        </w:tc>
        <w:tc>
          <w:tcPr>
            <w:tcW w:w="200" w:type="dxa"/>
            <w:vAlign w:val="bottom"/>
            <w:tcBorders>
              <w:bottom w:val="single" w:sz="8" w:color="EDEDEE"/>
            </w:tcBorders>
          </w:tcPr>
          <w:p>
            <w:pPr>
              <w:spacing w:after="0" w:line="20" w:lineRule="exact"/>
              <w:rPr>
                <w:sz w:val="1"/>
                <w:szCs w:val="1"/>
                <w:color w:val="auto"/>
              </w:rPr>
            </w:pPr>
          </w:p>
        </w:tc>
        <w:tc>
          <w:tcPr>
            <w:tcW w:w="840" w:type="dxa"/>
            <w:vAlign w:val="bottom"/>
            <w:tcBorders>
              <w:bottom w:val="single" w:sz="8" w:color="EDEDEE"/>
            </w:tcBorders>
          </w:tcPr>
          <w:p>
            <w:pPr>
              <w:spacing w:after="0" w:line="20" w:lineRule="exact"/>
              <w:rPr>
                <w:sz w:val="1"/>
                <w:szCs w:val="1"/>
                <w:color w:val="auto"/>
              </w:rPr>
            </w:pPr>
          </w:p>
        </w:tc>
        <w:tc>
          <w:tcPr>
            <w:tcW w:w="220" w:type="dxa"/>
            <w:vAlign w:val="bottom"/>
            <w:tcBorders>
              <w:bottom w:val="single" w:sz="8" w:color="EDEDEE"/>
            </w:tcBorders>
          </w:tcPr>
          <w:p>
            <w:pPr>
              <w:spacing w:after="0" w:line="20" w:lineRule="exact"/>
              <w:rPr>
                <w:sz w:val="1"/>
                <w:szCs w:val="1"/>
                <w:color w:val="auto"/>
              </w:rPr>
            </w:pPr>
          </w:p>
        </w:tc>
        <w:tc>
          <w:tcPr>
            <w:tcW w:w="900" w:type="dxa"/>
            <w:vAlign w:val="bottom"/>
            <w:tcBorders>
              <w:bottom w:val="single" w:sz="8" w:color="EDEDEE"/>
            </w:tcBorders>
          </w:tcPr>
          <w:p>
            <w:pPr>
              <w:spacing w:after="0" w:line="20" w:lineRule="exact"/>
              <w:rPr>
                <w:sz w:val="1"/>
                <w:szCs w:val="1"/>
                <w:color w:val="auto"/>
              </w:rPr>
            </w:pPr>
          </w:p>
        </w:tc>
        <w:tc>
          <w:tcPr>
            <w:tcW w:w="120" w:type="dxa"/>
            <w:vAlign w:val="bottom"/>
            <w:tcBorders>
              <w:bottom w:val="single" w:sz="8" w:color="EDEDEE"/>
            </w:tcBorders>
          </w:tcPr>
          <w:p>
            <w:pPr>
              <w:spacing w:after="0" w:line="20" w:lineRule="exact"/>
              <w:rPr>
                <w:sz w:val="1"/>
                <w:szCs w:val="1"/>
                <w:color w:val="auto"/>
              </w:rPr>
            </w:pPr>
          </w:p>
        </w:tc>
        <w:tc>
          <w:tcPr>
            <w:tcW w:w="1020" w:type="dxa"/>
            <w:vAlign w:val="bottom"/>
            <w:tcBorders>
              <w:bottom w:val="single" w:sz="8" w:color="EDEDEE"/>
            </w:tcBorders>
          </w:tcPr>
          <w:p>
            <w:pPr>
              <w:spacing w:after="0" w:line="20" w:lineRule="exact"/>
              <w:rPr>
                <w:sz w:val="1"/>
                <w:szCs w:val="1"/>
                <w:color w:val="auto"/>
              </w:rPr>
            </w:pPr>
          </w:p>
        </w:tc>
        <w:tc>
          <w:tcPr>
            <w:tcW w:w="260" w:type="dxa"/>
            <w:vAlign w:val="bottom"/>
            <w:tcBorders>
              <w:bottom w:val="single" w:sz="8" w:color="EDEDEE"/>
            </w:tcBorders>
          </w:tcPr>
          <w:p>
            <w:pPr>
              <w:spacing w:after="0" w:line="20" w:lineRule="exact"/>
              <w:rPr>
                <w:sz w:val="1"/>
                <w:szCs w:val="1"/>
                <w:color w:val="auto"/>
              </w:rPr>
            </w:pPr>
          </w:p>
        </w:tc>
        <w:tc>
          <w:tcPr>
            <w:tcW w:w="1000" w:type="dxa"/>
            <w:vAlign w:val="bottom"/>
            <w:tcBorders>
              <w:bottom w:val="single" w:sz="8" w:color="EDEDEE"/>
            </w:tcBorders>
          </w:tcPr>
          <w:p>
            <w:pPr>
              <w:spacing w:after="0" w:line="20" w:lineRule="exact"/>
              <w:rPr>
                <w:sz w:val="1"/>
                <w:szCs w:val="1"/>
                <w:color w:val="auto"/>
              </w:rPr>
            </w:pPr>
          </w:p>
        </w:tc>
        <w:tc>
          <w:tcPr>
            <w:tcW w:w="120" w:type="dxa"/>
            <w:vAlign w:val="bottom"/>
            <w:tcBorders>
              <w:bottom w:val="single" w:sz="8" w:color="EDEDEE"/>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2500" w:type="dxa"/>
            <w:vAlign w:val="bottom"/>
            <w:shd w:val="clear" w:color="auto" w:fill="EDEDEE"/>
          </w:tcPr>
          <w:p>
            <w:pPr>
              <w:spacing w:after="0"/>
              <w:rPr>
                <w:sz w:val="18"/>
                <w:szCs w:val="18"/>
                <w:color w:val="auto"/>
              </w:rPr>
            </w:pPr>
          </w:p>
        </w:tc>
        <w:tc>
          <w:tcPr>
            <w:tcW w:w="40" w:type="dxa"/>
            <w:vAlign w:val="bottom"/>
            <w:shd w:val="clear" w:color="auto" w:fill="EDEDEE"/>
          </w:tcPr>
          <w:p>
            <w:pPr>
              <w:spacing w:after="0"/>
              <w:rPr>
                <w:sz w:val="18"/>
                <w:szCs w:val="18"/>
                <w:color w:val="auto"/>
              </w:rPr>
            </w:pPr>
          </w:p>
        </w:tc>
        <w:tc>
          <w:tcPr>
            <w:tcW w:w="160" w:type="dxa"/>
            <w:vAlign w:val="bottom"/>
            <w:shd w:val="clear" w:color="auto" w:fill="EDEDEE"/>
          </w:tcPr>
          <w:p>
            <w:pPr>
              <w:spacing w:after="0"/>
              <w:rPr>
                <w:sz w:val="18"/>
                <w:szCs w:val="18"/>
                <w:color w:val="auto"/>
              </w:rPr>
            </w:pPr>
          </w:p>
        </w:tc>
        <w:tc>
          <w:tcPr>
            <w:tcW w:w="82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86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84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90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102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0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840" w:type="dxa"/>
            <w:vAlign w:val="bottom"/>
            <w:shd w:val="clear" w:color="auto" w:fill="EDEDE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Loans in forbearance as a</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percentage of total Private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Education Loans in repayment</w:t>
            </w:r>
          </w:p>
        </w:tc>
        <w:tc>
          <w:tcPr>
            <w:tcW w:w="16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1.77 %</w:t>
            </w:r>
          </w:p>
        </w:tc>
        <w:tc>
          <w:tcPr>
            <w:tcW w:w="20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0.40 %</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0.27 %</w:t>
            </w:r>
          </w:p>
        </w:tc>
        <w:tc>
          <w:tcPr>
            <w:tcW w:w="220" w:type="dxa"/>
            <w:vAlign w:val="bottom"/>
          </w:tcPr>
          <w:p>
            <w:pPr>
              <w:spacing w:after="0"/>
              <w:rPr>
                <w:sz w:val="14"/>
                <w:szCs w:val="14"/>
                <w:color w:val="auto"/>
              </w:rPr>
            </w:pP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color w:val="auto"/>
              </w:rPr>
              <w:t>0.17 %</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0.23 %</w:t>
            </w:r>
          </w:p>
        </w:tc>
        <w:tc>
          <w:tcPr>
            <w:tcW w:w="260" w:type="dxa"/>
            <w:vAlign w:val="bottom"/>
          </w:tcPr>
          <w:p>
            <w:pPr>
              <w:spacing w:after="0"/>
              <w:rPr>
                <w:sz w:val="14"/>
                <w:szCs w:val="14"/>
                <w:color w:val="auto"/>
              </w:rPr>
            </w:pPr>
          </w:p>
        </w:tc>
        <w:tc>
          <w:tcPr>
            <w:tcW w:w="1120" w:type="dxa"/>
            <w:vAlign w:val="bottom"/>
            <w:gridSpan w:val="2"/>
            <w:vMerge w:val="restart"/>
          </w:tcPr>
          <w:p>
            <w:pPr>
              <w:ind w:left="64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2.84 %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and forbearance</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gridSpan w:val="6"/>
          </w:tcPr>
          <w:p>
            <w:pPr>
              <w:jc w:val="right"/>
              <w:spacing w:after="0"/>
              <w:rPr>
                <w:sz w:val="20"/>
                <w:szCs w:val="20"/>
                <w:color w:val="auto"/>
              </w:rPr>
            </w:pPr>
            <w:r>
              <w:rPr>
                <w:rFonts w:ascii="Arial" w:cs="Arial" w:eastAsia="Arial" w:hAnsi="Arial"/>
                <w:sz w:val="14"/>
                <w:szCs w:val="14"/>
                <w:b w:val="1"/>
                <w:bCs w:val="1"/>
                <w:color w:val="144F82"/>
              </w:rPr>
              <w:t>Private Education Loans Held for Investment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gridSpan w:val="9"/>
          </w:tcPr>
          <w:p>
            <w:pPr>
              <w:jc w:val="right"/>
              <w:ind w:right="701"/>
              <w:spacing w:after="0"/>
              <w:rPr>
                <w:sz w:val="20"/>
                <w:szCs w:val="20"/>
                <w:color w:val="auto"/>
              </w:rPr>
            </w:pPr>
            <w:r>
              <w:rPr>
                <w:rFonts w:ascii="Arial" w:cs="Arial" w:eastAsia="Arial" w:hAnsi="Arial"/>
                <w:sz w:val="14"/>
                <w:szCs w:val="14"/>
                <w:b w:val="1"/>
                <w:bCs w:val="1"/>
                <w:color w:val="144F82"/>
              </w:rPr>
              <w:t>Aged by Number of Months in Active Repayment Status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00" w:type="dxa"/>
            <w:vAlign w:val="bottom"/>
            <w:gridSpan w:val="3"/>
          </w:tcPr>
          <w:p>
            <w:pPr>
              <w:ind w:left="20"/>
              <w:spacing w:after="0"/>
              <w:rPr>
                <w:sz w:val="20"/>
                <w:szCs w:val="20"/>
                <w:color w:val="auto"/>
              </w:rPr>
            </w:pPr>
            <w:r>
              <w:rPr>
                <w:rFonts w:ascii="Arial" w:cs="Arial" w:eastAsia="Arial" w:hAnsi="Arial"/>
                <w:sz w:val="13"/>
                <w:szCs w:val="13"/>
                <w:b w:val="1"/>
                <w:bCs w:val="1"/>
                <w:color w:val="144F82"/>
              </w:rPr>
              <w:t>As of March 31, 2024</w:t>
            </w:r>
          </w:p>
        </w:tc>
        <w:tc>
          <w:tcPr>
            <w:tcW w:w="160" w:type="dxa"/>
            <w:vAlign w:val="bottom"/>
          </w:tcPr>
          <w:p>
            <w:pPr>
              <w:spacing w:after="0"/>
              <w:rPr>
                <w:sz w:val="14"/>
                <w:szCs w:val="14"/>
                <w:color w:val="auto"/>
              </w:rPr>
            </w:pPr>
          </w:p>
        </w:tc>
        <w:tc>
          <w:tcPr>
            <w:tcW w:w="8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144F82"/>
              </w:rPr>
              <w:t>0 to 12</w:t>
            </w:r>
          </w:p>
        </w:tc>
        <w:tc>
          <w:tcPr>
            <w:tcW w:w="200" w:type="dxa"/>
            <w:vAlign w:val="bottom"/>
          </w:tcPr>
          <w:p>
            <w:pPr>
              <w:spacing w:after="0"/>
              <w:rPr>
                <w:sz w:val="14"/>
                <w:szCs w:val="14"/>
                <w:color w:val="auto"/>
              </w:rPr>
            </w:pPr>
          </w:p>
        </w:tc>
        <w:tc>
          <w:tcPr>
            <w:tcW w:w="8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144F82"/>
              </w:rPr>
              <w:t>13 to 24</w:t>
            </w:r>
          </w:p>
        </w:tc>
        <w:tc>
          <w:tcPr>
            <w:tcW w:w="200" w:type="dxa"/>
            <w:vAlign w:val="bottom"/>
          </w:tcPr>
          <w:p>
            <w:pPr>
              <w:spacing w:after="0"/>
              <w:rPr>
                <w:sz w:val="14"/>
                <w:szCs w:val="14"/>
                <w:color w:val="auto"/>
              </w:rPr>
            </w:pPr>
          </w:p>
        </w:tc>
        <w:tc>
          <w:tcPr>
            <w:tcW w:w="8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144F82"/>
              </w:rPr>
              <w:t>25 to 36</w:t>
            </w:r>
          </w:p>
        </w:tc>
        <w:tc>
          <w:tcPr>
            <w:tcW w:w="220" w:type="dxa"/>
            <w:vAlign w:val="bottom"/>
          </w:tcPr>
          <w:p>
            <w:pPr>
              <w:spacing w:after="0"/>
              <w:rPr>
                <w:sz w:val="14"/>
                <w:szCs w:val="14"/>
                <w:color w:val="auto"/>
              </w:rPr>
            </w:pPr>
          </w:p>
        </w:tc>
        <w:tc>
          <w:tcPr>
            <w:tcW w:w="9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144F82"/>
              </w:rPr>
              <w:t>37 to 48</w:t>
            </w:r>
          </w:p>
        </w:tc>
        <w:tc>
          <w:tcPr>
            <w:tcW w:w="120" w:type="dxa"/>
            <w:vAlign w:val="bottom"/>
          </w:tcPr>
          <w:p>
            <w:pPr>
              <w:spacing w:after="0"/>
              <w:rPr>
                <w:sz w:val="14"/>
                <w:szCs w:val="14"/>
                <w:color w:val="auto"/>
              </w:rPr>
            </w:pPr>
          </w:p>
        </w:tc>
        <w:tc>
          <w:tcPr>
            <w:tcW w:w="10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144F82"/>
                <w:w w:val="99"/>
              </w:rPr>
              <w:t>More than 48</w:t>
            </w:r>
          </w:p>
        </w:tc>
        <w:tc>
          <w:tcPr>
            <w:tcW w:w="2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144F82"/>
              </w:rPr>
              <w:t>Not Yet in</w:t>
            </w:r>
          </w:p>
        </w:tc>
        <w:tc>
          <w:tcPr>
            <w:tcW w:w="240" w:type="dxa"/>
            <w:vAlign w:val="bottom"/>
          </w:tcPr>
          <w:p>
            <w:pPr>
              <w:spacing w:after="0"/>
              <w:rPr>
                <w:sz w:val="14"/>
                <w:szCs w:val="14"/>
                <w:color w:val="auto"/>
              </w:rPr>
            </w:pPr>
          </w:p>
        </w:tc>
        <w:tc>
          <w:tcPr>
            <w:tcW w:w="84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144F82"/>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0" w:type="dxa"/>
            <w:vAlign w:val="bottom"/>
            <w:gridSpan w:val="3"/>
          </w:tcPr>
          <w:p>
            <w:pPr>
              <w:ind w:left="20"/>
              <w:spacing w:after="0"/>
              <w:rPr>
                <w:sz w:val="20"/>
                <w:szCs w:val="20"/>
                <w:color w:val="auto"/>
              </w:rPr>
            </w:pPr>
            <w:r>
              <w:rPr>
                <w:rFonts w:ascii="Arial" w:cs="Arial" w:eastAsia="Arial" w:hAnsi="Arial"/>
                <w:sz w:val="13"/>
                <w:szCs w:val="13"/>
                <w:b w:val="1"/>
                <w:bCs w:val="1"/>
                <w:color w:val="144F82"/>
              </w:rPr>
              <w:t>(dollars in millions)</w:t>
            </w: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144F82"/>
              </w:rPr>
              <w:t>Repayment</w:t>
            </w: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64337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43370" cy="146050"/>
                    </a:xfrm>
                    <a:prstGeom prst="rect">
                      <a:avLst/>
                    </a:prstGeom>
                    <a:noFill/>
                  </pic:spPr>
                </pic:pic>
              </a:graphicData>
            </a:graphic>
          </wp:anchor>
        </w:drawing>
      </w:r>
    </w:p>
    <w:p>
      <w:pPr>
        <w:sectPr>
          <w:pgSz w:w="11900" w:h="16838" w:orient="portrait"/>
          <w:cols w:equalWidth="0" w:num="1">
            <w:col w:w="10460"/>
          </w:cols>
          <w:pgMar w:left="720" w:top="1426" w:right="719" w:bottom="1440" w:gutter="0" w:footer="0" w:header="0"/>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Loans in-school/grace/deferment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Loans in forbearance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Loans in repayment - current</w:t>
      </w:r>
    </w:p>
    <w:p>
      <w:pPr>
        <w:spacing w:after="0" w:line="32" w:lineRule="exact"/>
        <w:rPr>
          <w:sz w:val="20"/>
          <w:szCs w:val="20"/>
          <w:color w:val="auto"/>
        </w:rPr>
      </w:pPr>
    </w:p>
    <w:p>
      <w:pPr>
        <w:ind w:left="20" w:right="40"/>
        <w:spacing w:after="0" w:line="246" w:lineRule="auto"/>
        <w:rPr>
          <w:sz w:val="20"/>
          <w:szCs w:val="20"/>
          <w:color w:val="auto"/>
        </w:rPr>
      </w:pPr>
      <w:r>
        <w:rPr>
          <w:rFonts w:ascii="Arial" w:cs="Arial" w:eastAsia="Arial" w:hAnsi="Arial"/>
          <w:sz w:val="16"/>
          <w:szCs w:val="16"/>
          <w:color w:val="auto"/>
        </w:rPr>
        <w:t>Loans in repayment - delinquent 30-59 days</w:t>
      </w:r>
    </w:p>
    <w:p>
      <w:pPr>
        <w:spacing w:after="0" w:line="1" w:lineRule="exact"/>
        <w:rPr>
          <w:sz w:val="20"/>
          <w:szCs w:val="20"/>
          <w:color w:val="auto"/>
        </w:rPr>
      </w:pPr>
    </w:p>
    <w:p>
      <w:pPr>
        <w:ind w:left="20" w:right="40"/>
        <w:spacing w:after="0" w:line="246" w:lineRule="auto"/>
        <w:rPr>
          <w:sz w:val="20"/>
          <w:szCs w:val="20"/>
          <w:color w:val="auto"/>
        </w:rPr>
      </w:pPr>
      <w:r>
        <w:rPr>
          <w:rFonts w:ascii="Arial" w:cs="Arial" w:eastAsia="Arial" w:hAnsi="Arial"/>
          <w:sz w:val="16"/>
          <w:szCs w:val="16"/>
          <w:color w:val="auto"/>
        </w:rPr>
        <w:t>Loans in repayment - delinquent 60-89 days</w:t>
      </w:r>
    </w:p>
    <w:p>
      <w:pPr>
        <w:spacing w:after="0" w:line="1" w:lineRule="exact"/>
        <w:rPr>
          <w:sz w:val="20"/>
          <w:szCs w:val="20"/>
          <w:color w:val="auto"/>
        </w:rPr>
      </w:pPr>
    </w:p>
    <w:p>
      <w:pPr>
        <w:ind w:left="20" w:right="20"/>
        <w:spacing w:after="0" w:line="251" w:lineRule="auto"/>
        <w:rPr>
          <w:sz w:val="20"/>
          <w:szCs w:val="20"/>
          <w:color w:val="auto"/>
        </w:rPr>
      </w:pPr>
      <w:r>
        <w:rPr>
          <w:rFonts w:ascii="Arial" w:cs="Arial" w:eastAsia="Arial" w:hAnsi="Arial"/>
          <w:sz w:val="16"/>
          <w:szCs w:val="16"/>
          <w:color w:val="auto"/>
        </w:rPr>
        <w:t>Loans in repayment - 90 days or greater past due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32" w:lineRule="exact"/>
        <w:rPr>
          <w:sz w:val="20"/>
          <w:szCs w:val="20"/>
          <w:color w:val="auto"/>
        </w:rPr>
      </w:pPr>
    </w:p>
    <w:p>
      <w:pPr>
        <w:ind w:left="20" w:right="20"/>
        <w:spacing w:after="0" w:line="246" w:lineRule="auto"/>
        <w:rPr>
          <w:sz w:val="20"/>
          <w:szCs w:val="20"/>
          <w:color w:val="auto"/>
        </w:rPr>
      </w:pPr>
      <w:r>
        <w:rPr>
          <w:rFonts w:ascii="Arial" w:cs="Arial" w:eastAsia="Arial" w:hAnsi="Arial"/>
          <w:sz w:val="16"/>
          <w:szCs w:val="16"/>
          <w:color w:val="auto"/>
        </w:rPr>
        <w:t>Deferred origination costs and unamortized premium/(discount)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Allowance for credit losses</w:t>
      </w:r>
    </w:p>
    <w:p>
      <w:pPr>
        <w:spacing w:after="0" w:line="32" w:lineRule="exact"/>
        <w:rPr>
          <w:sz w:val="20"/>
          <w:szCs w:val="20"/>
          <w:color w:val="auto"/>
        </w:rPr>
      </w:pPr>
    </w:p>
    <w:p>
      <w:pPr>
        <w:ind w:left="20" w:right="160"/>
        <w:spacing w:after="0" w:line="251" w:lineRule="auto"/>
        <w:rPr>
          <w:sz w:val="20"/>
          <w:szCs w:val="20"/>
          <w:color w:val="auto"/>
        </w:rPr>
      </w:pPr>
      <w:r>
        <w:rPr>
          <w:rFonts w:ascii="Arial" w:cs="Arial" w:eastAsia="Arial" w:hAnsi="Arial"/>
          <w:sz w:val="16"/>
          <w:szCs w:val="16"/>
          <w:color w:val="144F82"/>
        </w:rPr>
        <w:t>Total Private Education Loans, net</w:t>
      </w:r>
    </w:p>
    <w:p>
      <w:pPr>
        <w:spacing w:after="0" w:line="209" w:lineRule="exact"/>
        <w:rPr>
          <w:sz w:val="20"/>
          <w:szCs w:val="20"/>
          <w:color w:val="auto"/>
        </w:rPr>
      </w:pPr>
    </w:p>
    <w:p>
      <w:pPr>
        <w:ind w:left="20" w:right="160"/>
        <w:spacing w:after="0" w:line="228" w:lineRule="auto"/>
        <w:rPr>
          <w:sz w:val="20"/>
          <w:szCs w:val="20"/>
          <w:color w:val="auto"/>
        </w:rPr>
      </w:pPr>
      <w:r>
        <w:rPr>
          <w:rFonts w:ascii="Arial" w:cs="Arial" w:eastAsia="Arial" w:hAnsi="Arial"/>
          <w:sz w:val="16"/>
          <w:szCs w:val="16"/>
          <w:color w:val="auto"/>
        </w:rPr>
        <w:t>Loans in forbearance as a percentage of total Private Education Loans in repayment and forbearance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5,603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5,603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235</w:t>
            </w:r>
          </w:p>
        </w:tc>
        <w:tc>
          <w:tcPr>
            <w:tcW w:w="26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8"/>
                <w:szCs w:val="18"/>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3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4,585</w:t>
            </w:r>
          </w:p>
        </w:tc>
        <w:tc>
          <w:tcPr>
            <w:tcW w:w="26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3,044</w:t>
            </w:r>
          </w:p>
        </w:tc>
        <w:tc>
          <w:tcPr>
            <w:tcW w:w="280" w:type="dxa"/>
            <w:vAlign w:val="bottom"/>
          </w:tcPr>
          <w:p>
            <w:pPr>
              <w:spacing w:after="0"/>
              <w:rPr>
                <w:sz w:val="18"/>
                <w:szCs w:val="18"/>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2,031</w:t>
            </w:r>
          </w:p>
        </w:tc>
        <w:tc>
          <w:tcPr>
            <w:tcW w:w="30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1,331</w:t>
            </w:r>
          </w:p>
        </w:tc>
        <w:tc>
          <w:tcPr>
            <w:tcW w:w="38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3,460</w:t>
            </w:r>
          </w:p>
        </w:tc>
        <w:tc>
          <w:tcPr>
            <w:tcW w:w="3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14,451</w:t>
            </w: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24"/>
                <w:szCs w:val="24"/>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24"/>
                <w:szCs w:val="24"/>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24"/>
                <w:szCs w:val="24"/>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24"/>
                <w:szCs w:val="24"/>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67</w:t>
            </w:r>
          </w:p>
        </w:tc>
        <w:tc>
          <w:tcPr>
            <w:tcW w:w="36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24"/>
                <w:szCs w:val="24"/>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24"/>
                <w:szCs w:val="24"/>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24"/>
                <w:szCs w:val="24"/>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24"/>
                <w:szCs w:val="24"/>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79"/>
        </w:trPr>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4,966</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3,195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2,145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1,408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3,635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5,603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20,952</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43"/>
        </w:trPr>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19,688</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6"/>
        </w:trPr>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1.53 %</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0.40 %</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0.24 %</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0.14 %</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0.22 %</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2.53 %</w:t>
            </w:r>
          </w:p>
        </w:tc>
        <w:tc>
          <w:tcPr>
            <w:tcW w:w="0" w:type="dxa"/>
            <w:vAlign w:val="bottom"/>
          </w:tcPr>
          <w:p>
            <w:pPr>
              <w:spacing w:after="0"/>
              <w:rPr>
                <w:sz w:val="1"/>
                <w:szCs w:val="1"/>
                <w:color w:val="auto"/>
              </w:rPr>
            </w:pPr>
          </w:p>
        </w:tc>
      </w:tr>
      <w:tr>
        <w:trPr>
          <w:trHeight w:val="22"/>
        </w:trPr>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-2236470</wp:posOffset>
            </wp:positionV>
            <wp:extent cx="664337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43370" cy="13716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-1859280</wp:posOffset>
            </wp:positionV>
            <wp:extent cx="6643370"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43370" cy="24003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-1379220</wp:posOffset>
            </wp:positionV>
            <wp:extent cx="664337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43370" cy="16319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-976630</wp:posOffset>
            </wp:positionV>
            <wp:extent cx="664337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43370" cy="13716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-599440</wp:posOffset>
            </wp:positionV>
            <wp:extent cx="664337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4337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00"/>
            <w:col w:w="7900"/>
          </w:cols>
          <w:pgMar w:left="720" w:top="1426"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144F82"/>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78105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720" w:top="1426" w:right="7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Private Education Loans Held for Investment Types</w:t>
      </w:r>
    </w:p>
    <w:p>
      <w:pPr>
        <w:spacing w:after="0" w:line="88"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table provides information regarding the loans in repayment balance and total loan balance by Private Education Loan held for investment product type at March 31, 2025 and December 31, 2024.</w:t>
      </w:r>
    </w:p>
    <w:p>
      <w:pPr>
        <w:spacing w:after="0" w:line="287" w:lineRule="exact"/>
        <w:rPr>
          <w:sz w:val="20"/>
          <w:szCs w:val="20"/>
          <w:color w:val="auto"/>
        </w:rPr>
      </w:pPr>
    </w:p>
    <w:tbl>
      <w:tblPr>
        <w:tblLayout w:type="fixed"/>
        <w:tblInd w:w="1660" w:type="dxa"/>
        <w:tblCellMar>
          <w:top w:w="0" w:type="dxa"/>
          <w:left w:w="0" w:type="dxa"/>
          <w:bottom w:w="0" w:type="dxa"/>
          <w:right w:w="0" w:type="dxa"/>
        </w:tblCellMar>
      </w:tblPr>
      <w:tr>
        <w:trPr>
          <w:trHeight w:val="189"/>
        </w:trPr>
        <w:tc>
          <w:tcPr>
            <w:tcW w:w="20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144F82"/>
              </w:rPr>
              <w:t>As of March 31, 2025</w:t>
            </w:r>
          </w:p>
        </w:tc>
        <w:tc>
          <w:tcPr>
            <w:tcW w:w="156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5"/>
                <w:szCs w:val="15"/>
                <w:b w:val="1"/>
                <w:bCs w:val="1"/>
                <w:color w:val="144F82"/>
              </w:rPr>
              <w:t>Smart Option</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301"/>
              <w:spacing w:after="0"/>
              <w:rPr>
                <w:sz w:val="20"/>
                <w:szCs w:val="20"/>
                <w:color w:val="auto"/>
              </w:rPr>
            </w:pPr>
            <w:r>
              <w:rPr>
                <w:rFonts w:ascii="Arial" w:cs="Arial" w:eastAsia="Arial" w:hAnsi="Arial"/>
                <w:sz w:val="15"/>
                <w:szCs w:val="15"/>
                <w:b w:val="1"/>
                <w:bCs w:val="1"/>
                <w:color w:val="144F82"/>
              </w:rPr>
              <w:t>Graduate</w:t>
            </w: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ind w:right="341"/>
              <w:spacing w:after="0"/>
              <w:rPr>
                <w:sz w:val="20"/>
                <w:szCs w:val="20"/>
                <w:color w:val="auto"/>
              </w:rPr>
            </w:pPr>
            <w:r>
              <w:rPr>
                <w:rFonts w:ascii="Arial" w:cs="Arial" w:eastAsia="Arial" w:hAnsi="Arial"/>
                <w:sz w:val="15"/>
                <w:szCs w:val="15"/>
                <w:b w:val="1"/>
                <w:bCs w:val="1"/>
                <w:color w:val="144F82"/>
              </w:rPr>
              <w:t>Other</w:t>
            </w:r>
            <w:r>
              <w:rPr>
                <w:rFonts w:ascii="Arial" w:cs="Arial" w:eastAsia="Arial" w:hAnsi="Arial"/>
                <w:sz w:val="19"/>
                <w:szCs w:val="19"/>
                <w:b w:val="1"/>
                <w:bCs w:val="1"/>
                <w:color w:val="144F82"/>
                <w:vertAlign w:val="superscript"/>
              </w:rPr>
              <w:t>(1)</w:t>
            </w:r>
          </w:p>
        </w:tc>
        <w:tc>
          <w:tcPr>
            <w:tcW w:w="2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ind w:left="80"/>
              <w:spacing w:after="0"/>
              <w:rPr>
                <w:sz w:val="20"/>
                <w:szCs w:val="20"/>
                <w:color w:val="auto"/>
              </w:rPr>
            </w:pPr>
            <w:r>
              <w:rPr>
                <w:rFonts w:ascii="Arial" w:cs="Arial" w:eastAsia="Arial" w:hAnsi="Arial"/>
                <w:sz w:val="15"/>
                <w:szCs w:val="15"/>
                <w:b w:val="1"/>
                <w:bCs w:val="1"/>
                <w:color w:val="144F82"/>
              </w:rPr>
              <w:t>Total</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15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01"/>
              <w:spacing w:after="0"/>
              <w:rPr>
                <w:sz w:val="20"/>
                <w:szCs w:val="20"/>
                <w:color w:val="auto"/>
              </w:rPr>
            </w:pPr>
            <w:r>
              <w:rPr>
                <w:rFonts w:ascii="Arial" w:cs="Arial" w:eastAsia="Arial" w:hAnsi="Arial"/>
                <w:sz w:val="15"/>
                <w:szCs w:val="15"/>
                <w:b w:val="1"/>
                <w:bCs w:val="1"/>
                <w:color w:val="144F82"/>
              </w:rPr>
              <w:t>Loan</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60" w:type="dxa"/>
            <w:vAlign w:val="bottom"/>
            <w:gridSpan w:val="2"/>
            <w:shd w:val="clear" w:color="auto" w:fill="EDEDEE"/>
          </w:tcPr>
          <w:p>
            <w:pPr>
              <w:ind w:left="20"/>
              <w:spacing w:after="0" w:line="210" w:lineRule="exact"/>
              <w:rPr>
                <w:sz w:val="20"/>
                <w:szCs w:val="20"/>
                <w:color w:val="auto"/>
              </w:rPr>
            </w:pPr>
            <w:r>
              <w:rPr>
                <w:rFonts w:ascii="Arial" w:cs="Arial" w:eastAsia="Arial" w:hAnsi="Arial"/>
                <w:sz w:val="16"/>
                <w:szCs w:val="16"/>
                <w:color w:val="auto"/>
              </w:rPr>
              <w:t>$ in repayment</w:t>
            </w:r>
            <w:r>
              <w:rPr>
                <w:rFonts w:ascii="Arial" w:cs="Arial" w:eastAsia="Arial" w:hAnsi="Arial"/>
                <w:sz w:val="21"/>
                <w:szCs w:val="21"/>
                <w:color w:val="auto"/>
                <w:vertAlign w:val="superscript"/>
              </w:rPr>
              <w:t>(2)</w:t>
            </w:r>
          </w:p>
        </w:tc>
        <w:tc>
          <w:tcPr>
            <w:tcW w:w="500" w:type="dxa"/>
            <w:vAlign w:val="bottom"/>
            <w:shd w:val="clear" w:color="auto" w:fill="EDEDEE"/>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DEDEE"/>
          </w:tcPr>
          <w:p>
            <w:pPr>
              <w:jc w:val="right"/>
              <w:ind w:right="80"/>
              <w:spacing w:after="0"/>
              <w:rPr>
                <w:sz w:val="20"/>
                <w:szCs w:val="20"/>
                <w:color w:val="auto"/>
              </w:rPr>
            </w:pPr>
            <w:r>
              <w:rPr>
                <w:rFonts w:ascii="Arial" w:cs="Arial" w:eastAsia="Arial" w:hAnsi="Arial"/>
                <w:sz w:val="16"/>
                <w:szCs w:val="16"/>
                <w:color w:val="auto"/>
              </w:rPr>
              <w:t>14,019,478</w:t>
            </w:r>
          </w:p>
        </w:tc>
        <w:tc>
          <w:tcPr>
            <w:tcW w:w="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DEDEE"/>
          </w:tcPr>
          <w:p>
            <w:pPr>
              <w:spacing w:after="0"/>
              <w:rPr>
                <w:sz w:val="18"/>
                <w:szCs w:val="18"/>
                <w:color w:val="auto"/>
              </w:rPr>
            </w:pPr>
          </w:p>
        </w:tc>
        <w:tc>
          <w:tcPr>
            <w:tcW w:w="1060" w:type="dxa"/>
            <w:vAlign w:val="bottom"/>
            <w:shd w:val="clear" w:color="auto" w:fill="EDEDEE"/>
          </w:tcPr>
          <w:p>
            <w:pPr>
              <w:jc w:val="center"/>
              <w:ind w:left="61"/>
              <w:spacing w:after="0"/>
              <w:rPr>
                <w:sz w:val="20"/>
                <w:szCs w:val="20"/>
                <w:color w:val="auto"/>
              </w:rPr>
            </w:pPr>
            <w:r>
              <w:rPr>
                <w:rFonts w:ascii="Arial" w:cs="Arial" w:eastAsia="Arial" w:hAnsi="Arial"/>
                <w:sz w:val="16"/>
                <w:szCs w:val="16"/>
                <w:color w:val="auto"/>
              </w:rPr>
              <w:t>1,526,172</w:t>
            </w:r>
          </w:p>
        </w:tc>
        <w:tc>
          <w:tcPr>
            <w:tcW w:w="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DEDEE"/>
          </w:tcPr>
          <w:p>
            <w:pPr>
              <w:spacing w:after="0"/>
              <w:rPr>
                <w:sz w:val="18"/>
                <w:szCs w:val="18"/>
                <w:color w:val="auto"/>
              </w:rPr>
            </w:pPr>
          </w:p>
        </w:tc>
        <w:tc>
          <w:tcPr>
            <w:tcW w:w="1000" w:type="dxa"/>
            <w:vAlign w:val="bottom"/>
            <w:shd w:val="clear" w:color="auto" w:fill="EDEDEE"/>
          </w:tcPr>
          <w:p>
            <w:pPr>
              <w:jc w:val="right"/>
              <w:ind w:right="21"/>
              <w:spacing w:after="0"/>
              <w:rPr>
                <w:sz w:val="20"/>
                <w:szCs w:val="20"/>
                <w:color w:val="auto"/>
              </w:rPr>
            </w:pPr>
            <w:r>
              <w:rPr>
                <w:rFonts w:ascii="Arial" w:cs="Arial" w:eastAsia="Arial" w:hAnsi="Arial"/>
                <w:sz w:val="16"/>
                <w:szCs w:val="16"/>
                <w:color w:val="auto"/>
              </w:rPr>
              <w:t>358,147</w:t>
            </w:r>
          </w:p>
        </w:tc>
        <w:tc>
          <w:tcPr>
            <w:tcW w:w="2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18"/>
                <w:szCs w:val="18"/>
                <w:color w:val="auto"/>
              </w:rPr>
            </w:pPr>
          </w:p>
        </w:tc>
        <w:tc>
          <w:tcPr>
            <w:tcW w:w="960" w:type="dxa"/>
            <w:vAlign w:val="bottom"/>
            <w:shd w:val="clear" w:color="auto" w:fill="EDEDEE"/>
          </w:tcPr>
          <w:p>
            <w:pPr>
              <w:ind w:left="80"/>
              <w:spacing w:after="0"/>
              <w:rPr>
                <w:sz w:val="20"/>
                <w:szCs w:val="20"/>
                <w:color w:val="auto"/>
              </w:rPr>
            </w:pPr>
            <w:r>
              <w:rPr>
                <w:rFonts w:ascii="Arial" w:cs="Arial" w:eastAsia="Arial" w:hAnsi="Arial"/>
                <w:sz w:val="16"/>
                <w:szCs w:val="16"/>
                <w:color w:val="auto"/>
              </w:rPr>
              <w:t>15,903,797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 in total</w:t>
            </w:r>
          </w:p>
        </w:tc>
        <w:tc>
          <w:tcPr>
            <w:tcW w:w="5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19,814,860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center"/>
              <w:ind w:left="61"/>
              <w:spacing w:after="0"/>
              <w:rPr>
                <w:sz w:val="20"/>
                <w:szCs w:val="20"/>
                <w:color w:val="auto"/>
              </w:rPr>
            </w:pPr>
            <w:r>
              <w:rPr>
                <w:rFonts w:ascii="Arial" w:cs="Arial" w:eastAsia="Arial" w:hAnsi="Arial"/>
                <w:sz w:val="16"/>
                <w:szCs w:val="16"/>
                <w:color w:val="auto"/>
              </w:rPr>
              <w:t>2,177,255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440,010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auto"/>
              </w:rPr>
              <w:t>22,432,125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3"/>
        </w:trPr>
        <w:tc>
          <w:tcPr>
            <w:tcW w:w="24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820" w:type="dxa"/>
            <w:vAlign w:val="bottom"/>
          </w:tcPr>
          <w:p>
            <w:pPr>
              <w:ind w:left="20"/>
              <w:spacing w:after="0"/>
              <w:rPr>
                <w:sz w:val="20"/>
                <w:szCs w:val="20"/>
                <w:color w:val="auto"/>
              </w:rPr>
            </w:pPr>
            <w:r>
              <w:rPr>
                <w:rFonts w:ascii="Arial" w:cs="Arial" w:eastAsia="Arial" w:hAnsi="Arial"/>
                <w:sz w:val="14"/>
                <w:szCs w:val="14"/>
                <w:b w:val="1"/>
                <w:bCs w:val="1"/>
                <w:color w:val="144F82"/>
              </w:rPr>
              <w:t>As of December 31, 2024</w:t>
            </w:r>
          </w:p>
        </w:tc>
        <w:tc>
          <w:tcPr>
            <w:tcW w:w="5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144F82"/>
              </w:rPr>
              <w:t>Smart Option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left="21"/>
              <w:spacing w:after="0" w:line="169" w:lineRule="exact"/>
              <w:rPr>
                <w:sz w:val="20"/>
                <w:szCs w:val="20"/>
                <w:color w:val="auto"/>
              </w:rPr>
            </w:pPr>
            <w:r>
              <w:rPr>
                <w:rFonts w:ascii="Arial" w:cs="Arial" w:eastAsia="Arial" w:hAnsi="Arial"/>
                <w:sz w:val="15"/>
                <w:szCs w:val="15"/>
                <w:b w:val="1"/>
                <w:bCs w:val="1"/>
                <w:color w:val="144F82"/>
              </w:rPr>
              <w:t>Graduate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21"/>
              <w:spacing w:after="0"/>
              <w:rPr>
                <w:sz w:val="20"/>
                <w:szCs w:val="20"/>
                <w:color w:val="auto"/>
              </w:rPr>
            </w:pPr>
            <w:r>
              <w:rPr>
                <w:rFonts w:ascii="Arial" w:cs="Arial" w:eastAsia="Arial" w:hAnsi="Arial"/>
                <w:sz w:val="15"/>
                <w:szCs w:val="15"/>
                <w:b w:val="1"/>
                <w:bCs w:val="1"/>
                <w:color w:val="144F82"/>
              </w:rPr>
              <w:t>Other</w:t>
            </w:r>
            <w:r>
              <w:rPr>
                <w:rFonts w:ascii="Arial" w:cs="Arial" w:eastAsia="Arial" w:hAnsi="Arial"/>
                <w:sz w:val="19"/>
                <w:szCs w:val="19"/>
                <w:b w:val="1"/>
                <w:bCs w:val="1"/>
                <w:color w:val="144F82"/>
                <w:vertAlign w:val="superscript"/>
              </w:rPr>
              <w:t>(1)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144F82"/>
              </w:rPr>
              <w:t>Total</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21"/>
              <w:spacing w:after="0"/>
              <w:rPr>
                <w:sz w:val="20"/>
                <w:szCs w:val="20"/>
                <w:color w:val="auto"/>
              </w:rPr>
            </w:pPr>
            <w:r>
              <w:rPr>
                <w:rFonts w:ascii="Arial" w:cs="Arial" w:eastAsia="Arial" w:hAnsi="Arial"/>
                <w:sz w:val="15"/>
                <w:szCs w:val="15"/>
                <w:b w:val="1"/>
                <w:bCs w:val="1"/>
                <w:color w:val="144F82"/>
              </w:rPr>
              <w:t>Loan</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1820" w:type="dxa"/>
            <w:vAlign w:val="bottom"/>
            <w:shd w:val="clear" w:color="auto" w:fill="EDEDEE"/>
          </w:tcPr>
          <w:p>
            <w:pPr>
              <w:ind w:left="20"/>
              <w:spacing w:after="0" w:line="210" w:lineRule="exact"/>
              <w:rPr>
                <w:sz w:val="20"/>
                <w:szCs w:val="20"/>
                <w:color w:val="auto"/>
              </w:rPr>
            </w:pPr>
            <w:r>
              <w:rPr>
                <w:rFonts w:ascii="Arial" w:cs="Arial" w:eastAsia="Arial" w:hAnsi="Arial"/>
                <w:sz w:val="16"/>
                <w:szCs w:val="16"/>
                <w:color w:val="auto"/>
              </w:rPr>
              <w:t>$ in repayment</w:t>
            </w:r>
            <w:r>
              <w:rPr>
                <w:rFonts w:ascii="Arial" w:cs="Arial" w:eastAsia="Arial" w:hAnsi="Arial"/>
                <w:sz w:val="21"/>
                <w:szCs w:val="21"/>
                <w:color w:val="auto"/>
                <w:vertAlign w:val="superscript"/>
              </w:rPr>
              <w:t>(2)</w:t>
            </w:r>
          </w:p>
        </w:tc>
        <w:tc>
          <w:tcPr>
            <w:tcW w:w="5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DEDEE"/>
          </w:tcPr>
          <w:p>
            <w:pPr>
              <w:jc w:val="right"/>
              <w:ind w:right="39"/>
              <w:spacing w:after="0"/>
              <w:rPr>
                <w:sz w:val="20"/>
                <w:szCs w:val="20"/>
                <w:color w:val="auto"/>
              </w:rPr>
            </w:pPr>
            <w:r>
              <w:rPr>
                <w:rFonts w:ascii="Arial" w:cs="Arial" w:eastAsia="Arial" w:hAnsi="Arial"/>
                <w:sz w:val="16"/>
                <w:szCs w:val="16"/>
                <w:color w:val="auto"/>
              </w:rPr>
              <w:t>14,273,952</w:t>
            </w:r>
          </w:p>
        </w:tc>
        <w:tc>
          <w:tcPr>
            <w:tcW w:w="1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DEDEE"/>
          </w:tcPr>
          <w:p>
            <w:pPr>
              <w:jc w:val="right"/>
              <w:ind w:right="59"/>
              <w:spacing w:after="0"/>
              <w:rPr>
                <w:sz w:val="20"/>
                <w:szCs w:val="20"/>
                <w:color w:val="auto"/>
              </w:rPr>
            </w:pPr>
            <w:r>
              <w:rPr>
                <w:rFonts w:ascii="Arial" w:cs="Arial" w:eastAsia="Arial" w:hAnsi="Arial"/>
                <w:sz w:val="16"/>
                <w:szCs w:val="16"/>
                <w:color w:val="auto"/>
              </w:rPr>
              <w:t>1,466,915</w:t>
            </w:r>
          </w:p>
        </w:tc>
        <w:tc>
          <w:tcPr>
            <w:tcW w:w="1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DEDEE"/>
          </w:tcPr>
          <w:p>
            <w:pPr>
              <w:jc w:val="right"/>
              <w:ind w:right="59"/>
              <w:spacing w:after="0"/>
              <w:rPr>
                <w:sz w:val="20"/>
                <w:szCs w:val="20"/>
                <w:color w:val="auto"/>
              </w:rPr>
            </w:pPr>
            <w:r>
              <w:rPr>
                <w:rFonts w:ascii="Arial" w:cs="Arial" w:eastAsia="Arial" w:hAnsi="Arial"/>
                <w:sz w:val="16"/>
                <w:szCs w:val="16"/>
                <w:color w:val="auto"/>
              </w:rPr>
              <w:t>365,884</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EDEDEE"/>
          </w:tcPr>
          <w:p>
            <w:pPr>
              <w:ind w:left="300"/>
              <w:spacing w:after="0"/>
              <w:rPr>
                <w:sz w:val="20"/>
                <w:szCs w:val="20"/>
                <w:color w:val="auto"/>
              </w:rPr>
            </w:pPr>
            <w:r>
              <w:rPr>
                <w:rFonts w:ascii="Arial" w:cs="Arial" w:eastAsia="Arial" w:hAnsi="Arial"/>
                <w:sz w:val="16"/>
                <w:szCs w:val="16"/>
                <w:color w:val="auto"/>
              </w:rPr>
              <w:t>16,106,751</w:t>
            </w: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rPr>
              <w:t>$ in total</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19,710,266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59"/>
              <w:spacing w:after="0"/>
              <w:rPr>
                <w:sz w:val="20"/>
                <w:szCs w:val="20"/>
                <w:color w:val="auto"/>
              </w:rPr>
            </w:pPr>
            <w:r>
              <w:rPr>
                <w:rFonts w:ascii="Arial" w:cs="Arial" w:eastAsia="Arial" w:hAnsi="Arial"/>
                <w:sz w:val="16"/>
                <w:szCs w:val="16"/>
                <w:color w:val="auto"/>
              </w:rPr>
              <w:t>2,067,468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457,274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300"/>
              <w:spacing w:after="0"/>
              <w:rPr>
                <w:sz w:val="20"/>
                <w:szCs w:val="20"/>
                <w:color w:val="auto"/>
              </w:rPr>
            </w:pPr>
            <w:r>
              <w:rPr>
                <w:rFonts w:ascii="Arial" w:cs="Arial" w:eastAsia="Arial" w:hAnsi="Arial"/>
                <w:sz w:val="16"/>
                <w:szCs w:val="16"/>
                <w:color w:val="auto"/>
              </w:rPr>
              <w:t>22,235,008</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960" w:right="1260" w:hanging="251"/>
        <w:spacing w:after="0" w:line="250" w:lineRule="auto"/>
        <w:tabs>
          <w:tab w:leader="none" w:pos="1906" w:val="left"/>
        </w:tabs>
        <w:numPr>
          <w:ilvl w:val="0"/>
          <w:numId w:val="64"/>
        </w:numPr>
        <w:rPr>
          <w:rFonts w:ascii="Arial" w:cs="Arial" w:eastAsia="Arial" w:hAnsi="Arial"/>
          <w:sz w:val="13"/>
          <w:szCs w:val="13"/>
          <w:color w:val="auto"/>
        </w:rPr>
      </w:pPr>
      <w:r>
        <w:rPr>
          <w:rFonts w:ascii="Arial" w:cs="Arial" w:eastAsia="Arial" w:hAnsi="Arial"/>
          <w:sz w:val="13"/>
          <w:szCs w:val="13"/>
          <w:color w:val="auto"/>
        </w:rPr>
        <w:t>Other includes our Parent Loan and Career training loan products. In December 2021, we discontinued offering our Parent Loan product. Applications for those loans received before the offering termination date continued to be processed, and final disbursements under those loans occurred in February 2023. In May 2022, we discontinued offering our Career Training loan product. Applications for those loans received before the offering termination date continued to be processed, and final disbursements under those loans occurred in September 2023.</w:t>
      </w:r>
    </w:p>
    <w:p>
      <w:pPr>
        <w:spacing w:after="0" w:line="58" w:lineRule="exact"/>
        <w:rPr>
          <w:rFonts w:ascii="Arial" w:cs="Arial" w:eastAsia="Arial" w:hAnsi="Arial"/>
          <w:sz w:val="13"/>
          <w:szCs w:val="13"/>
          <w:color w:val="auto"/>
        </w:rPr>
      </w:pPr>
    </w:p>
    <w:p>
      <w:pPr>
        <w:ind w:left="1960" w:right="1240" w:hanging="251"/>
        <w:spacing w:after="0" w:line="251" w:lineRule="auto"/>
        <w:tabs>
          <w:tab w:leader="none" w:pos="1906" w:val="left"/>
        </w:tabs>
        <w:numPr>
          <w:ilvl w:val="0"/>
          <w:numId w:val="64"/>
        </w:numPr>
        <w:rPr>
          <w:rFonts w:ascii="Arial" w:cs="Arial" w:eastAsia="Arial" w:hAnsi="Arial"/>
          <w:sz w:val="13"/>
          <w:szCs w:val="13"/>
          <w:color w:val="auto"/>
        </w:rPr>
      </w:pPr>
      <w:r>
        <w:rPr>
          <w:rFonts w:ascii="Arial" w:cs="Arial" w:eastAsia="Arial" w:hAnsi="Arial"/>
          <w:sz w:val="13"/>
          <w:szCs w:val="13"/>
          <w:color w:val="auto"/>
        </w:rPr>
        <w:t>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20"/>
          <w:szCs w:val="20"/>
          <w:b w:val="1"/>
          <w:bCs w:val="1"/>
          <w:color w:val="134F82"/>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6" w:right="6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Accrued Interest Receivable</w:t>
      </w:r>
    </w:p>
    <w:p>
      <w:pPr>
        <w:spacing w:after="0" w:line="11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following table provides information regarding accrued interest receivable on our Private Education Loans. The table also discloses the amount of accrued interest on loans 90 days or greater past due as compared to our allowance for uncollectible interest. The majority of the total accrued interest receivable represents accrued interest on deferred loans where no payments are due while the borrower is in school and fixed-pay loans where the borrower makes a $25 monthly payment that is smaller than the interest accruing on the loan in that month. The accrued interest on these loans will be capitalized to the balance of the loans when the borrower exits the grace period after separation from school. The allowance for credit losses considers both the collectibility of principal and accrued interest. The allowance for uncollectible interest estimates the additional uncollectible interest that is not captured in the allowance for credit losses.</w:t>
      </w:r>
    </w:p>
    <w:p>
      <w:pPr>
        <w:spacing w:after="0" w:line="73" w:lineRule="exact"/>
        <w:rPr>
          <w:sz w:val="20"/>
          <w:szCs w:val="20"/>
          <w:color w:val="auto"/>
        </w:rPr>
      </w:pPr>
    </w:p>
    <w:tbl>
      <w:tblPr>
        <w:tblLayout w:type="fixed"/>
        <w:tblInd w:w="2420" w:type="dxa"/>
        <w:tblCellMar>
          <w:top w:w="0" w:type="dxa"/>
          <w:left w:w="0" w:type="dxa"/>
          <w:bottom w:w="0" w:type="dxa"/>
          <w:right w:w="0" w:type="dxa"/>
        </w:tblCellMar>
      </w:tblPr>
      <w:tr>
        <w:trPr>
          <w:trHeight w:val="210"/>
        </w:trPr>
        <w:tc>
          <w:tcPr>
            <w:tcW w:w="2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b w:val="1"/>
                <w:bCs w:val="1"/>
                <w:color w:val="144F82"/>
              </w:rPr>
              <w:t>Private Education Loans</w:t>
            </w: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5"/>
          </w:tcPr>
          <w:p>
            <w:pPr>
              <w:jc w:val="right"/>
              <w:ind w:right="1001"/>
              <w:spacing w:after="0"/>
              <w:rPr>
                <w:sz w:val="20"/>
                <w:szCs w:val="20"/>
                <w:color w:val="auto"/>
              </w:rPr>
            </w:pPr>
            <w:r>
              <w:rPr>
                <w:rFonts w:ascii="Arial" w:cs="Arial" w:eastAsia="Arial" w:hAnsi="Arial"/>
                <w:sz w:val="15"/>
                <w:szCs w:val="15"/>
                <w:b w:val="1"/>
                <w:bCs w:val="1"/>
                <w:color w:val="144F82"/>
              </w:rPr>
              <w:t>Accrued Interest Receivable</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5"/>
                <w:szCs w:val="15"/>
                <w:b w:val="1"/>
                <w:bCs w:val="1"/>
                <w:color w:val="144F82"/>
                <w:w w:val="99"/>
              </w:rPr>
              <w:t>Total Interest</w:t>
            </w:r>
          </w:p>
        </w:tc>
        <w:tc>
          <w:tcPr>
            <w:tcW w:w="360" w:type="dxa"/>
            <w:vAlign w:val="bottom"/>
          </w:tcPr>
          <w:p>
            <w:pPr>
              <w:spacing w:after="0"/>
              <w:rPr>
                <w:sz w:val="12"/>
                <w:szCs w:val="12"/>
                <w:color w:val="auto"/>
              </w:rPr>
            </w:pPr>
          </w:p>
        </w:tc>
        <w:tc>
          <w:tcPr>
            <w:tcW w:w="1180" w:type="dxa"/>
            <w:vAlign w:val="bottom"/>
            <w:vMerge w:val="restart"/>
          </w:tcPr>
          <w:p>
            <w:pPr>
              <w:jc w:val="right"/>
              <w:ind w:right="240"/>
              <w:spacing w:after="0"/>
              <w:rPr>
                <w:sz w:val="20"/>
                <w:szCs w:val="20"/>
                <w:color w:val="auto"/>
              </w:rPr>
            </w:pPr>
            <w:r>
              <w:rPr>
                <w:rFonts w:ascii="Arial" w:cs="Arial" w:eastAsia="Arial" w:hAnsi="Arial"/>
                <w:sz w:val="15"/>
                <w:szCs w:val="15"/>
                <w:b w:val="1"/>
                <w:bCs w:val="1"/>
                <w:color w:val="144F82"/>
              </w:rPr>
              <w:t>90 Days or</w:t>
            </w:r>
          </w:p>
        </w:tc>
        <w:tc>
          <w:tcPr>
            <w:tcW w:w="260" w:type="dxa"/>
            <w:vAlign w:val="bottom"/>
          </w:tcPr>
          <w:p>
            <w:pPr>
              <w:spacing w:after="0"/>
              <w:rPr>
                <w:sz w:val="12"/>
                <w:szCs w:val="12"/>
                <w:color w:val="auto"/>
              </w:rPr>
            </w:pPr>
          </w:p>
        </w:tc>
        <w:tc>
          <w:tcPr>
            <w:tcW w:w="1220" w:type="dxa"/>
            <w:vAlign w:val="bottom"/>
          </w:tcPr>
          <w:p>
            <w:pPr>
              <w:jc w:val="center"/>
              <w:ind w:right="101"/>
              <w:spacing w:after="0" w:line="142" w:lineRule="exact"/>
              <w:rPr>
                <w:sz w:val="20"/>
                <w:szCs w:val="20"/>
                <w:color w:val="auto"/>
              </w:rPr>
            </w:pPr>
            <w:r>
              <w:rPr>
                <w:rFonts w:ascii="Arial" w:cs="Arial" w:eastAsia="Arial" w:hAnsi="Arial"/>
                <w:sz w:val="15"/>
                <w:szCs w:val="15"/>
                <w:b w:val="1"/>
                <w:bCs w:val="1"/>
                <w:color w:val="144F82"/>
              </w:rPr>
              <w:t>Allowance for</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21"/>
              <w:spacing w:after="0" w:line="149" w:lineRule="exact"/>
              <w:rPr>
                <w:sz w:val="20"/>
                <w:szCs w:val="20"/>
                <w:color w:val="auto"/>
              </w:rPr>
            </w:pPr>
            <w:r>
              <w:rPr>
                <w:rFonts w:ascii="Arial" w:cs="Arial" w:eastAsia="Arial" w:hAnsi="Arial"/>
                <w:sz w:val="15"/>
                <w:szCs w:val="15"/>
                <w:b w:val="1"/>
                <w:bCs w:val="1"/>
                <w:color w:val="144F82"/>
              </w:rPr>
              <w:t>Uncollectible</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b w:val="1"/>
                <w:bCs w:val="1"/>
                <w:color w:val="144F82"/>
              </w:rPr>
              <w:t>Receivable</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144F82"/>
              </w:rPr>
              <w:t>Greater Past Due</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1"/>
              <w:spacing w:after="0" w:line="216" w:lineRule="exact"/>
              <w:rPr>
                <w:sz w:val="20"/>
                <w:szCs w:val="20"/>
                <w:color w:val="auto"/>
              </w:rPr>
            </w:pPr>
            <w:r>
              <w:rPr>
                <w:rFonts w:ascii="Arial" w:cs="Arial" w:eastAsia="Arial" w:hAnsi="Arial"/>
                <w:sz w:val="15"/>
                <w:szCs w:val="15"/>
                <w:b w:val="1"/>
                <w:bCs w:val="1"/>
                <w:color w:val="144F82"/>
                <w:w w:val="93"/>
              </w:rPr>
              <w:t>Interest</w:t>
            </w:r>
            <w:r>
              <w:rPr>
                <w:rFonts w:ascii="Arial" w:cs="Arial" w:eastAsia="Arial" w:hAnsi="Arial"/>
                <w:sz w:val="19"/>
                <w:szCs w:val="19"/>
                <w:b w:val="1"/>
                <w:bCs w:val="1"/>
                <w:color w:val="144F82"/>
                <w:w w:val="93"/>
                <w:vertAlign w:val="superscript"/>
              </w:rPr>
              <w:t>(1)(2)</w:t>
            </w:r>
          </w:p>
        </w:tc>
        <w:tc>
          <w:tcPr>
            <w:tcW w:w="0" w:type="dxa"/>
            <w:vAlign w:val="bottom"/>
          </w:tcPr>
          <w:p>
            <w:pPr>
              <w:spacing w:after="0"/>
              <w:rPr>
                <w:sz w:val="1"/>
                <w:szCs w:val="1"/>
                <w:color w:val="auto"/>
              </w:rPr>
            </w:pPr>
          </w:p>
        </w:tc>
      </w:tr>
      <w:tr>
        <w:trPr>
          <w:trHeight w:val="209"/>
        </w:trPr>
        <w:tc>
          <w:tcPr>
            <w:tcW w:w="2660" w:type="dxa"/>
            <w:vAlign w:val="bottom"/>
            <w:shd w:val="clear" w:color="auto" w:fill="EDEDEE"/>
          </w:tcPr>
          <w:p>
            <w:pPr>
              <w:ind w:left="20"/>
              <w:spacing w:after="0"/>
              <w:rPr>
                <w:sz w:val="20"/>
                <w:szCs w:val="20"/>
                <w:color w:val="auto"/>
              </w:rPr>
            </w:pPr>
            <w:r>
              <w:rPr>
                <w:rFonts w:ascii="Arial" w:cs="Arial" w:eastAsia="Arial" w:hAnsi="Arial"/>
                <w:sz w:val="16"/>
                <w:szCs w:val="16"/>
                <w:color w:val="auto"/>
              </w:rPr>
              <w:t>March 31, 2025</w:t>
            </w:r>
          </w:p>
        </w:tc>
        <w:tc>
          <w:tcPr>
            <w:tcW w:w="12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1,558,465</w:t>
            </w:r>
          </w:p>
        </w:tc>
        <w:tc>
          <w:tcPr>
            <w:tcW w:w="360" w:type="dxa"/>
            <w:vAlign w:val="bottom"/>
            <w:shd w:val="clear" w:color="auto" w:fill="EDEDEE"/>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6,539</w:t>
            </w:r>
          </w:p>
        </w:tc>
        <w:tc>
          <w:tcPr>
            <w:tcW w:w="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14,192</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December 31, 2024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1,549,415</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6,420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12,366</w:t>
            </w:r>
          </w:p>
        </w:tc>
        <w:tc>
          <w:tcPr>
            <w:tcW w:w="0" w:type="dxa"/>
            <w:vAlign w:val="bottom"/>
          </w:tcPr>
          <w:p>
            <w:pPr>
              <w:spacing w:after="0"/>
              <w:rPr>
                <w:sz w:val="1"/>
                <w:szCs w:val="1"/>
                <w:color w:val="auto"/>
              </w:rPr>
            </w:pPr>
          </w:p>
        </w:tc>
      </w:tr>
      <w:tr>
        <w:trPr>
          <w:trHeight w:val="217"/>
        </w:trPr>
        <w:tc>
          <w:tcPr>
            <w:tcW w:w="2660" w:type="dxa"/>
            <w:vAlign w:val="bottom"/>
            <w:shd w:val="clear" w:color="auto" w:fill="EDEDEE"/>
          </w:tcPr>
          <w:p>
            <w:pPr>
              <w:ind w:left="20"/>
              <w:spacing w:after="0"/>
              <w:rPr>
                <w:sz w:val="20"/>
                <w:szCs w:val="20"/>
                <w:color w:val="auto"/>
              </w:rPr>
            </w:pPr>
            <w:r>
              <w:rPr>
                <w:rFonts w:ascii="Arial" w:cs="Arial" w:eastAsia="Arial" w:hAnsi="Arial"/>
                <w:sz w:val="16"/>
                <w:szCs w:val="16"/>
                <w:color w:val="auto"/>
              </w:rPr>
              <w:t>March 31, 2024</w:t>
            </w:r>
          </w:p>
        </w:tc>
        <w:tc>
          <w:tcPr>
            <w:tcW w:w="120" w:type="dxa"/>
            <w:vAlign w:val="bottom"/>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1,357,987</w:t>
            </w:r>
          </w:p>
        </w:tc>
        <w:tc>
          <w:tcPr>
            <w:tcW w:w="360" w:type="dxa"/>
            <w:vAlign w:val="bottom"/>
            <w:shd w:val="clear" w:color="auto" w:fill="EDEDEE"/>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7,216</w:t>
            </w:r>
          </w:p>
        </w:tc>
        <w:tc>
          <w:tcPr>
            <w:tcW w:w="2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8,247</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200" w:right="1660" w:hanging="167"/>
        <w:spacing w:after="0" w:line="233" w:lineRule="auto"/>
        <w:tabs>
          <w:tab w:leader="none" w:pos="2192"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The allowance for uncollectible interest at March 31, 2025 and 2024 represents the expected losses related to the portion of accrued interest receivable on those loans that are in repayment (at March 31, 2025 and 2024, relates to $156 million and $141 million, respectively, of accrued interest receivable) that is/was not expected to be capitalized. The accrued interest receivable that is/was expected to be capitalized ($1.4 billion and $1.2 billion, at March 31, 2025 and 2024, respectively) is/was reserved in the allowance for credit losses.</w:t>
      </w:r>
    </w:p>
    <w:p>
      <w:pPr>
        <w:spacing w:after="0" w:line="158" w:lineRule="exact"/>
        <w:rPr>
          <w:rFonts w:ascii="Arial" w:cs="Arial" w:eastAsia="Arial" w:hAnsi="Arial"/>
          <w:sz w:val="16"/>
          <w:szCs w:val="16"/>
          <w:color w:val="auto"/>
          <w:vertAlign w:val="superscript"/>
        </w:rPr>
      </w:pPr>
    </w:p>
    <w:p>
      <w:pPr>
        <w:ind w:left="2200" w:right="1680" w:hanging="167"/>
        <w:spacing w:after="0" w:line="251" w:lineRule="auto"/>
        <w:tabs>
          <w:tab w:leader="none" w:pos="2192" w:val="left"/>
        </w:tabs>
        <w:numPr>
          <w:ilvl w:val="0"/>
          <w:numId w:val="65"/>
        </w:numPr>
        <w:rPr>
          <w:rFonts w:ascii="Arial" w:cs="Arial" w:eastAsia="Arial" w:hAnsi="Arial"/>
          <w:sz w:val="15"/>
          <w:szCs w:val="15"/>
          <w:color w:val="auto"/>
          <w:vertAlign w:val="superscript"/>
        </w:rPr>
      </w:pPr>
      <w:r>
        <w:rPr>
          <w:rFonts w:ascii="Arial" w:cs="Arial" w:eastAsia="Arial" w:hAnsi="Arial"/>
          <w:sz w:val="12"/>
          <w:szCs w:val="12"/>
          <w:color w:val="auto"/>
        </w:rPr>
        <w:t>The allowance for uncollectible interest at December 31, 2024 represents the expected losses related to the portion of accrued interest receivable on those loans in repayment ($164 million of accrued interest receivable) that was not expected to be capitalized. The accrued interest receivable that was expected to be capitalized ($1.4 billion) was reserved in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44F82"/>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6"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Risk Management</w:t>
      </w:r>
    </w:p>
    <w:p>
      <w:pPr>
        <w:spacing w:after="0" w:line="10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Our primary liquidity needs include our ongoing ability to fund our businesses throughout market cycles, including during periods of financial stress, our ongoing ability to fund originations of Private Education Loans, and our ability to meet any outflows of our Bank deposits. To achieve these objectives, we analyze and monitor our liquidity needs, and maintain excess liquidity and access to diverse funding sources, such as deposits at the Bank, issuance of secured debt primarily through asset-backed securitizations, other financing facilities, and loan sales.</w:t>
      </w:r>
    </w:p>
    <w:p>
      <w:pPr>
        <w:spacing w:after="0" w:line="44"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At March 31, 2025 and December 31, 2024, our sources of liquidity included liquid investments with unrealized losses of $88.5 million and $105.8 million, respectively. It is our policy to manage operations so liquidity needs are fully satisfied through normal operations to avoid unplanned loan or liquid investment sales under all but the most dire emergency conditions. Our liquidity management is governed by policies approved by our Board of Directors. Oversight of these policies is performed in the Asset and Liability Committee, a management-level committee. These policies take into account the volatility of cash flow forecasts, expected asset and liability maturities, anticipated loan demand, and a variety of other factors to establish minimum liquidity guidelines.</w:t>
      </w:r>
    </w:p>
    <w:p>
      <w:pPr>
        <w:spacing w:after="0" w:line="6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Key risks associated with our liquidity relate to our ability to access the capital markets and the markets for bank deposits at reasonable rates. This ability may be affected by our performance, competitive pressures, the macroeconomic environment, and the impact they have on the availability of funding sources in the marketplace. We target maintaining sufficient on-balance sheet and contingent sources of liquidity to enable us to meet all contractual and contingent obligations under various stress scenarios, including severe macroeconomic stresses as well as specific stresses that test the resiliency of our balance sheet. We hold a significant liquidity buffer of cash and securities, which we expect to maintain through 2025. Due to the seasonal nature of our business, our liquidity levels will likely vary from quarter to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Available Capacity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Ending Balances</w:t>
      </w:r>
    </w:p>
    <w:p>
      <w:pPr>
        <w:spacing w:after="0" w:line="114"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4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144F82"/>
              </w:rPr>
              <w:t>March 31, 2025</w:t>
            </w:r>
          </w:p>
        </w:tc>
        <w:tc>
          <w:tcPr>
            <w:tcW w:w="2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144F82"/>
              </w:rPr>
              <w:t>December 31, 2024</w:t>
            </w:r>
          </w:p>
        </w:tc>
        <w:tc>
          <w:tcPr>
            <w:tcW w:w="0" w:type="dxa"/>
            <w:vAlign w:val="bottom"/>
          </w:tcPr>
          <w:p>
            <w:pPr>
              <w:spacing w:after="0"/>
              <w:rPr>
                <w:sz w:val="1"/>
                <w:szCs w:val="1"/>
                <w:color w:val="auto"/>
              </w:rPr>
            </w:pPr>
          </w:p>
        </w:tc>
      </w:tr>
      <w:tr>
        <w:trPr>
          <w:trHeight w:val="210"/>
        </w:trPr>
        <w:tc>
          <w:tcPr>
            <w:tcW w:w="456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Sources of primary liquidity:</w:t>
            </w:r>
          </w:p>
        </w:tc>
        <w:tc>
          <w:tcPr>
            <w:tcW w:w="260" w:type="dxa"/>
            <w:vAlign w:val="bottom"/>
            <w:shd w:val="clear" w:color="auto" w:fill="EDEDEE"/>
          </w:tcPr>
          <w:p>
            <w:pPr>
              <w:spacing w:after="0"/>
              <w:rPr>
                <w:sz w:val="18"/>
                <w:szCs w:val="18"/>
                <w:color w:val="auto"/>
              </w:rPr>
            </w:pPr>
          </w:p>
        </w:tc>
        <w:tc>
          <w:tcPr>
            <w:tcW w:w="170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178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Unrestricted cash and liquid investments:</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EDEDEE"/>
          </w:tcPr>
          <w:p>
            <w:pPr>
              <w:ind w:left="140"/>
              <w:spacing w:after="0"/>
              <w:rPr>
                <w:sz w:val="20"/>
                <w:szCs w:val="20"/>
                <w:color w:val="auto"/>
              </w:rPr>
            </w:pPr>
            <w:r>
              <w:rPr>
                <w:rFonts w:ascii="Arial" w:cs="Arial" w:eastAsia="Arial" w:hAnsi="Arial"/>
                <w:sz w:val="16"/>
                <w:szCs w:val="16"/>
                <w:color w:val="auto"/>
              </w:rPr>
              <w:t>Holding Company and other non-bank subsidiaries</w:t>
            </w:r>
          </w:p>
        </w:tc>
        <w:tc>
          <w:tcPr>
            <w:tcW w:w="260" w:type="dxa"/>
            <w:vAlign w:val="bottom"/>
            <w:shd w:val="clear" w:color="auto" w:fill="EDEDEE"/>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10,763</w:t>
            </w:r>
          </w:p>
        </w:tc>
        <w:tc>
          <w:tcPr>
            <w:tcW w:w="28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3,745</w:t>
            </w:r>
          </w:p>
        </w:tc>
        <w:tc>
          <w:tcPr>
            <w:tcW w:w="0" w:type="dxa"/>
            <w:vAlign w:val="bottom"/>
          </w:tcPr>
          <w:p>
            <w:pPr>
              <w:spacing w:after="0"/>
              <w:rPr>
                <w:sz w:val="1"/>
                <w:szCs w:val="1"/>
                <w:color w:val="auto"/>
              </w:rPr>
            </w:pPr>
          </w:p>
        </w:tc>
      </w:tr>
      <w:tr>
        <w:trPr>
          <w:trHeight w:val="338"/>
        </w:trPr>
        <w:tc>
          <w:tcPr>
            <w:tcW w:w="4560" w:type="dxa"/>
            <w:vAlign w:val="bottom"/>
          </w:tcPr>
          <w:p>
            <w:pPr>
              <w:ind w:left="140"/>
              <w:spacing w:after="0"/>
              <w:rPr>
                <w:sz w:val="20"/>
                <w:szCs w:val="20"/>
                <w:color w:val="auto"/>
              </w:rPr>
            </w:pPr>
            <w:r>
              <w:rPr>
                <w:rFonts w:ascii="Arial" w:cs="Arial" w:eastAsia="Arial" w:hAnsi="Arial"/>
                <w:sz w:val="16"/>
                <w:szCs w:val="16"/>
                <w:color w:val="auto"/>
              </w:rPr>
              <w:t>Sallie Mae Bank</w:t>
            </w:r>
            <w:r>
              <w:rPr>
                <w:rFonts w:ascii="Arial" w:cs="Arial" w:eastAsia="Arial" w:hAnsi="Arial"/>
                <w:sz w:val="21"/>
                <w:szCs w:val="21"/>
                <w:color w:val="auto"/>
                <w:vertAlign w:val="superscript"/>
              </w:rPr>
              <w:t>(1)</w:t>
            </w:r>
          </w:p>
        </w:tc>
        <w:tc>
          <w:tcPr>
            <w:tcW w:w="260" w:type="dxa"/>
            <w:vAlign w:val="bottom"/>
          </w:tcPr>
          <w:p>
            <w:pPr>
              <w:spacing w:after="0"/>
              <w:rPr>
                <w:sz w:val="24"/>
                <w:szCs w:val="24"/>
                <w:color w:val="auto"/>
              </w:rPr>
            </w:pPr>
          </w:p>
        </w:tc>
        <w:tc>
          <w:tcPr>
            <w:tcW w:w="1700" w:type="dxa"/>
            <w:vAlign w:val="bottom"/>
            <w:vMerge w:val="restart"/>
          </w:tcPr>
          <w:p>
            <w:pPr>
              <w:jc w:val="right"/>
              <w:ind w:right="20"/>
              <w:spacing w:after="0"/>
              <w:rPr>
                <w:sz w:val="20"/>
                <w:szCs w:val="20"/>
                <w:color w:val="auto"/>
              </w:rPr>
            </w:pPr>
            <w:r>
              <w:rPr>
                <w:rFonts w:ascii="Arial" w:cs="Arial" w:eastAsia="Arial" w:hAnsi="Arial"/>
                <w:sz w:val="16"/>
                <w:szCs w:val="16"/>
                <w:color w:val="auto"/>
              </w:rPr>
              <w:t>3,684,313</w:t>
            </w:r>
          </w:p>
        </w:tc>
        <w:tc>
          <w:tcPr>
            <w:tcW w:w="280" w:type="dxa"/>
            <w:vAlign w:val="bottom"/>
          </w:tcPr>
          <w:p>
            <w:pPr>
              <w:spacing w:after="0"/>
              <w:rPr>
                <w:sz w:val="24"/>
                <w:szCs w:val="2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4,696,621</w:t>
            </w:r>
          </w:p>
        </w:tc>
        <w:tc>
          <w:tcPr>
            <w:tcW w:w="0" w:type="dxa"/>
            <w:vAlign w:val="bottom"/>
          </w:tcPr>
          <w:p>
            <w:pPr>
              <w:spacing w:after="0"/>
              <w:rPr>
                <w:sz w:val="1"/>
                <w:szCs w:val="1"/>
                <w:color w:val="auto"/>
              </w:rPr>
            </w:pPr>
          </w:p>
        </w:tc>
      </w:tr>
      <w:tr>
        <w:trPr>
          <w:trHeight w:val="53"/>
        </w:trPr>
        <w:tc>
          <w:tcPr>
            <w:tcW w:w="4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4560" w:type="dxa"/>
            <w:vAlign w:val="bottom"/>
            <w:shd w:val="clear" w:color="auto" w:fill="EDEDEE"/>
          </w:tcPr>
          <w:p>
            <w:pPr>
              <w:ind w:left="140"/>
              <w:spacing w:after="0"/>
              <w:rPr>
                <w:sz w:val="20"/>
                <w:szCs w:val="20"/>
                <w:color w:val="auto"/>
              </w:rPr>
            </w:pPr>
            <w:r>
              <w:rPr>
                <w:rFonts w:ascii="Arial" w:cs="Arial" w:eastAsia="Arial" w:hAnsi="Arial"/>
                <w:sz w:val="16"/>
                <w:szCs w:val="16"/>
                <w:color w:val="auto"/>
              </w:rPr>
              <w:t>Available-for-sale investments</w:t>
            </w:r>
          </w:p>
        </w:tc>
        <w:tc>
          <w:tcPr>
            <w:tcW w:w="260" w:type="dxa"/>
            <w:vAlign w:val="bottom"/>
            <w:shd w:val="clear" w:color="auto" w:fill="EDEDEE"/>
          </w:tcPr>
          <w:p>
            <w:pPr>
              <w:spacing w:after="0"/>
              <w:rPr>
                <w:sz w:val="24"/>
                <w:szCs w:val="24"/>
                <w:color w:val="auto"/>
              </w:rPr>
            </w:pPr>
          </w:p>
        </w:tc>
        <w:tc>
          <w:tcPr>
            <w:tcW w:w="1700" w:type="dxa"/>
            <w:vAlign w:val="bottom"/>
            <w:vMerge w:val="restart"/>
            <w:shd w:val="clear" w:color="auto" w:fill="EDEDEE"/>
          </w:tcPr>
          <w:p>
            <w:pPr>
              <w:jc w:val="right"/>
              <w:ind w:right="20"/>
              <w:spacing w:after="0"/>
              <w:rPr>
                <w:sz w:val="20"/>
                <w:szCs w:val="20"/>
                <w:color w:val="auto"/>
              </w:rPr>
            </w:pPr>
            <w:r>
              <w:rPr>
                <w:rFonts w:ascii="Arial" w:cs="Arial" w:eastAsia="Arial" w:hAnsi="Arial"/>
                <w:sz w:val="16"/>
                <w:szCs w:val="16"/>
                <w:color w:val="auto"/>
              </w:rPr>
              <w:t>1,107,028</w:t>
            </w:r>
          </w:p>
        </w:tc>
        <w:tc>
          <w:tcPr>
            <w:tcW w:w="280" w:type="dxa"/>
            <w:vAlign w:val="bottom"/>
            <w:shd w:val="clear" w:color="auto" w:fill="EDEDEE"/>
          </w:tcPr>
          <w:p>
            <w:pPr>
              <w:spacing w:after="0"/>
              <w:rPr>
                <w:sz w:val="24"/>
                <w:szCs w:val="24"/>
                <w:color w:val="auto"/>
              </w:rPr>
            </w:pPr>
          </w:p>
        </w:tc>
        <w:tc>
          <w:tcPr>
            <w:tcW w:w="178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1,361,431</w:t>
            </w:r>
          </w:p>
        </w:tc>
        <w:tc>
          <w:tcPr>
            <w:tcW w:w="0" w:type="dxa"/>
            <w:vAlign w:val="bottom"/>
          </w:tcPr>
          <w:p>
            <w:pPr>
              <w:spacing w:after="0"/>
              <w:rPr>
                <w:sz w:val="1"/>
                <w:szCs w:val="1"/>
                <w:color w:val="auto"/>
              </w:rPr>
            </w:pPr>
          </w:p>
        </w:tc>
      </w:tr>
      <w:tr>
        <w:trPr>
          <w:trHeight w:val="82"/>
        </w:trPr>
        <w:tc>
          <w:tcPr>
            <w:tcW w:w="4560" w:type="dxa"/>
            <w:vAlign w:val="bottom"/>
            <w:shd w:val="clear" w:color="auto" w:fill="EDEDEE"/>
          </w:tcPr>
          <w:p>
            <w:pPr>
              <w:spacing w:after="0"/>
              <w:rPr>
                <w:sz w:val="7"/>
                <w:szCs w:val="7"/>
                <w:color w:val="auto"/>
              </w:rPr>
            </w:pPr>
          </w:p>
        </w:tc>
        <w:tc>
          <w:tcPr>
            <w:tcW w:w="260" w:type="dxa"/>
            <w:vAlign w:val="bottom"/>
            <w:tcBorders>
              <w:bottom w:val="single" w:sz="8" w:color="auto"/>
            </w:tcBorders>
            <w:shd w:val="clear" w:color="auto" w:fill="EDEDEE"/>
          </w:tcPr>
          <w:p>
            <w:pPr>
              <w:spacing w:after="0"/>
              <w:rPr>
                <w:sz w:val="7"/>
                <w:szCs w:val="7"/>
                <w:color w:val="auto"/>
              </w:rPr>
            </w:pPr>
          </w:p>
        </w:tc>
        <w:tc>
          <w:tcPr>
            <w:tcW w:w="1700" w:type="dxa"/>
            <w:vAlign w:val="bottom"/>
            <w:tcBorders>
              <w:bottom w:val="single" w:sz="8" w:color="auto"/>
            </w:tcBorders>
            <w:vMerge w:val="continue"/>
            <w:shd w:val="clear" w:color="auto" w:fill="EDEDEE"/>
          </w:tcPr>
          <w:p>
            <w:pPr>
              <w:spacing w:after="0"/>
              <w:rPr>
                <w:sz w:val="7"/>
                <w:szCs w:val="7"/>
                <w:color w:val="auto"/>
              </w:rPr>
            </w:pPr>
          </w:p>
        </w:tc>
        <w:tc>
          <w:tcPr>
            <w:tcW w:w="280" w:type="dxa"/>
            <w:vAlign w:val="bottom"/>
            <w:tcBorders>
              <w:bottom w:val="single" w:sz="8" w:color="auto"/>
            </w:tcBorders>
            <w:shd w:val="clear" w:color="auto" w:fill="EDEDEE"/>
          </w:tcPr>
          <w:p>
            <w:pPr>
              <w:spacing w:after="0"/>
              <w:rPr>
                <w:sz w:val="7"/>
                <w:szCs w:val="7"/>
                <w:color w:val="auto"/>
              </w:rPr>
            </w:pPr>
          </w:p>
        </w:tc>
        <w:tc>
          <w:tcPr>
            <w:tcW w:w="1780" w:type="dxa"/>
            <w:vAlign w:val="bottom"/>
            <w:tcBorders>
              <w:bottom w:val="single" w:sz="8" w:color="auto"/>
            </w:tcBorders>
            <w:vMerge w:val="continue"/>
            <w:shd w:val="clear" w:color="auto" w:fill="EDEDE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20"/>
              <w:spacing w:after="0"/>
              <w:rPr>
                <w:sz w:val="20"/>
                <w:szCs w:val="20"/>
                <w:color w:val="auto"/>
              </w:rPr>
            </w:pPr>
            <w:r>
              <w:rPr>
                <w:rFonts w:ascii="Arial" w:cs="Arial" w:eastAsia="Arial" w:hAnsi="Arial"/>
                <w:sz w:val="16"/>
                <w:szCs w:val="16"/>
                <w:b w:val="1"/>
                <w:bCs w:val="1"/>
                <w:color w:val="144F82"/>
              </w:rPr>
              <w:t>Total unrestricted cash and liquid investments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4,802,104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6,061,797</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(1) This amount will be used primarily to originate Private Education Loans at the Bank.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102235</wp:posOffset>
            </wp:positionV>
            <wp:extent cx="45948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pacing w:after="0" w:line="140" w:lineRule="exact"/>
        <w:rPr>
          <w:sz w:val="20"/>
          <w:szCs w:val="20"/>
          <w:color w:val="auto"/>
        </w:rPr>
      </w:pPr>
    </w:p>
    <w:p>
      <w:pPr>
        <w:ind w:left="7140"/>
        <w:spacing w:after="0"/>
        <w:rPr>
          <w:sz w:val="20"/>
          <w:szCs w:val="20"/>
          <w:color w:val="auto"/>
        </w:rPr>
      </w:pPr>
      <w:r>
        <w:rPr>
          <w:rFonts w:ascii="Arial" w:cs="Arial" w:eastAsia="Arial" w:hAnsi="Arial"/>
          <w:sz w:val="15"/>
          <w:szCs w:val="15"/>
          <w:b w:val="1"/>
          <w:bCs w:val="1"/>
          <w:color w:val="144F82"/>
        </w:rPr>
        <w:t>Three Months Ended</w:t>
      </w:r>
    </w:p>
    <w:tbl>
      <w:tblPr>
        <w:tblLayout w:type="fixed"/>
        <w:tblInd w:w="2040" w:type="dxa"/>
        <w:tblCellMar>
          <w:top w:w="0" w:type="dxa"/>
          <w:left w:w="0" w:type="dxa"/>
          <w:bottom w:w="0" w:type="dxa"/>
          <w:right w:w="0" w:type="dxa"/>
        </w:tblCellMar>
      </w:tblPr>
      <w:tr>
        <w:trPr>
          <w:trHeight w:val="206"/>
        </w:trPr>
        <w:tc>
          <w:tcPr>
            <w:tcW w:w="4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144F82"/>
              </w:rPr>
              <w:t>March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144F82"/>
              </w:rPr>
              <w:t>(Dollars in thousands)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5"/>
                <w:szCs w:val="15"/>
                <w:b w:val="1"/>
                <w:bCs w:val="1"/>
                <w:color w:val="144F82"/>
              </w:rPr>
              <w:t>2025</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5"/>
                <w:szCs w:val="15"/>
                <w:b w:val="1"/>
                <w:bCs w:val="1"/>
                <w:color w:val="144F82"/>
              </w:rPr>
              <w:t>2024</w:t>
            </w:r>
          </w:p>
        </w:tc>
        <w:tc>
          <w:tcPr>
            <w:tcW w:w="0" w:type="dxa"/>
            <w:vAlign w:val="bottom"/>
          </w:tcPr>
          <w:p>
            <w:pPr>
              <w:spacing w:after="0"/>
              <w:rPr>
                <w:sz w:val="1"/>
                <w:szCs w:val="1"/>
                <w:color w:val="auto"/>
              </w:rPr>
            </w:pPr>
          </w:p>
        </w:tc>
      </w:tr>
      <w:tr>
        <w:trPr>
          <w:trHeight w:val="209"/>
        </w:trPr>
        <w:tc>
          <w:tcPr>
            <w:tcW w:w="4520" w:type="dxa"/>
            <w:vAlign w:val="bottom"/>
            <w:shd w:val="clear" w:color="auto" w:fill="EDEDEE"/>
          </w:tcPr>
          <w:p>
            <w:pPr>
              <w:spacing w:after="0"/>
              <w:rPr>
                <w:sz w:val="20"/>
                <w:szCs w:val="20"/>
                <w:color w:val="auto"/>
              </w:rPr>
            </w:pPr>
            <w:r>
              <w:rPr>
                <w:rFonts w:ascii="Arial" w:cs="Arial" w:eastAsia="Arial" w:hAnsi="Arial"/>
                <w:sz w:val="16"/>
                <w:szCs w:val="16"/>
                <w:b w:val="1"/>
                <w:bCs w:val="1"/>
                <w:color w:val="144F82"/>
              </w:rPr>
              <w:t>Sources of primary liquidity:</w:t>
            </w:r>
          </w:p>
        </w:tc>
        <w:tc>
          <w:tcPr>
            <w:tcW w:w="300" w:type="dxa"/>
            <w:vAlign w:val="bottom"/>
            <w:shd w:val="clear" w:color="auto" w:fill="EDEDEE"/>
          </w:tcPr>
          <w:p>
            <w:pPr>
              <w:spacing w:after="0"/>
              <w:rPr>
                <w:sz w:val="18"/>
                <w:szCs w:val="18"/>
                <w:color w:val="auto"/>
              </w:rPr>
            </w:pPr>
          </w:p>
        </w:tc>
        <w:tc>
          <w:tcPr>
            <w:tcW w:w="1020" w:type="dxa"/>
            <w:vAlign w:val="bottom"/>
            <w:shd w:val="clear" w:color="auto" w:fill="EDEDEE"/>
          </w:tcPr>
          <w:p>
            <w:pPr>
              <w:spacing w:after="0"/>
              <w:rPr>
                <w:sz w:val="18"/>
                <w:szCs w:val="18"/>
                <w:color w:val="auto"/>
              </w:rPr>
            </w:pPr>
          </w:p>
        </w:tc>
        <w:tc>
          <w:tcPr>
            <w:tcW w:w="480" w:type="dxa"/>
            <w:vAlign w:val="bottom"/>
            <w:shd w:val="clear" w:color="auto" w:fill="EDEDEE"/>
          </w:tcPr>
          <w:p>
            <w:pPr>
              <w:spacing w:after="0"/>
              <w:rPr>
                <w:sz w:val="18"/>
                <w:szCs w:val="18"/>
                <w:color w:val="auto"/>
              </w:rPr>
            </w:pPr>
          </w:p>
        </w:tc>
        <w:tc>
          <w:tcPr>
            <w:tcW w:w="90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spacing w:after="0"/>
              <w:rPr>
                <w:sz w:val="20"/>
                <w:szCs w:val="20"/>
                <w:color w:val="auto"/>
              </w:rPr>
            </w:pPr>
            <w:r>
              <w:rPr>
                <w:rFonts w:ascii="Arial" w:cs="Arial" w:eastAsia="Arial" w:hAnsi="Arial"/>
                <w:sz w:val="16"/>
                <w:szCs w:val="16"/>
                <w:color w:val="auto"/>
              </w:rPr>
              <w:t>Unrestricted cash and liquid investments: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EDEDEE"/>
          </w:tcPr>
          <w:p>
            <w:pPr>
              <w:ind w:left="120"/>
              <w:spacing w:after="0"/>
              <w:rPr>
                <w:sz w:val="20"/>
                <w:szCs w:val="20"/>
                <w:color w:val="auto"/>
              </w:rPr>
            </w:pPr>
            <w:r>
              <w:rPr>
                <w:rFonts w:ascii="Arial" w:cs="Arial" w:eastAsia="Arial" w:hAnsi="Arial"/>
                <w:sz w:val="16"/>
                <w:szCs w:val="16"/>
                <w:color w:val="auto"/>
              </w:rPr>
              <w:t>Holding Company and other non-bank subsidiaries</w:t>
            </w:r>
          </w:p>
        </w:tc>
        <w:tc>
          <w:tcPr>
            <w:tcW w:w="30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DEDEE"/>
          </w:tcPr>
          <w:p>
            <w:pPr>
              <w:jc w:val="right"/>
              <w:ind w:right="21"/>
              <w:spacing w:after="0"/>
              <w:rPr>
                <w:sz w:val="20"/>
                <w:szCs w:val="20"/>
                <w:color w:val="auto"/>
              </w:rPr>
            </w:pPr>
            <w:r>
              <w:rPr>
                <w:rFonts w:ascii="Arial" w:cs="Arial" w:eastAsia="Arial" w:hAnsi="Arial"/>
                <w:sz w:val="16"/>
                <w:szCs w:val="16"/>
                <w:color w:val="auto"/>
              </w:rPr>
              <w:t>5,479</w:t>
            </w:r>
          </w:p>
        </w:tc>
        <w:tc>
          <w:tcPr>
            <w:tcW w:w="480" w:type="dxa"/>
            <w:vAlign w:val="bottom"/>
            <w:shd w:val="clear" w:color="auto" w:fill="EDEDEE"/>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338"/>
        </w:trPr>
        <w:tc>
          <w:tcPr>
            <w:tcW w:w="4520" w:type="dxa"/>
            <w:vAlign w:val="bottom"/>
          </w:tcPr>
          <w:p>
            <w:pPr>
              <w:ind w:left="120"/>
              <w:spacing w:after="0"/>
              <w:rPr>
                <w:sz w:val="20"/>
                <w:szCs w:val="20"/>
                <w:color w:val="auto"/>
              </w:rPr>
            </w:pPr>
            <w:r>
              <w:rPr>
                <w:rFonts w:ascii="Arial" w:cs="Arial" w:eastAsia="Arial" w:hAnsi="Arial"/>
                <w:sz w:val="16"/>
                <w:szCs w:val="16"/>
                <w:color w:val="auto"/>
              </w:rPr>
              <w:t>Sallie Mae Bank</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020" w:type="dxa"/>
            <w:vAlign w:val="bottom"/>
            <w:vMerge w:val="restart"/>
          </w:tcPr>
          <w:p>
            <w:pPr>
              <w:jc w:val="right"/>
              <w:ind w:right="21"/>
              <w:spacing w:after="0"/>
              <w:rPr>
                <w:sz w:val="20"/>
                <w:szCs w:val="20"/>
                <w:color w:val="auto"/>
              </w:rPr>
            </w:pPr>
            <w:r>
              <w:rPr>
                <w:rFonts w:ascii="Arial" w:cs="Arial" w:eastAsia="Arial" w:hAnsi="Arial"/>
                <w:sz w:val="16"/>
                <w:szCs w:val="16"/>
                <w:color w:val="auto"/>
              </w:rPr>
              <w:t>3,764,708</w:t>
            </w:r>
          </w:p>
        </w:tc>
        <w:tc>
          <w:tcPr>
            <w:tcW w:w="4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3,746,434</w:t>
            </w:r>
          </w:p>
        </w:tc>
        <w:tc>
          <w:tcPr>
            <w:tcW w:w="0" w:type="dxa"/>
            <w:vAlign w:val="bottom"/>
          </w:tcPr>
          <w:p>
            <w:pPr>
              <w:spacing w:after="0"/>
              <w:rPr>
                <w:sz w:val="1"/>
                <w:szCs w:val="1"/>
                <w:color w:val="auto"/>
              </w:rPr>
            </w:pPr>
          </w:p>
        </w:tc>
      </w:tr>
      <w:tr>
        <w:trPr>
          <w:trHeight w:val="53"/>
        </w:trPr>
        <w:tc>
          <w:tcPr>
            <w:tcW w:w="4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EDEDEE"/>
          </w:tcPr>
          <w:p>
            <w:pPr>
              <w:ind w:left="120"/>
              <w:spacing w:after="0"/>
              <w:rPr>
                <w:sz w:val="20"/>
                <w:szCs w:val="20"/>
                <w:color w:val="auto"/>
              </w:rPr>
            </w:pPr>
            <w:r>
              <w:rPr>
                <w:rFonts w:ascii="Arial" w:cs="Arial" w:eastAsia="Arial" w:hAnsi="Arial"/>
                <w:sz w:val="16"/>
                <w:szCs w:val="16"/>
                <w:color w:val="auto"/>
              </w:rPr>
              <w:t>Available-for-sale investments</w:t>
            </w:r>
          </w:p>
        </w:tc>
        <w:tc>
          <w:tcPr>
            <w:tcW w:w="300" w:type="dxa"/>
            <w:vAlign w:val="bottom"/>
            <w:tcBorders>
              <w:bottom w:val="single" w:sz="8" w:color="auto"/>
            </w:tcBorders>
            <w:shd w:val="clear" w:color="auto" w:fill="EDEDEE"/>
          </w:tcPr>
          <w:p>
            <w:pPr>
              <w:spacing w:after="0"/>
              <w:rPr>
                <w:sz w:val="18"/>
                <w:szCs w:val="18"/>
                <w:color w:val="auto"/>
              </w:rPr>
            </w:pPr>
          </w:p>
        </w:tc>
        <w:tc>
          <w:tcPr>
            <w:tcW w:w="1020" w:type="dxa"/>
            <w:vAlign w:val="bottom"/>
            <w:tcBorders>
              <w:bottom w:val="single" w:sz="8" w:color="auto"/>
            </w:tcBorders>
            <w:shd w:val="clear" w:color="auto" w:fill="EDEDEE"/>
          </w:tcPr>
          <w:p>
            <w:pPr>
              <w:jc w:val="right"/>
              <w:ind w:right="21"/>
              <w:spacing w:after="0"/>
              <w:rPr>
                <w:sz w:val="20"/>
                <w:szCs w:val="20"/>
                <w:color w:val="auto"/>
              </w:rPr>
            </w:pPr>
            <w:r>
              <w:rPr>
                <w:rFonts w:ascii="Arial" w:cs="Arial" w:eastAsia="Arial" w:hAnsi="Arial"/>
                <w:sz w:val="16"/>
                <w:szCs w:val="16"/>
                <w:color w:val="auto"/>
              </w:rPr>
              <w:t>1,301,677</w:t>
            </w:r>
          </w:p>
        </w:tc>
        <w:tc>
          <w:tcPr>
            <w:tcW w:w="480" w:type="dxa"/>
            <w:vAlign w:val="bottom"/>
            <w:tcBorders>
              <w:bottom w:val="single" w:sz="8" w:color="auto"/>
            </w:tcBorders>
            <w:shd w:val="clear" w:color="auto" w:fill="EDEDEE"/>
          </w:tcPr>
          <w:p>
            <w:pPr>
              <w:spacing w:after="0"/>
              <w:rPr>
                <w:sz w:val="18"/>
                <w:szCs w:val="18"/>
                <w:color w:val="auto"/>
              </w:rPr>
            </w:pPr>
          </w:p>
        </w:tc>
        <w:tc>
          <w:tcPr>
            <w:tcW w:w="9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1,885,863</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6"/>
                <w:szCs w:val="16"/>
                <w:b w:val="1"/>
                <w:bCs w:val="1"/>
                <w:color w:val="144F82"/>
              </w:rPr>
              <w:t>Total unrestricted cash and liquid investments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5,071,864</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5,635,627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120"/>
        <w:spacing w:after="0"/>
        <w:rPr>
          <w:sz w:val="20"/>
          <w:szCs w:val="20"/>
          <w:color w:val="auto"/>
        </w:rPr>
      </w:pPr>
      <w:r>
        <w:rPr>
          <w:rFonts w:ascii="Arial" w:cs="Arial" w:eastAsia="Arial" w:hAnsi="Arial"/>
          <w:sz w:val="13"/>
          <w:szCs w:val="13"/>
          <w:color w:val="auto"/>
        </w:rPr>
        <w:t>(1) This amount will be used primarily to originate Private Education Loans at the Bank.</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134F82"/>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total deposits at March 31, 2025 and December 31, 2024.</w:t>
      </w:r>
    </w:p>
    <w:p>
      <w:pPr>
        <w:spacing w:after="0" w:line="129" w:lineRule="exact"/>
        <w:rPr>
          <w:sz w:val="20"/>
          <w:szCs w:val="20"/>
          <w:color w:val="auto"/>
        </w:rPr>
      </w:pPr>
    </w:p>
    <w:tbl>
      <w:tblPr>
        <w:tblLayout w:type="fixed"/>
        <w:tblInd w:w="1940" w:type="dxa"/>
        <w:tblCellMar>
          <w:top w:w="0" w:type="dxa"/>
          <w:left w:w="0" w:type="dxa"/>
          <w:bottom w:w="0" w:type="dxa"/>
          <w:right w:w="0" w:type="dxa"/>
        </w:tblCellMar>
      </w:tblPr>
      <w:tr>
        <w:trPr>
          <w:trHeight w:val="214"/>
        </w:trPr>
        <w:tc>
          <w:tcPr>
            <w:tcW w:w="4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23"/>
              <w:spacing w:after="0"/>
              <w:rPr>
                <w:sz w:val="20"/>
                <w:szCs w:val="20"/>
                <w:color w:val="auto"/>
              </w:rPr>
            </w:pPr>
            <w:r>
              <w:rPr>
                <w:rFonts w:ascii="Arial" w:cs="Arial" w:eastAsia="Arial" w:hAnsi="Arial"/>
                <w:sz w:val="14"/>
                <w:szCs w:val="14"/>
                <w:b w:val="1"/>
                <w:bCs w:val="1"/>
                <w:color w:val="144F82"/>
              </w:rPr>
              <w:t>March 31,</w:t>
            </w: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63"/>
              <w:spacing w:after="0"/>
              <w:rPr>
                <w:sz w:val="20"/>
                <w:szCs w:val="20"/>
                <w:color w:val="auto"/>
              </w:rPr>
            </w:pPr>
            <w:r>
              <w:rPr>
                <w:rFonts w:ascii="Arial" w:cs="Arial" w:eastAsia="Arial" w:hAnsi="Arial"/>
                <w:sz w:val="14"/>
                <w:szCs w:val="14"/>
                <w:b w:val="1"/>
                <w:bCs w:val="1"/>
                <w:color w:val="144F82"/>
              </w:rPr>
              <w:t>December 31,</w:t>
            </w:r>
          </w:p>
        </w:tc>
      </w:tr>
      <w:tr>
        <w:trPr>
          <w:trHeight w:val="203"/>
        </w:trPr>
        <w:tc>
          <w:tcPr>
            <w:tcW w:w="4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144F82"/>
              </w:rPr>
              <w:t>(Dollars in thousands)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144F82"/>
              </w:rPr>
              <w:t>2025</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144F82"/>
              </w:rPr>
              <w:t>2024</w:t>
            </w:r>
          </w:p>
        </w:tc>
      </w:tr>
      <w:tr>
        <w:trPr>
          <w:trHeight w:val="211"/>
        </w:trPr>
        <w:tc>
          <w:tcPr>
            <w:tcW w:w="4500" w:type="dxa"/>
            <w:vAlign w:val="bottom"/>
            <w:shd w:val="clear" w:color="auto" w:fill="EDEDEE"/>
          </w:tcPr>
          <w:p>
            <w:pPr>
              <w:spacing w:after="0"/>
              <w:rPr>
                <w:sz w:val="20"/>
                <w:szCs w:val="20"/>
                <w:color w:val="auto"/>
              </w:rPr>
            </w:pPr>
            <w:r>
              <w:rPr>
                <w:rFonts w:ascii="Arial" w:cs="Arial" w:eastAsia="Arial" w:hAnsi="Arial"/>
                <w:sz w:val="16"/>
                <w:szCs w:val="16"/>
                <w:color w:val="auto"/>
              </w:rPr>
              <w:t>Deposits - interest-bearing</w:t>
            </w:r>
          </w:p>
        </w:tc>
        <w:tc>
          <w:tcPr>
            <w:tcW w:w="30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DEDEE"/>
          </w:tcPr>
          <w:p>
            <w:pPr>
              <w:jc w:val="right"/>
              <w:ind w:right="23"/>
              <w:spacing w:after="0"/>
              <w:rPr>
                <w:sz w:val="20"/>
                <w:szCs w:val="20"/>
                <w:color w:val="auto"/>
              </w:rPr>
            </w:pPr>
            <w:r>
              <w:rPr>
                <w:rFonts w:ascii="Arial" w:cs="Arial" w:eastAsia="Arial" w:hAnsi="Arial"/>
                <w:sz w:val="16"/>
                <w:szCs w:val="16"/>
                <w:color w:val="auto"/>
              </w:rPr>
              <w:t>20,070,552</w:t>
            </w:r>
          </w:p>
        </w:tc>
        <w:tc>
          <w:tcPr>
            <w:tcW w:w="30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DEDEE"/>
          </w:tcPr>
          <w:p>
            <w:pPr>
              <w:jc w:val="right"/>
              <w:ind w:right="3"/>
              <w:spacing w:after="0"/>
              <w:rPr>
                <w:sz w:val="20"/>
                <w:szCs w:val="20"/>
                <w:color w:val="auto"/>
              </w:rPr>
            </w:pPr>
            <w:r>
              <w:rPr>
                <w:rFonts w:ascii="Arial" w:cs="Arial" w:eastAsia="Arial" w:hAnsi="Arial"/>
                <w:sz w:val="16"/>
                <w:szCs w:val="16"/>
                <w:color w:val="auto"/>
              </w:rPr>
              <w:t>21,066,752</w:t>
            </w:r>
          </w:p>
        </w:tc>
      </w:tr>
      <w:tr>
        <w:trPr>
          <w:trHeight w:val="215"/>
        </w:trPr>
        <w:tc>
          <w:tcPr>
            <w:tcW w:w="4500" w:type="dxa"/>
            <w:vAlign w:val="bottom"/>
            <w:tcBorders>
              <w:bottom w:val="single" w:sz="8" w:color="EDEDEE"/>
            </w:tcBorders>
          </w:tcPr>
          <w:p>
            <w:pPr>
              <w:spacing w:after="0"/>
              <w:rPr>
                <w:sz w:val="20"/>
                <w:szCs w:val="20"/>
                <w:color w:val="auto"/>
              </w:rPr>
            </w:pPr>
            <w:r>
              <w:rPr>
                <w:rFonts w:ascii="Arial" w:cs="Arial" w:eastAsia="Arial" w:hAnsi="Arial"/>
                <w:sz w:val="16"/>
                <w:szCs w:val="16"/>
                <w:color w:val="auto"/>
              </w:rPr>
              <w:t>Deposits - non-interest-bearing</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2,616</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1,816</w:t>
            </w:r>
          </w:p>
        </w:tc>
      </w:tr>
      <w:tr>
        <w:trPr>
          <w:trHeight w:val="235"/>
        </w:trPr>
        <w:tc>
          <w:tcPr>
            <w:tcW w:w="450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b w:val="1"/>
                <w:bCs w:val="1"/>
                <w:color w:val="144F82"/>
              </w:rPr>
              <w:t>Total deposits</w:t>
            </w:r>
          </w:p>
        </w:tc>
        <w:tc>
          <w:tcPr>
            <w:tcW w:w="300" w:type="dxa"/>
            <w:vAlign w:val="bottom"/>
            <w:tcBorders>
              <w:bottom w:val="single" w:sz="8" w:color="auto"/>
            </w:tcBorders>
            <w:shd w:val="clear" w:color="auto" w:fill="EDEDEE"/>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DEDEE"/>
          </w:tcPr>
          <w:p>
            <w:pPr>
              <w:jc w:val="right"/>
              <w:ind w:right="23"/>
              <w:spacing w:after="0"/>
              <w:rPr>
                <w:sz w:val="20"/>
                <w:szCs w:val="20"/>
                <w:color w:val="auto"/>
              </w:rPr>
            </w:pPr>
            <w:r>
              <w:rPr>
                <w:rFonts w:ascii="Arial" w:cs="Arial" w:eastAsia="Arial" w:hAnsi="Arial"/>
                <w:sz w:val="16"/>
                <w:szCs w:val="16"/>
                <w:color w:val="auto"/>
              </w:rPr>
              <w:t>20,073,168</w:t>
            </w:r>
          </w:p>
        </w:tc>
        <w:tc>
          <w:tcPr>
            <w:tcW w:w="300" w:type="dxa"/>
            <w:vAlign w:val="bottom"/>
            <w:tcBorders>
              <w:bottom w:val="single" w:sz="8" w:color="auto"/>
            </w:tcBorders>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EDEDEE"/>
          </w:tcPr>
          <w:p>
            <w:pPr>
              <w:jc w:val="right"/>
              <w:ind w:right="3"/>
              <w:spacing w:after="0"/>
              <w:rPr>
                <w:sz w:val="20"/>
                <w:szCs w:val="20"/>
                <w:color w:val="auto"/>
              </w:rPr>
            </w:pPr>
            <w:r>
              <w:rPr>
                <w:rFonts w:ascii="Arial" w:cs="Arial" w:eastAsia="Arial" w:hAnsi="Arial"/>
                <w:sz w:val="16"/>
                <w:szCs w:val="16"/>
                <w:color w:val="auto"/>
              </w:rPr>
              <w:t>21,068,568</w:t>
            </w:r>
          </w:p>
        </w:tc>
      </w:tr>
      <w:tr>
        <w:trPr>
          <w:trHeight w:val="20"/>
        </w:trPr>
        <w:tc>
          <w:tcPr>
            <w:tcW w:w="4500" w:type="dxa"/>
            <w:vAlign w:val="bottom"/>
            <w:tcBorders>
              <w:top w:val="single" w:sz="8" w:color="EDEDEE"/>
            </w:tcBorders>
          </w:tcPr>
          <w:p>
            <w:pPr>
              <w:spacing w:after="0" w:line="20" w:lineRule="exact"/>
              <w:rPr>
                <w:sz w:val="1"/>
                <w:szCs w:val="1"/>
                <w:color w:val="auto"/>
              </w:rPr>
            </w:pPr>
          </w:p>
        </w:tc>
        <w:tc>
          <w:tcPr>
            <w:tcW w:w="300" w:type="dxa"/>
            <w:vAlign w:val="bottom"/>
            <w:tcBorders>
              <w:top w:val="single" w:sz="8" w:color="EDEDEE"/>
              <w:bottom w:val="single" w:sz="8" w:color="auto"/>
            </w:tcBorders>
          </w:tcPr>
          <w:p>
            <w:pPr>
              <w:spacing w:after="0" w:line="20" w:lineRule="exact"/>
              <w:rPr>
                <w:sz w:val="1"/>
                <w:szCs w:val="1"/>
                <w:color w:val="auto"/>
              </w:rPr>
            </w:pPr>
          </w:p>
        </w:tc>
        <w:tc>
          <w:tcPr>
            <w:tcW w:w="1340" w:type="dxa"/>
            <w:vAlign w:val="bottom"/>
            <w:tcBorders>
              <w:top w:val="single" w:sz="8" w:color="EDEDEE"/>
              <w:bottom w:val="single" w:sz="8" w:color="auto"/>
            </w:tcBorders>
          </w:tcPr>
          <w:p>
            <w:pPr>
              <w:spacing w:after="0" w:line="20" w:lineRule="exact"/>
              <w:rPr>
                <w:sz w:val="1"/>
                <w:szCs w:val="1"/>
                <w:color w:val="auto"/>
              </w:rPr>
            </w:pPr>
          </w:p>
        </w:tc>
        <w:tc>
          <w:tcPr>
            <w:tcW w:w="300" w:type="dxa"/>
            <w:vAlign w:val="bottom"/>
            <w:tcBorders>
              <w:top w:val="single" w:sz="8" w:color="EDEDEE"/>
              <w:bottom w:val="single" w:sz="8" w:color="auto"/>
            </w:tcBorders>
          </w:tcPr>
          <w:p>
            <w:pPr>
              <w:spacing w:after="0" w:line="20" w:lineRule="exact"/>
              <w:rPr>
                <w:sz w:val="1"/>
                <w:szCs w:val="1"/>
                <w:color w:val="auto"/>
              </w:rPr>
            </w:pPr>
          </w:p>
        </w:tc>
        <w:tc>
          <w:tcPr>
            <w:tcW w:w="1380" w:type="dxa"/>
            <w:vAlign w:val="bottom"/>
            <w:tcBorders>
              <w:top w:val="single" w:sz="8" w:color="EDEDEE"/>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Our total deposits of $20.1 billion were comprised of $8.7 billion in brokered deposits and $11.4 billion in retail and other deposits at March 31, 2025, compared with total deposits of $21.1 billion, which were comprised of $9.5 billion in brokered deposits and $11.6 billion in retail and other deposits, at December 31, 2024.</w:t>
      </w:r>
    </w:p>
    <w:p>
      <w:pPr>
        <w:spacing w:after="0" w:line="4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Interest-bearing deposits as of March 31, 2025 and December 31, 2024 consisted of retail and brokered non-maturity savings deposits, retail and brokered non-maturity MMDAs, and retail and brokered CDs. Interest-bearing deposits also include deposits from Educational 529 and Health Savings plans that diversify our funding sources and that we consider to be core. These and other large omnibus accounts, aggregating the deposits of many individual depositors, represented $6.8 billion and $7.0 billion of our deposit total as of March 31, 2025 and December 31, 2024, respectively. The omnibus accounts are structured in such a way that entitles the individual depositor pass-through deposit insurance (subject to FDIC rules and limitations), and the majority of these deposits have contractual minimum balances and maturity terms.</w:t>
      </w:r>
    </w:p>
    <w:p>
      <w:pPr>
        <w:spacing w:after="0" w:line="48"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Some of our deposit products are serviced by third-party providers. Placement fees associated with the brokered CDs are amortized into interest expense using the effective interest rate method. We recognized placement fee expense of $2 million and $3 million in the three months ended March 31, 2025 and 2024, respectively. There were no fees paid to third-party brokers related to brokered CDs for either the three months ended March 31, 2025 or March 31, 2024.</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bearing deposits at March 31, 2025 and December 31, 2024 are summarized as follows:</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215"/>
        </w:trPr>
        <w:tc>
          <w:tcPr>
            <w:tcW w:w="3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2"/>
          </w:tcPr>
          <w:p>
            <w:pPr>
              <w:jc w:val="right"/>
              <w:ind w:right="784"/>
              <w:spacing w:after="0"/>
              <w:rPr>
                <w:sz w:val="20"/>
                <w:szCs w:val="20"/>
                <w:color w:val="auto"/>
              </w:rPr>
            </w:pPr>
            <w:r>
              <w:rPr>
                <w:rFonts w:ascii="Arial" w:cs="Arial" w:eastAsia="Arial" w:hAnsi="Arial"/>
                <w:sz w:val="14"/>
                <w:szCs w:val="14"/>
                <w:b w:val="1"/>
                <w:bCs w:val="1"/>
                <w:color w:val="144F82"/>
              </w:rPr>
              <w:t>March 31, 2025</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144F82"/>
              </w:rPr>
              <w:t>December 31, 2024</w:t>
            </w:r>
          </w:p>
        </w:tc>
        <w:tc>
          <w:tcPr>
            <w:tcW w:w="0" w:type="dxa"/>
            <w:vAlign w:val="bottom"/>
          </w:tcPr>
          <w:p>
            <w:pPr>
              <w:spacing w:after="0"/>
              <w:rPr>
                <w:sz w:val="1"/>
                <w:szCs w:val="1"/>
                <w:color w:val="auto"/>
              </w:rPr>
            </w:pPr>
          </w:p>
        </w:tc>
      </w:tr>
      <w:tr>
        <w:trPr>
          <w:trHeight w:val="147"/>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144F82"/>
                <w:w w:val="99"/>
              </w:rPr>
              <w:t>Qtr.-End</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jc w:val="center"/>
              <w:ind w:left="24"/>
              <w:spacing w:after="0" w:line="147" w:lineRule="exact"/>
              <w:rPr>
                <w:sz w:val="20"/>
                <w:szCs w:val="20"/>
                <w:color w:val="auto"/>
              </w:rPr>
            </w:pPr>
            <w:r>
              <w:rPr>
                <w:rFonts w:ascii="Arial" w:cs="Arial" w:eastAsia="Arial" w:hAnsi="Arial"/>
                <w:sz w:val="14"/>
                <w:szCs w:val="14"/>
                <w:b w:val="1"/>
                <w:bCs w:val="1"/>
                <w:color w:val="144F82"/>
              </w:rPr>
              <w:t>Year-End</w:t>
            </w: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144F82"/>
              </w:rPr>
              <w:t>Weighted</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jc w:val="center"/>
              <w:ind w:left="24"/>
              <w:spacing w:after="0" w:line="145" w:lineRule="exact"/>
              <w:rPr>
                <w:sz w:val="20"/>
                <w:szCs w:val="20"/>
                <w:color w:val="auto"/>
              </w:rPr>
            </w:pPr>
            <w:r>
              <w:rPr>
                <w:rFonts w:ascii="Arial" w:cs="Arial" w:eastAsia="Arial" w:hAnsi="Arial"/>
                <w:sz w:val="14"/>
                <w:szCs w:val="14"/>
                <w:b w:val="1"/>
                <w:bCs w:val="1"/>
                <w:color w:val="144F82"/>
              </w:rPr>
              <w:t>Weighted</w:t>
            </w:r>
          </w:p>
        </w:tc>
        <w:tc>
          <w:tcPr>
            <w:tcW w:w="0" w:type="dxa"/>
            <w:vAlign w:val="bottom"/>
          </w:tcPr>
          <w:p>
            <w:pPr>
              <w:spacing w:after="0"/>
              <w:rPr>
                <w:sz w:val="1"/>
                <w:szCs w:val="1"/>
                <w:color w:val="auto"/>
              </w:rPr>
            </w:pPr>
          </w:p>
        </w:tc>
      </w:tr>
      <w:tr>
        <w:trPr>
          <w:trHeight w:val="137"/>
        </w:trPr>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240" w:type="dxa"/>
            <w:vAlign w:val="bottom"/>
          </w:tcPr>
          <w:p>
            <w:pPr>
              <w:spacing w:after="0"/>
              <w:rPr>
                <w:sz w:val="11"/>
                <w:szCs w:val="11"/>
                <w:color w:val="auto"/>
              </w:rPr>
            </w:pPr>
          </w:p>
        </w:tc>
        <w:tc>
          <w:tcPr>
            <w:tcW w:w="104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144F82"/>
              </w:rPr>
              <w:t>Amount</w:t>
            </w:r>
          </w:p>
        </w:tc>
        <w:tc>
          <w:tcPr>
            <w:tcW w:w="156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144F82"/>
              </w:rPr>
              <w:t>Average</w:t>
            </w:r>
          </w:p>
        </w:tc>
        <w:tc>
          <w:tcPr>
            <w:tcW w:w="240" w:type="dxa"/>
            <w:vAlign w:val="bottom"/>
          </w:tcPr>
          <w:p>
            <w:pPr>
              <w:spacing w:after="0"/>
              <w:rPr>
                <w:sz w:val="11"/>
                <w:szCs w:val="11"/>
                <w:color w:val="auto"/>
              </w:rPr>
            </w:pPr>
          </w:p>
        </w:tc>
        <w:tc>
          <w:tcPr>
            <w:tcW w:w="104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144F82"/>
              </w:rPr>
              <w:t>Amount</w:t>
            </w:r>
          </w:p>
        </w:tc>
        <w:tc>
          <w:tcPr>
            <w:tcW w:w="1440" w:type="dxa"/>
            <w:vAlign w:val="bottom"/>
          </w:tcPr>
          <w:p>
            <w:pPr>
              <w:jc w:val="center"/>
              <w:ind w:left="44"/>
              <w:spacing w:after="0" w:line="137" w:lineRule="exact"/>
              <w:rPr>
                <w:sz w:val="20"/>
                <w:szCs w:val="20"/>
                <w:color w:val="auto"/>
              </w:rPr>
            </w:pPr>
            <w:r>
              <w:rPr>
                <w:rFonts w:ascii="Arial" w:cs="Arial" w:eastAsia="Arial" w:hAnsi="Arial"/>
                <w:sz w:val="14"/>
                <w:szCs w:val="14"/>
                <w:b w:val="1"/>
                <w:bCs w:val="1"/>
                <w:color w:val="144F82"/>
              </w:rPr>
              <w:t>Average</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gridSpan w:val="2"/>
          </w:tcPr>
          <w:p>
            <w:pPr>
              <w:jc w:val="center"/>
              <w:ind w:right="20"/>
              <w:spacing w:after="0" w:line="201" w:lineRule="exact"/>
              <w:rPr>
                <w:sz w:val="20"/>
                <w:szCs w:val="20"/>
                <w:color w:val="auto"/>
              </w:rPr>
            </w:pPr>
            <w:r>
              <w:rPr>
                <w:rFonts w:ascii="Arial" w:cs="Arial" w:eastAsia="Arial" w:hAnsi="Arial"/>
                <w:sz w:val="14"/>
                <w:szCs w:val="14"/>
                <w:b w:val="1"/>
                <w:bCs w:val="1"/>
                <w:color w:val="144F82"/>
                <w:w w:val="98"/>
              </w:rPr>
              <w:t>Stated Rate</w:t>
            </w:r>
            <w:r>
              <w:rPr>
                <w:rFonts w:ascii="Arial" w:cs="Arial" w:eastAsia="Arial" w:hAnsi="Arial"/>
                <w:sz w:val="18"/>
                <w:szCs w:val="18"/>
                <w:b w:val="1"/>
                <w:bCs w:val="1"/>
                <w:color w:val="144F82"/>
                <w:w w:val="98"/>
                <w:vertAlign w:val="superscript"/>
              </w:rPr>
              <w:t>(1)</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tcPr>
          <w:p>
            <w:pPr>
              <w:jc w:val="center"/>
              <w:ind w:left="24"/>
              <w:spacing w:after="0" w:line="201" w:lineRule="exact"/>
              <w:rPr>
                <w:sz w:val="20"/>
                <w:szCs w:val="20"/>
                <w:color w:val="auto"/>
              </w:rPr>
            </w:pPr>
            <w:r>
              <w:rPr>
                <w:rFonts w:ascii="Arial" w:cs="Arial" w:eastAsia="Arial" w:hAnsi="Arial"/>
                <w:sz w:val="14"/>
                <w:szCs w:val="14"/>
                <w:b w:val="1"/>
                <w:bCs w:val="1"/>
                <w:color w:val="144F82"/>
                <w:w w:val="98"/>
              </w:rPr>
              <w:t>Stated Rate</w:t>
            </w:r>
            <w:r>
              <w:rPr>
                <w:rFonts w:ascii="Arial" w:cs="Arial" w:eastAsia="Arial" w:hAnsi="Arial"/>
                <w:sz w:val="18"/>
                <w:szCs w:val="18"/>
                <w:b w:val="1"/>
                <w:bCs w:val="1"/>
                <w:color w:val="144F82"/>
                <w:w w:val="98"/>
                <w:vertAlign w:val="superscript"/>
              </w:rPr>
              <w:t>(1)</w:t>
            </w:r>
          </w:p>
        </w:tc>
        <w:tc>
          <w:tcPr>
            <w:tcW w:w="0" w:type="dxa"/>
            <w:vAlign w:val="bottom"/>
          </w:tcPr>
          <w:p>
            <w:pPr>
              <w:spacing w:after="0"/>
              <w:rPr>
                <w:sz w:val="1"/>
                <w:szCs w:val="1"/>
                <w:color w:val="auto"/>
              </w:rPr>
            </w:pPr>
          </w:p>
        </w:tc>
      </w:tr>
      <w:tr>
        <w:trPr>
          <w:trHeight w:val="210"/>
        </w:trPr>
        <w:tc>
          <w:tcPr>
            <w:tcW w:w="3100" w:type="dxa"/>
            <w:vAlign w:val="bottom"/>
            <w:shd w:val="clear" w:color="auto" w:fill="EDEDEE"/>
          </w:tcPr>
          <w:p>
            <w:pPr>
              <w:ind w:left="20"/>
              <w:spacing w:after="0"/>
              <w:rPr>
                <w:sz w:val="20"/>
                <w:szCs w:val="20"/>
                <w:color w:val="auto"/>
              </w:rPr>
            </w:pPr>
            <w:r>
              <w:rPr>
                <w:rFonts w:ascii="Arial" w:cs="Arial" w:eastAsia="Arial" w:hAnsi="Arial"/>
                <w:sz w:val="16"/>
                <w:szCs w:val="16"/>
                <w:color w:val="auto"/>
              </w:rPr>
              <w:t>Money market</w:t>
            </w:r>
          </w:p>
        </w:tc>
        <w:tc>
          <w:tcPr>
            <w:tcW w:w="240" w:type="dxa"/>
            <w:vAlign w:val="bottom"/>
            <w:shd w:val="clear" w:color="auto" w:fill="EDEDEE"/>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9,414,764</w:t>
            </w:r>
          </w:p>
        </w:tc>
        <w:tc>
          <w:tcPr>
            <w:tcW w:w="14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4.11 %</w:t>
            </w:r>
          </w:p>
        </w:tc>
        <w:tc>
          <w:tcPr>
            <w:tcW w:w="100" w:type="dxa"/>
            <w:vAlign w:val="bottom"/>
            <w:shd w:val="clear" w:color="auto" w:fill="EDEDEE"/>
          </w:tcPr>
          <w:p>
            <w:pPr>
              <w:spacing w:after="0"/>
              <w:rPr>
                <w:sz w:val="18"/>
                <w:szCs w:val="18"/>
                <w:color w:val="auto"/>
              </w:rPr>
            </w:pPr>
          </w:p>
        </w:tc>
        <w:tc>
          <w:tcPr>
            <w:tcW w:w="240" w:type="dxa"/>
            <w:vAlign w:val="bottom"/>
            <w:shd w:val="clear" w:color="auto" w:fill="EDEDEE"/>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DEDEE"/>
          </w:tcPr>
          <w:p>
            <w:pPr>
              <w:jc w:val="right"/>
              <w:ind w:right="2"/>
              <w:spacing w:after="0"/>
              <w:rPr>
                <w:sz w:val="20"/>
                <w:szCs w:val="20"/>
                <w:color w:val="auto"/>
              </w:rPr>
            </w:pPr>
            <w:r>
              <w:rPr>
                <w:rFonts w:ascii="Arial" w:cs="Arial" w:eastAsia="Arial" w:hAnsi="Arial"/>
                <w:sz w:val="16"/>
                <w:szCs w:val="16"/>
                <w:color w:val="auto"/>
              </w:rPr>
              <w:t>9,582,290</w:t>
            </w:r>
          </w:p>
        </w:tc>
        <w:tc>
          <w:tcPr>
            <w:tcW w:w="1440" w:type="dxa"/>
            <w:vAlign w:val="bottom"/>
            <w:shd w:val="clear" w:color="auto" w:fill="EDEDEE"/>
          </w:tcPr>
          <w:p>
            <w:pPr>
              <w:ind w:left="920"/>
              <w:spacing w:after="0"/>
              <w:rPr>
                <w:sz w:val="20"/>
                <w:szCs w:val="20"/>
                <w:color w:val="auto"/>
              </w:rPr>
            </w:pPr>
            <w:r>
              <w:rPr>
                <w:rFonts w:ascii="Arial" w:cs="Arial" w:eastAsia="Arial" w:hAnsi="Arial"/>
                <w:sz w:val="16"/>
                <w:szCs w:val="16"/>
                <w:color w:val="auto"/>
              </w:rPr>
              <w:t>4.27 %</w:t>
            </w:r>
          </w:p>
        </w:tc>
        <w:tc>
          <w:tcPr>
            <w:tcW w:w="0" w:type="dxa"/>
            <w:vAlign w:val="bottom"/>
          </w:tcPr>
          <w:p>
            <w:pPr>
              <w:spacing w:after="0"/>
              <w:rPr>
                <w:sz w:val="1"/>
                <w:szCs w:val="1"/>
                <w:color w:val="auto"/>
              </w:rPr>
            </w:pP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color w:val="auto"/>
              </w:rPr>
              <w:t>Savings</w:t>
            </w:r>
          </w:p>
        </w:tc>
        <w:tc>
          <w:tcPr>
            <w:tcW w:w="2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1,002,260</w:t>
            </w:r>
          </w:p>
        </w:tc>
        <w:tc>
          <w:tcPr>
            <w:tcW w:w="1460" w:type="dxa"/>
            <w:vAlign w:val="bottom"/>
          </w:tcPr>
          <w:p>
            <w:pPr>
              <w:jc w:val="right"/>
              <w:ind w:right="144"/>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944,034</w:t>
            </w:r>
          </w:p>
        </w:tc>
        <w:tc>
          <w:tcPr>
            <w:tcW w:w="1440" w:type="dxa"/>
            <w:vAlign w:val="bottom"/>
          </w:tcPr>
          <w:p>
            <w:pPr>
              <w:ind w:left="92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6"/>
        </w:trPr>
        <w:tc>
          <w:tcPr>
            <w:tcW w:w="3100" w:type="dxa"/>
            <w:vAlign w:val="bottom"/>
            <w:shd w:val="clear" w:color="auto" w:fill="EDEDEE"/>
          </w:tcPr>
          <w:p>
            <w:pPr>
              <w:ind w:left="20"/>
              <w:spacing w:after="0"/>
              <w:rPr>
                <w:sz w:val="20"/>
                <w:szCs w:val="20"/>
                <w:color w:val="auto"/>
              </w:rPr>
            </w:pPr>
            <w:r>
              <w:rPr>
                <w:rFonts w:ascii="Arial" w:cs="Arial" w:eastAsia="Arial" w:hAnsi="Arial"/>
                <w:sz w:val="16"/>
                <w:szCs w:val="16"/>
                <w:color w:val="auto"/>
              </w:rPr>
              <w:t>Certificates of deposit</w:t>
            </w:r>
          </w:p>
        </w:tc>
        <w:tc>
          <w:tcPr>
            <w:tcW w:w="240" w:type="dxa"/>
            <w:vAlign w:val="bottom"/>
            <w:tcBorders>
              <w:bottom w:val="single" w:sz="8" w:color="auto"/>
            </w:tcBorders>
            <w:shd w:val="clear" w:color="auto" w:fill="EDEDEE"/>
          </w:tcPr>
          <w:p>
            <w:pPr>
              <w:spacing w:after="0"/>
              <w:rPr>
                <w:sz w:val="18"/>
                <w:szCs w:val="18"/>
                <w:color w:val="auto"/>
              </w:rPr>
            </w:pPr>
          </w:p>
        </w:tc>
        <w:tc>
          <w:tcPr>
            <w:tcW w:w="1040" w:type="dxa"/>
            <w:vAlign w:val="bottom"/>
            <w:tcBorders>
              <w:bottom w:val="single" w:sz="8" w:color="auto"/>
            </w:tcBorders>
            <w:shd w:val="clear" w:color="auto" w:fill="EDEDEE"/>
          </w:tcPr>
          <w:p>
            <w:pPr>
              <w:jc w:val="right"/>
              <w:ind w:right="2"/>
              <w:spacing w:after="0"/>
              <w:rPr>
                <w:sz w:val="20"/>
                <w:szCs w:val="20"/>
                <w:color w:val="auto"/>
              </w:rPr>
            </w:pPr>
            <w:r>
              <w:rPr>
                <w:rFonts w:ascii="Arial" w:cs="Arial" w:eastAsia="Arial" w:hAnsi="Arial"/>
                <w:sz w:val="16"/>
                <w:szCs w:val="16"/>
                <w:color w:val="auto"/>
              </w:rPr>
              <w:t>9,653,528</w:t>
            </w:r>
          </w:p>
        </w:tc>
        <w:tc>
          <w:tcPr>
            <w:tcW w:w="1460" w:type="dxa"/>
            <w:vAlign w:val="bottom"/>
            <w:shd w:val="clear" w:color="auto" w:fill="EDEDEE"/>
          </w:tcPr>
          <w:p>
            <w:pPr>
              <w:jc w:val="right"/>
              <w:ind w:right="144"/>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EDEDEE"/>
          </w:tcPr>
          <w:p>
            <w:pPr>
              <w:spacing w:after="0"/>
              <w:rPr>
                <w:sz w:val="18"/>
                <w:szCs w:val="18"/>
                <w:color w:val="auto"/>
              </w:rPr>
            </w:pPr>
          </w:p>
        </w:tc>
        <w:tc>
          <w:tcPr>
            <w:tcW w:w="240" w:type="dxa"/>
            <w:vAlign w:val="bottom"/>
            <w:tcBorders>
              <w:bottom w:val="single" w:sz="8" w:color="auto"/>
            </w:tcBorders>
            <w:shd w:val="clear" w:color="auto" w:fill="EDEDEE"/>
          </w:tcPr>
          <w:p>
            <w:pPr>
              <w:spacing w:after="0"/>
              <w:rPr>
                <w:sz w:val="18"/>
                <w:szCs w:val="18"/>
                <w:color w:val="auto"/>
              </w:rPr>
            </w:pPr>
          </w:p>
        </w:tc>
        <w:tc>
          <w:tcPr>
            <w:tcW w:w="1040" w:type="dxa"/>
            <w:vAlign w:val="bottom"/>
            <w:tcBorders>
              <w:bottom w:val="single" w:sz="8" w:color="auto"/>
            </w:tcBorders>
            <w:shd w:val="clear" w:color="auto" w:fill="EDEDEE"/>
          </w:tcPr>
          <w:p>
            <w:pPr>
              <w:jc w:val="right"/>
              <w:ind w:right="2"/>
              <w:spacing w:after="0"/>
              <w:rPr>
                <w:sz w:val="20"/>
                <w:szCs w:val="20"/>
                <w:color w:val="auto"/>
              </w:rPr>
            </w:pPr>
            <w:r>
              <w:rPr>
                <w:rFonts w:ascii="Arial" w:cs="Arial" w:eastAsia="Arial" w:hAnsi="Arial"/>
                <w:sz w:val="16"/>
                <w:szCs w:val="16"/>
                <w:color w:val="auto"/>
              </w:rPr>
              <w:t>10,540,428</w:t>
            </w:r>
          </w:p>
        </w:tc>
        <w:tc>
          <w:tcPr>
            <w:tcW w:w="1440" w:type="dxa"/>
            <w:vAlign w:val="bottom"/>
            <w:shd w:val="clear" w:color="auto" w:fill="EDEDEE"/>
          </w:tcPr>
          <w:p>
            <w:pPr>
              <w:ind w:left="92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0"/>
        </w:trPr>
        <w:tc>
          <w:tcPr>
            <w:tcW w:w="3100" w:type="dxa"/>
            <w:vAlign w:val="bottom"/>
          </w:tcPr>
          <w:p>
            <w:pPr>
              <w:ind w:left="140"/>
              <w:spacing w:after="0"/>
              <w:rPr>
                <w:sz w:val="20"/>
                <w:szCs w:val="20"/>
                <w:color w:val="auto"/>
              </w:rPr>
            </w:pPr>
            <w:r>
              <w:rPr>
                <w:rFonts w:ascii="Arial" w:cs="Arial" w:eastAsia="Arial" w:hAnsi="Arial"/>
                <w:sz w:val="16"/>
                <w:szCs w:val="16"/>
                <w:b w:val="1"/>
                <w:bCs w:val="1"/>
                <w:color w:val="144F82"/>
              </w:rPr>
              <w:t>Deposits - interest bearing</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20,070,552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21,066,752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460" w:hanging="156"/>
        <w:spacing w:after="0"/>
        <w:tabs>
          <w:tab w:leader="none" w:pos="146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Includes the effect of interest rate swaps in effective hedge relationships.</w:t>
      </w:r>
    </w:p>
    <w:p>
      <w:pPr>
        <w:spacing w:after="0" w:line="111" w:lineRule="exact"/>
        <w:rPr>
          <w:sz w:val="20"/>
          <w:szCs w:val="20"/>
          <w:color w:val="auto"/>
        </w:rPr>
      </w:pPr>
    </w:p>
    <w:p>
      <w:pPr>
        <w:jc w:val="both"/>
        <w:ind w:right="440" w:firstLine="405"/>
        <w:spacing w:after="0" w:line="301" w:lineRule="auto"/>
        <w:rPr>
          <w:sz w:val="20"/>
          <w:szCs w:val="20"/>
          <w:color w:val="auto"/>
        </w:rPr>
      </w:pPr>
      <w:r>
        <w:rPr>
          <w:rFonts w:ascii="Arial" w:cs="Arial" w:eastAsia="Arial" w:hAnsi="Arial"/>
          <w:sz w:val="17"/>
          <w:szCs w:val="17"/>
          <w:color w:val="auto"/>
        </w:rPr>
        <w:t>As of March 31, 2025 and December 31, 2024, there were $551 million and $567 million, respectively, of deposits exceeding FDIC insurance limits. Accrued interest on deposits was $60 million and $92 million at March 31, 2025 and December 31, 2024,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Exposure</w:t>
      </w:r>
    </w:p>
    <w:p>
      <w:pPr>
        <w:spacing w:after="0" w:line="169"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Counterparty exposure related to financial instruments arises from the risk that a lending, investment, or derivative counterparty will not be able to meet its obligations to us.</w:t>
      </w:r>
    </w:p>
    <w:p>
      <w:pPr>
        <w:spacing w:after="0" w:line="99" w:lineRule="exact"/>
        <w:rPr>
          <w:sz w:val="20"/>
          <w:szCs w:val="20"/>
          <w:color w:val="auto"/>
        </w:rPr>
      </w:pPr>
    </w:p>
    <w:p>
      <w:pPr>
        <w:ind w:right="300" w:firstLine="445"/>
        <w:spacing w:after="0" w:line="287" w:lineRule="auto"/>
        <w:rPr>
          <w:sz w:val="20"/>
          <w:szCs w:val="20"/>
          <w:color w:val="auto"/>
        </w:rPr>
      </w:pPr>
      <w:r>
        <w:rPr>
          <w:rFonts w:ascii="Arial" w:cs="Arial" w:eastAsia="Arial" w:hAnsi="Arial"/>
          <w:sz w:val="18"/>
          <w:szCs w:val="18"/>
          <w:color w:val="auto"/>
        </w:rPr>
        <w:t>Excess cash is generally invested with the FRB on an overnight basis or in the FRB’s Term Deposit Facility, minimizing counterparty exposure on cash balances.</w:t>
      </w:r>
    </w:p>
    <w:p>
      <w:pPr>
        <w:spacing w:after="0" w:line="99" w:lineRule="exact"/>
        <w:rPr>
          <w:sz w:val="20"/>
          <w:szCs w:val="20"/>
          <w:color w:val="auto"/>
        </w:rPr>
      </w:pPr>
    </w:p>
    <w:p>
      <w:pPr>
        <w:ind w:right="160" w:firstLine="445"/>
        <w:spacing w:after="0" w:line="262" w:lineRule="auto"/>
        <w:rPr>
          <w:sz w:val="20"/>
          <w:szCs w:val="20"/>
          <w:color w:val="auto"/>
        </w:rPr>
      </w:pPr>
      <w:r>
        <w:rPr>
          <w:rFonts w:ascii="Arial" w:cs="Arial" w:eastAsia="Arial" w:hAnsi="Arial"/>
          <w:sz w:val="18"/>
          <w:szCs w:val="18"/>
          <w:color w:val="auto"/>
        </w:rPr>
        <w:t>Our investment portfolio is primarily comprised of a small portfolio of mortgage-backed securities issued by government agencies and government-sponsored enterprises that are purchased to meet CRA targets. Additionally, our investing activity is governed by Board-approved limits on the amount that is allowed to be invested with any one issuer based on the credit rating of the issuer, further minimizing our counterparty exposure. Counterparty credit risk is considered when valuing investments and considering impairment.</w:t>
      </w:r>
    </w:p>
    <w:p>
      <w:pPr>
        <w:sectPr>
          <w:pgSz w:w="11900" w:h="16838" w:orient="portrait"/>
          <w:cols w:equalWidth="0" w:num="1">
            <w:col w:w="11220"/>
          </w:cols>
          <w:pgMar w:left="320" w:top="12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144F82"/>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4" w:right="359" w:bottom="1440" w:gutter="0" w:footer="0" w:header="0"/>
          <w:type w:val="continuous"/>
        </w:sectPr>
      </w:pPr>
    </w:p>
    <w:bookmarkStart w:id="67" w:name="page68"/>
    <w:bookmarkEnd w:id="67"/>
    <w:p>
      <w:pPr>
        <w:ind w:right="40" w:firstLine="445"/>
        <w:spacing w:after="0" w:line="257" w:lineRule="auto"/>
        <w:rPr>
          <w:sz w:val="20"/>
          <w:szCs w:val="20"/>
          <w:color w:val="auto"/>
        </w:rPr>
      </w:pPr>
      <w:r>
        <w:rPr>
          <w:rFonts w:ascii="Arial" w:cs="Arial" w:eastAsia="Arial" w:hAnsi="Arial"/>
          <w:sz w:val="18"/>
          <w:szCs w:val="18"/>
          <w:color w:val="auto"/>
        </w:rPr>
        <w:t>Related to derivative transactions, protection against counterparty risk is generally provided by International Swaps and Derivatives Association, Inc. Credit Support Annexes (“CSAs”), or clearinghouses for over-the-counter derivatives. CSAs require a counterparty to post collateral if a potential default would expose the other party to a loss. All derivative contracts entered into by the Bank are covered under CSAs or clearinghouse agreements and require collateral to be exchanged based on the net fair value of derivatives with each counterparty. Our exposure to the counterparty is limited to the value of the derivative contracts in a gain position, less any collateral held by us and plus collateral posted with the counterparty.</w:t>
      </w:r>
    </w:p>
    <w:p>
      <w:pPr>
        <w:spacing w:after="0" w:line="74"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Title VII of the Dodd-Frank Act requires all standardized derivatives, including most interest rate swaps, to be submitted for clearing to central counterparties to reduce counterparty risk. Two of the central counterparties we use are the CME and the LCH. All variation margin payments on derivatives cleared through the CME and LCH are accounted for as legal settlement. As of March 31, 2025, $570 million notional of our derivative contracts were cleared on the CME and $53 million were cleared on the LCH. The derivative contracts cleared through the CME and LCH represent 91.6 percent and 8.4 percent, respectively, of our total notional derivative contracts of $623 million at March 31, 2025.</w:t>
      </w:r>
    </w:p>
    <w:p>
      <w:pPr>
        <w:spacing w:after="0" w:line="74" w:lineRule="exact"/>
        <w:rPr>
          <w:sz w:val="20"/>
          <w:szCs w:val="20"/>
          <w:color w:val="auto"/>
        </w:rPr>
      </w:pPr>
    </w:p>
    <w:p>
      <w:pPr>
        <w:ind w:right="140" w:firstLine="445"/>
        <w:spacing w:after="0" w:line="260" w:lineRule="auto"/>
        <w:rPr>
          <w:sz w:val="20"/>
          <w:szCs w:val="20"/>
          <w:color w:val="auto"/>
        </w:rPr>
      </w:pPr>
      <w:r>
        <w:rPr>
          <w:rFonts w:ascii="Arial" w:cs="Arial" w:eastAsia="Arial" w:hAnsi="Arial"/>
          <w:sz w:val="18"/>
          <w:szCs w:val="18"/>
          <w:color w:val="auto"/>
        </w:rPr>
        <w:t>For derivatives cleared through the CME and LCH, the net gain (loss) position includes the variation margin amounts as settlement of the derivative and not collateral against the fair value of the derivative. The amount of variation margin included as settlement as of</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March 31, 2025 was $(16) million and $(1) million for the CME and LCH, respectively. Changes in fair value for derivatives not designated as hedging instruments are presented as realized gains (losses).</w:t>
      </w:r>
    </w:p>
    <w:p>
      <w:pPr>
        <w:spacing w:after="0" w:line="63" w:lineRule="exact"/>
        <w:rPr>
          <w:sz w:val="20"/>
          <w:szCs w:val="20"/>
          <w:color w:val="auto"/>
        </w:rPr>
      </w:pPr>
    </w:p>
    <w:p>
      <w:pPr>
        <w:jc w:val="both"/>
        <w:ind w:right="200" w:firstLine="445"/>
        <w:spacing w:after="0" w:line="262" w:lineRule="auto"/>
        <w:rPr>
          <w:sz w:val="20"/>
          <w:szCs w:val="20"/>
          <w:color w:val="auto"/>
        </w:rPr>
      </w:pPr>
      <w:r>
        <w:rPr>
          <w:rFonts w:ascii="Arial" w:cs="Arial" w:eastAsia="Arial" w:hAnsi="Arial"/>
          <w:sz w:val="18"/>
          <w:szCs w:val="18"/>
          <w:color w:val="auto"/>
        </w:rPr>
        <w:t>Our exposure to the counterparty is limited to the value of the derivative contracts in a gain position less any collateral held and plus any collateral posted. When there is a net negative exposure, we consider our exposure to the counterparty to be zero. At March 31, 2025 and December 31, 2024, we had a net positive exposure (derivative gain/loss positions to us, less collateral held by us and plus collateral posted with counterparties) related to derivatives of $3 million and $5 million, respectively.</w:t>
      </w:r>
    </w:p>
    <w:p>
      <w:pPr>
        <w:spacing w:after="0" w:line="122" w:lineRule="exact"/>
        <w:rPr>
          <w:sz w:val="20"/>
          <w:szCs w:val="20"/>
          <w:color w:val="auto"/>
        </w:rPr>
      </w:pPr>
    </w:p>
    <w:p>
      <w:pPr>
        <w:jc w:val="both"/>
        <w:ind w:right="180" w:firstLine="445"/>
        <w:spacing w:after="0" w:line="268" w:lineRule="auto"/>
        <w:rPr>
          <w:sz w:val="20"/>
          <w:szCs w:val="20"/>
          <w:color w:val="auto"/>
        </w:rPr>
      </w:pPr>
      <w:r>
        <w:rPr>
          <w:rFonts w:ascii="Arial" w:cs="Arial" w:eastAsia="Arial" w:hAnsi="Arial"/>
          <w:sz w:val="18"/>
          <w:szCs w:val="18"/>
          <w:color w:val="auto"/>
        </w:rPr>
        <w:t>We have liquidity exposure related to collateral movements between us and our derivative counterparties. Movements in the value of the derivatives, which are primarily affected by changes in interest rates, may require us to return cash collateral held or may require us to access primary liquidity to post collateral to counterparties.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highlights exposure related to our derivative counterparties as of March 31, 2025.</w:t>
      </w:r>
    </w:p>
    <w:p>
      <w:pPr>
        <w:spacing w:after="0" w:line="200" w:lineRule="exact"/>
        <w:rPr>
          <w:sz w:val="20"/>
          <w:szCs w:val="20"/>
          <w:color w:val="auto"/>
        </w:rPr>
      </w:pPr>
    </w:p>
    <w:p>
      <w:pPr>
        <w:spacing w:after="0" w:line="240" w:lineRule="exact"/>
        <w:rPr>
          <w:sz w:val="20"/>
          <w:szCs w:val="20"/>
          <w:color w:val="auto"/>
        </w:rPr>
      </w:pPr>
    </w:p>
    <w:tbl>
      <w:tblPr>
        <w:tblLayout w:type="fixed"/>
        <w:tblInd w:w="2360" w:type="dxa"/>
        <w:tblCellMar>
          <w:top w:w="0" w:type="dxa"/>
          <w:left w:w="0" w:type="dxa"/>
          <w:bottom w:w="0" w:type="dxa"/>
          <w:right w:w="0" w:type="dxa"/>
        </w:tblCellMar>
      </w:tblPr>
      <w:tr>
        <w:trPr>
          <w:trHeight w:val="135"/>
        </w:trPr>
        <w:tc>
          <w:tcPr>
            <w:tcW w:w="45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144F82"/>
              </w:rPr>
              <w:t>As of March 31, 2025</w:t>
            </w:r>
          </w:p>
        </w:tc>
        <w:tc>
          <w:tcPr>
            <w:tcW w:w="3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147"/>
              <w:spacing w:after="0" w:line="135" w:lineRule="exact"/>
              <w:rPr>
                <w:sz w:val="20"/>
                <w:szCs w:val="20"/>
                <w:color w:val="auto"/>
              </w:rPr>
            </w:pPr>
            <w:r>
              <w:rPr>
                <w:rFonts w:ascii="Arial" w:cs="Arial" w:eastAsia="Arial" w:hAnsi="Arial"/>
                <w:sz w:val="13"/>
                <w:szCs w:val="13"/>
                <w:b w:val="1"/>
                <w:bCs w:val="1"/>
                <w:color w:val="144F82"/>
                <w:w w:val="98"/>
              </w:rPr>
              <w:t>SLM Corporation</w:t>
            </w:r>
          </w:p>
        </w:tc>
        <w:tc>
          <w:tcPr>
            <w:tcW w:w="0" w:type="dxa"/>
            <w:vAlign w:val="bottom"/>
          </w:tcPr>
          <w:p>
            <w:pPr>
              <w:spacing w:after="0"/>
              <w:rPr>
                <w:sz w:val="1"/>
                <w:szCs w:val="1"/>
                <w:color w:val="auto"/>
              </w:rPr>
            </w:pPr>
          </w:p>
        </w:tc>
      </w:tr>
      <w:tr>
        <w:trPr>
          <w:trHeight w:val="122"/>
        </w:trPr>
        <w:tc>
          <w:tcPr>
            <w:tcW w:w="4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tcPr>
          <w:p>
            <w:pPr>
              <w:jc w:val="center"/>
              <w:ind w:right="147"/>
              <w:spacing w:after="0" w:line="122" w:lineRule="exact"/>
              <w:rPr>
                <w:sz w:val="20"/>
                <w:szCs w:val="20"/>
                <w:color w:val="auto"/>
              </w:rPr>
            </w:pPr>
            <w:r>
              <w:rPr>
                <w:rFonts w:ascii="Arial" w:cs="Arial" w:eastAsia="Arial" w:hAnsi="Arial"/>
                <w:sz w:val="13"/>
                <w:szCs w:val="13"/>
                <w:b w:val="1"/>
                <w:bCs w:val="1"/>
                <w:color w:val="144F82"/>
                <w:w w:val="95"/>
              </w:rPr>
              <w:t>and Sallie Mae Bank</w:t>
            </w:r>
          </w:p>
        </w:tc>
        <w:tc>
          <w:tcPr>
            <w:tcW w:w="0" w:type="dxa"/>
            <w:vAlign w:val="bottom"/>
          </w:tcPr>
          <w:p>
            <w:pPr>
              <w:spacing w:after="0"/>
              <w:rPr>
                <w:sz w:val="1"/>
                <w:szCs w:val="1"/>
                <w:color w:val="auto"/>
              </w:rPr>
            </w:pPr>
          </w:p>
        </w:tc>
      </w:tr>
      <w:tr>
        <w:trPr>
          <w:trHeight w:val="18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47"/>
              <w:spacing w:after="0"/>
              <w:rPr>
                <w:sz w:val="20"/>
                <w:szCs w:val="20"/>
                <w:color w:val="auto"/>
              </w:rPr>
            </w:pPr>
            <w:r>
              <w:rPr>
                <w:rFonts w:ascii="Arial" w:cs="Arial" w:eastAsia="Arial" w:hAnsi="Arial"/>
                <w:sz w:val="13"/>
                <w:szCs w:val="13"/>
                <w:b w:val="1"/>
                <w:bCs w:val="1"/>
                <w:color w:val="144F82"/>
                <w:w w:val="98"/>
              </w:rPr>
              <w:t>Contracts</w:t>
            </w:r>
          </w:p>
        </w:tc>
        <w:tc>
          <w:tcPr>
            <w:tcW w:w="0" w:type="dxa"/>
            <w:vAlign w:val="bottom"/>
          </w:tcPr>
          <w:p>
            <w:pPr>
              <w:spacing w:after="0"/>
              <w:rPr>
                <w:sz w:val="1"/>
                <w:szCs w:val="1"/>
                <w:color w:val="auto"/>
              </w:rPr>
            </w:pPr>
          </w:p>
        </w:tc>
      </w:tr>
      <w:tr>
        <w:trPr>
          <w:trHeight w:val="306"/>
        </w:trPr>
        <w:tc>
          <w:tcPr>
            <w:tcW w:w="4580" w:type="dxa"/>
            <w:vAlign w:val="bottom"/>
            <w:shd w:val="clear" w:color="auto" w:fill="EDEDEE"/>
          </w:tcPr>
          <w:p>
            <w:pPr>
              <w:ind w:left="20"/>
              <w:spacing w:after="0"/>
              <w:rPr>
                <w:sz w:val="20"/>
                <w:szCs w:val="20"/>
                <w:color w:val="auto"/>
              </w:rPr>
            </w:pPr>
            <w:r>
              <w:rPr>
                <w:rFonts w:ascii="Arial" w:cs="Arial" w:eastAsia="Arial" w:hAnsi="Arial"/>
                <w:sz w:val="16"/>
                <w:szCs w:val="16"/>
                <w:color w:val="auto"/>
              </w:rPr>
              <w:t>Total exposure, net of collateral</w:t>
            </w:r>
          </w:p>
        </w:tc>
        <w:tc>
          <w:tcPr>
            <w:tcW w:w="300" w:type="dxa"/>
            <w:vAlign w:val="bottom"/>
            <w:vMerge w:val="restart"/>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vMerge w:val="restart"/>
            <w:shd w:val="clear" w:color="auto" w:fill="EDEDEE"/>
          </w:tcPr>
          <w:p>
            <w:pPr>
              <w:jc w:val="right"/>
              <w:ind w:right="147"/>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83"/>
        </w:trPr>
        <w:tc>
          <w:tcPr>
            <w:tcW w:w="4580" w:type="dxa"/>
            <w:vAlign w:val="bottom"/>
            <w:shd w:val="clear" w:color="auto" w:fill="EDEDEE"/>
          </w:tcPr>
          <w:p>
            <w:pPr>
              <w:spacing w:after="0"/>
              <w:rPr>
                <w:sz w:val="7"/>
                <w:szCs w:val="7"/>
                <w:color w:val="auto"/>
              </w:rPr>
            </w:pPr>
          </w:p>
        </w:tc>
        <w:tc>
          <w:tcPr>
            <w:tcW w:w="300" w:type="dxa"/>
            <w:vAlign w:val="bottom"/>
            <w:vMerge w:val="continue"/>
            <w:shd w:val="clear" w:color="auto" w:fill="EDEDEE"/>
          </w:tcPr>
          <w:p>
            <w:pPr>
              <w:spacing w:after="0"/>
              <w:rPr>
                <w:sz w:val="7"/>
                <w:szCs w:val="7"/>
                <w:color w:val="auto"/>
              </w:rPr>
            </w:pPr>
          </w:p>
        </w:tc>
        <w:tc>
          <w:tcPr>
            <w:tcW w:w="1660" w:type="dxa"/>
            <w:vAlign w:val="bottom"/>
            <w:vMerge w:val="continue"/>
            <w:shd w:val="clear" w:color="auto" w:fill="EDEDE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Exposure to counterparties with credit ratings, net of collateral   $</w:t>
            </w:r>
          </w:p>
        </w:tc>
        <w:tc>
          <w:tcPr>
            <w:tcW w:w="1660" w:type="dxa"/>
            <w:vAlign w:val="bottom"/>
          </w:tcPr>
          <w:p>
            <w:pPr>
              <w:jc w:val="right"/>
              <w:ind w:right="147"/>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163"/>
        </w:trPr>
        <w:tc>
          <w:tcPr>
            <w:tcW w:w="4580" w:type="dxa"/>
            <w:vAlign w:val="bottom"/>
            <w:shd w:val="clear" w:color="auto" w:fill="EDEDEE"/>
          </w:tcPr>
          <w:p>
            <w:pPr>
              <w:ind w:left="20"/>
              <w:spacing w:after="0" w:line="163" w:lineRule="exact"/>
              <w:rPr>
                <w:sz w:val="20"/>
                <w:szCs w:val="20"/>
                <w:color w:val="auto"/>
              </w:rPr>
            </w:pPr>
            <w:r>
              <w:rPr>
                <w:rFonts w:ascii="Arial" w:cs="Arial" w:eastAsia="Arial" w:hAnsi="Arial"/>
                <w:sz w:val="16"/>
                <w:szCs w:val="16"/>
                <w:color w:val="auto"/>
              </w:rPr>
              <w:t>Percent of exposure to counterparties with credit ratings below</w:t>
            </w:r>
          </w:p>
        </w:tc>
        <w:tc>
          <w:tcPr>
            <w:tcW w:w="300" w:type="dxa"/>
            <w:vAlign w:val="bottom"/>
            <w:shd w:val="clear" w:color="auto" w:fill="EDEDEE"/>
          </w:tcPr>
          <w:p>
            <w:pPr>
              <w:spacing w:after="0"/>
              <w:rPr>
                <w:sz w:val="14"/>
                <w:szCs w:val="14"/>
                <w:color w:val="auto"/>
              </w:rPr>
            </w:pPr>
          </w:p>
        </w:tc>
        <w:tc>
          <w:tcPr>
            <w:tcW w:w="166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4580" w:type="dxa"/>
            <w:vAlign w:val="bottom"/>
            <w:shd w:val="clear" w:color="auto" w:fill="EDEDEE"/>
          </w:tcPr>
          <w:p>
            <w:pPr>
              <w:ind w:left="20"/>
              <w:spacing w:after="0"/>
              <w:rPr>
                <w:sz w:val="20"/>
                <w:szCs w:val="20"/>
                <w:color w:val="auto"/>
              </w:rPr>
            </w:pPr>
            <w:r>
              <w:rPr>
                <w:rFonts w:ascii="Arial" w:cs="Arial" w:eastAsia="Arial" w:hAnsi="Arial"/>
                <w:sz w:val="16"/>
                <w:szCs w:val="16"/>
                <w:color w:val="auto"/>
              </w:rPr>
              <w:t>S&amp;P AA- or Moody’s Aa3</w:t>
            </w:r>
          </w:p>
        </w:tc>
        <w:tc>
          <w:tcPr>
            <w:tcW w:w="300" w:type="dxa"/>
            <w:vAlign w:val="bottom"/>
            <w:shd w:val="clear" w:color="auto" w:fill="EDEDEE"/>
          </w:tcPr>
          <w:p>
            <w:pPr>
              <w:spacing w:after="0"/>
              <w:rPr>
                <w:sz w:val="18"/>
                <w:szCs w:val="18"/>
                <w:color w:val="auto"/>
              </w:rPr>
            </w:pPr>
          </w:p>
        </w:tc>
        <w:tc>
          <w:tcPr>
            <w:tcW w:w="1660" w:type="dxa"/>
            <w:vAlign w:val="bottom"/>
            <w:vMerge w:val="continue"/>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line="162" w:lineRule="exact"/>
              <w:rPr>
                <w:sz w:val="20"/>
                <w:szCs w:val="20"/>
                <w:color w:val="auto"/>
              </w:rPr>
            </w:pPr>
            <w:r>
              <w:rPr>
                <w:rFonts w:ascii="Arial" w:cs="Arial" w:eastAsia="Arial" w:hAnsi="Arial"/>
                <w:sz w:val="16"/>
                <w:szCs w:val="16"/>
                <w:color w:val="auto"/>
              </w:rPr>
              <w:t>Percent of exposure to counterparties with credit ratings below</w:t>
            </w:r>
          </w:p>
        </w:tc>
        <w:tc>
          <w:tcPr>
            <w:tcW w:w="3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S&amp;P A- or Moody’s A3</w:t>
            </w:r>
          </w:p>
        </w:tc>
        <w:tc>
          <w:tcPr>
            <w:tcW w:w="3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0"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The Bank is subject to various regulatory capital requirements administered by federal and state banking authorities. Failure to meet minimum capital requirements can initiate certain mandatory and possibly additional discretionary actions by regulators that, if undertaken, could have a direct material adverse effect on our business, results of operations, and financial condition. Under U.S. Basel III and the regulatory framework for prompt corrective action, the Bank must meet specific capital standards that involve quantitative measures of its assets, liabilities, and certain off-balance sheet items as calculated under regulatory accounting practices. The Bank’s capital amounts and its classification under the prompt corrective action framework are also subject to qualitative judgments by the regulators about components of capital, risk weightings, and other factors.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29" w:lineRule="exact"/>
        <w:rPr>
          <w:sz w:val="20"/>
          <w:szCs w:val="20"/>
          <w:color w:val="auto"/>
        </w:rPr>
      </w:pPr>
    </w:p>
    <w:p>
      <w:pPr>
        <w:ind w:right="440" w:firstLine="445"/>
        <w:spacing w:after="0" w:line="268" w:lineRule="auto"/>
        <w:rPr>
          <w:sz w:val="20"/>
          <w:szCs w:val="20"/>
          <w:color w:val="auto"/>
        </w:rPr>
      </w:pPr>
      <w:r>
        <w:rPr>
          <w:rFonts w:ascii="Arial" w:cs="Arial" w:eastAsia="Arial" w:hAnsi="Arial"/>
          <w:sz w:val="18"/>
          <w:szCs w:val="18"/>
          <w:color w:val="auto"/>
        </w:rPr>
        <w:t>The Bank intends to maintain at all times regulatory capital levels that meet both the minimum levels required under U.S. Basel III (including applicable buffers) and the levels necessary to be considered “well capitalized” under the FDIC’s prompt corrective action framework, in order to support asset growth and operating needs, address unexpected credit</w:t>
      </w:r>
    </w:p>
    <w:p>
      <w:pPr>
        <w:sectPr>
          <w:pgSz w:w="11900" w:h="16838" w:orient="portrait"/>
          <w:cols w:equalWidth="0" w:num="1">
            <w:col w:w="11180"/>
          </w:cols>
          <w:pgMar w:left="320" w:top="133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134F82"/>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6" w:right="399" w:bottom="1440" w:gutter="0" w:footer="0" w:header="0"/>
          <w:type w:val="continuous"/>
        </w:sectPr>
      </w:pPr>
    </w:p>
    <w:bookmarkStart w:id="68" w:name="page69"/>
    <w:bookmarkEnd w:id="68"/>
    <w:p>
      <w:pPr>
        <w:ind w:right="80"/>
        <w:spacing w:after="0" w:line="262" w:lineRule="auto"/>
        <w:rPr>
          <w:sz w:val="20"/>
          <w:szCs w:val="20"/>
          <w:color w:val="auto"/>
        </w:rPr>
      </w:pPr>
      <w:r>
        <w:rPr>
          <w:rFonts w:ascii="Arial" w:cs="Arial" w:eastAsia="Arial" w:hAnsi="Arial"/>
          <w:sz w:val="18"/>
          <w:szCs w:val="18"/>
          <w:color w:val="auto"/>
        </w:rPr>
        <w:t>risks, and protect the interests of depositors and the Deposit Insurance Fund administered by the FDIC. The Bank’s Capital Policy requires management to monitor these capital standards and the Bank’s compliance with them. The Board of Directors and management periodically evaluate the quality of assets, the stability of earnings, and the adequacy of the allowance for credit losses for the Bank. The Company is a source of strength for the Bank and will provide additional capital if necessary.</w:t>
      </w:r>
    </w:p>
    <w:p>
      <w:pPr>
        <w:spacing w:after="0" w:line="4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believe that current and projected capital levels are appropriate for 2025. As of March 31, 2025, the Bank’s risk-based and leverage capital ratios exceed the required minimum ratios and the applicable buffers under the fully phased-in U.S. Basel III standards as well as the “well capitalized” standards under the prompt corrective action framework.</w:t>
      </w:r>
    </w:p>
    <w:p>
      <w:pPr>
        <w:spacing w:after="0" w:line="36"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Under U.S. Basel III, the Bank is required to maintain the following minimum regulatory capital ratios: a Common Equity Tier 1 risk-based capital ratio of 4.5 percent, a Tier 1 risk-based capital ratio of 6.0 percent, a Total risk-based capital ratio of 8.0 percent, and a Tier 1 leverage ratio of 4.0 percent. In addition, the Bank is subject to a Common Equity Tier 1 capital conservation buffer of greater than 2.5 percent. Failure to maintain the buffer will result in restrictions on the Bank’s ability to make capital distributions, including the payment of dividends, and to pay discretionary bonuses to executive officers. Including the buffer, the Bank is required to maintain the following capital ratios under U.S. Basel III in order to avoid such restrictions: a Common Equity Tier 1 risk-based capital ratio of greater than 7.0 percent, a Tier 1 risk-based capital ratio of greater than 8.5 percent, and a Total risk-based capital ratio of greater than 10.5 percent.</w:t>
      </w:r>
    </w:p>
    <w:p>
      <w:pPr>
        <w:spacing w:after="0" w:line="48"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To qualify as “well capitalized” under the prompt corrective action framework for insured depository institutions, the Bank must maintain a Common Equity Tier 1 risk-based capital ratio of at least 6.5 percent, a Tier 1 risk-based capital ratio of at least 8.0 percent, a Total risk-based capital ratio of at least 10.0 percent, and a Tier 1 leverage ratio of at least 5.0 percent.</w:t>
      </w:r>
    </w:p>
    <w:p>
      <w:pPr>
        <w:spacing w:after="0" w:line="36"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In July 2023, the federal banking agencies proposed a rule to implement significant changes to the U.S. Basel Ill regulatory capital requirements. The proposed changes to the regulatory capital requirements generally would amend or introduce approaches and methodologies that would apply to banking organizations with total consolidated assets of $100 billion or more or to banking organizations with significant trading activity. The proposed rule therefore would not affect the Bank's capital requirements or the calculation of its capital ratios.</w:t>
      </w:r>
    </w:p>
    <w:p>
      <w:pPr>
        <w:spacing w:after="0" w:line="85"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Under regulations issued by the FDIC and other federal banking agencies, banking organizations that adopted CECL during the 2020 calendar year, including the Bank, could elect to delay for two years, and then phase in over the following three years, the effects on regulatory capital of CECL relative to the incurred loss methodology. The Bank elected to use this option. Therefore, the regulatory capital impact of the Bank’s transition adjustments recorded on January 1, 2020 from the adoption of CECL, and 25 percent of the ongoing impact of CECL on the Bank’s allowance for credit losses, retained earnings, and average total consolidated assets, each as reported for regulatory capital purposes (collectively, the “adjusted transition amounts”), were deferred for the two-year period ending January 1, 2022. On each of January 1, 2022, 2023, 2024, and 2025, 25 percent of the adjusted transition amounts were phased in for regulatory capital purposes. As of January 1, 2025, all adjusted transition amounts have been phased in for regulatory capital purposes. The Bank’s January 1, 2020 CECL transition amounts increased our allowance for credit losses by $1.1 billion, increased the liability representing our off-balance sheet exposure for unfunded commitments by $116 million, and increased our deferred tax asset by $306 million, resulting in a cumulative effect adjustment that reduced retained earnings by $953 million. This transition adjustment was inclusive of qualitative adjustments incorporated into our CECL allowance as necessary, to address any limitations in the models used.</w:t>
      </w:r>
    </w:p>
    <w:p>
      <w:pPr>
        <w:spacing w:after="0" w:line="55"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The Bank’s required and actual regulatory capital amounts and ratios, including applicable capital conservation buffers, under U.S. Basel III are shown in the following table. The following capital amounts and ratios are based upon the Bank’s average assets and risk-weighted assets, as indicated. The Bank has elected to exclude accumulated other comprehensive income related to both available-for-sale investments and swap valuations from Common Equity Tier 1 Capital. At March 31, 2025 and December 31, 2024, the unrealized loss on available-for-sale investments included in other comprehensive income totaled $68 million and $83 million, net of tax of $22 million and $27 million, respectively. The capital ratios would remain above the well capitalized thresholds, including applicable capital conservation buffers, if the unrealized loss became fully recognized into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44F82"/>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69" w:name="page70"/>
    <w:bookmarkEnd w:id="69"/>
    <w:tbl>
      <w:tblPr>
        <w:tblLayout w:type="fixed"/>
        <w:tblInd w:w="800" w:type="dxa"/>
        <w:tblCellMar>
          <w:top w:w="0" w:type="dxa"/>
          <w:left w:w="0" w:type="dxa"/>
          <w:bottom w:w="0" w:type="dxa"/>
          <w:right w:w="0" w:type="dxa"/>
        </w:tblCellMar>
      </w:tblPr>
      <w:tr>
        <w:trPr>
          <w:trHeight w:val="176"/>
        </w:trPr>
        <w:tc>
          <w:tcPr>
            <w:tcW w:w="46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144F82"/>
              </w:rPr>
              <w:t>Actual</w:t>
            </w:r>
          </w:p>
        </w:tc>
        <w:tc>
          <w:tcPr>
            <w:tcW w:w="7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4"/>
          </w:tcPr>
          <w:p>
            <w:pPr>
              <w:ind w:left="360"/>
              <w:spacing w:after="0" w:line="175" w:lineRule="exact"/>
              <w:rPr>
                <w:sz w:val="20"/>
                <w:szCs w:val="20"/>
                <w:color w:val="auto"/>
              </w:rPr>
            </w:pPr>
            <w:r>
              <w:rPr>
                <w:rFonts w:ascii="Arial" w:cs="Arial" w:eastAsia="Arial" w:hAnsi="Arial"/>
                <w:sz w:val="16"/>
                <w:szCs w:val="16"/>
                <w:b w:val="1"/>
                <w:bCs w:val="1"/>
                <w:color w:val="144F82"/>
              </w:rPr>
              <w:t>U.S. Basel III Minimum</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ind w:left="100"/>
              <w:spacing w:after="0" w:line="216" w:lineRule="exact"/>
              <w:rPr>
                <w:sz w:val="20"/>
                <w:szCs w:val="20"/>
                <w:color w:val="auto"/>
              </w:rPr>
            </w:pPr>
            <w:r>
              <w:rPr>
                <w:rFonts w:ascii="Arial" w:cs="Arial" w:eastAsia="Arial" w:hAnsi="Arial"/>
                <w:sz w:val="16"/>
                <w:szCs w:val="16"/>
                <w:b w:val="1"/>
                <w:bCs w:val="1"/>
                <w:color w:val="144F82"/>
              </w:rPr>
              <w:t>Requirements Plus Buffer</w:t>
            </w:r>
            <w:r>
              <w:rPr>
                <w:rFonts w:ascii="Arial" w:cs="Arial" w:eastAsia="Arial" w:hAnsi="Arial"/>
                <w:sz w:val="21"/>
                <w:szCs w:val="21"/>
                <w:b w:val="1"/>
                <w:bCs w:val="1"/>
                <w:color w:val="144F82"/>
                <w:vertAlign w:val="superscript"/>
              </w:rPr>
              <w:t>(1)(2)</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44F82"/>
              </w:rPr>
              <w:t>(Dollars in thousands)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144F82"/>
              </w:rPr>
              <w:t>Amount</w:t>
            </w: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144F82"/>
              </w:rPr>
              <w:t>Ratio</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144F82"/>
              </w:rPr>
              <w:t>Amount</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144F82"/>
              </w:rPr>
              <w:t>Ratio</w:t>
            </w:r>
          </w:p>
        </w:tc>
        <w:tc>
          <w:tcPr>
            <w:tcW w:w="0" w:type="dxa"/>
            <w:vAlign w:val="bottom"/>
          </w:tcPr>
          <w:p>
            <w:pPr>
              <w:spacing w:after="0"/>
              <w:rPr>
                <w:sz w:val="1"/>
                <w:szCs w:val="1"/>
                <w:color w:val="auto"/>
              </w:rPr>
            </w:pPr>
          </w:p>
        </w:tc>
      </w:tr>
      <w:tr>
        <w:trPr>
          <w:trHeight w:val="210"/>
        </w:trPr>
        <w:tc>
          <w:tcPr>
            <w:tcW w:w="4660" w:type="dxa"/>
            <w:vAlign w:val="bottom"/>
            <w:shd w:val="clear" w:color="auto" w:fill="EDEDEE"/>
          </w:tcPr>
          <w:p>
            <w:pPr>
              <w:spacing w:after="0" w:line="210" w:lineRule="exact"/>
              <w:rPr>
                <w:sz w:val="20"/>
                <w:szCs w:val="20"/>
                <w:color w:val="auto"/>
              </w:rPr>
            </w:pPr>
            <w:r>
              <w:rPr>
                <w:rFonts w:ascii="Arial" w:cs="Arial" w:eastAsia="Arial" w:hAnsi="Arial"/>
                <w:sz w:val="16"/>
                <w:szCs w:val="16"/>
                <w:b w:val="1"/>
                <w:bCs w:val="1"/>
                <w:color w:val="144F82"/>
              </w:rPr>
              <w:t>As of March 31, 2025</w:t>
            </w:r>
            <w:r>
              <w:rPr>
                <w:rFonts w:ascii="Arial" w:cs="Arial" w:eastAsia="Arial" w:hAnsi="Arial"/>
                <w:sz w:val="21"/>
                <w:szCs w:val="21"/>
                <w:b w:val="1"/>
                <w:bCs w:val="1"/>
                <w:color w:val="144F82"/>
                <w:vertAlign w:val="superscript"/>
              </w:rPr>
              <w:t>(3)</w:t>
            </w:r>
            <w:r>
              <w:rPr>
                <w:rFonts w:ascii="Arial" w:cs="Arial" w:eastAsia="Arial" w:hAnsi="Arial"/>
                <w:sz w:val="16"/>
                <w:szCs w:val="16"/>
                <w:b w:val="1"/>
                <w:bCs w:val="1"/>
                <w:color w:val="144F82"/>
              </w:rPr>
              <w:t>:</w:t>
            </w:r>
          </w:p>
        </w:tc>
        <w:tc>
          <w:tcPr>
            <w:tcW w:w="240" w:type="dxa"/>
            <w:vAlign w:val="bottom"/>
            <w:shd w:val="clear" w:color="auto" w:fill="EDEDEE"/>
          </w:tcPr>
          <w:p>
            <w:pPr>
              <w:spacing w:after="0"/>
              <w:rPr>
                <w:sz w:val="18"/>
                <w:szCs w:val="18"/>
                <w:color w:val="auto"/>
              </w:rPr>
            </w:pPr>
          </w:p>
        </w:tc>
        <w:tc>
          <w:tcPr>
            <w:tcW w:w="1280" w:type="dxa"/>
            <w:vAlign w:val="bottom"/>
            <w:shd w:val="clear" w:color="auto" w:fill="EDEDEE"/>
          </w:tcPr>
          <w:p>
            <w:pPr>
              <w:spacing w:after="0"/>
              <w:rPr>
                <w:sz w:val="18"/>
                <w:szCs w:val="18"/>
                <w:color w:val="auto"/>
              </w:rPr>
            </w:pPr>
          </w:p>
        </w:tc>
        <w:tc>
          <w:tcPr>
            <w:tcW w:w="78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1280" w:type="dxa"/>
            <w:vAlign w:val="bottom"/>
            <w:shd w:val="clear" w:color="auto" w:fill="EDEDEE"/>
          </w:tcPr>
          <w:p>
            <w:pPr>
              <w:spacing w:after="0"/>
              <w:rPr>
                <w:sz w:val="18"/>
                <w:szCs w:val="18"/>
                <w:color w:val="auto"/>
              </w:rPr>
            </w:pPr>
          </w:p>
        </w:tc>
        <w:tc>
          <w:tcPr>
            <w:tcW w:w="8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4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line="175" w:lineRule="exact"/>
              <w:rPr>
                <w:sz w:val="20"/>
                <w:szCs w:val="20"/>
                <w:color w:val="auto"/>
              </w:rPr>
            </w:pPr>
            <w:r>
              <w:rPr>
                <w:rFonts w:ascii="Arial" w:cs="Arial" w:eastAsia="Arial" w:hAnsi="Arial"/>
                <w:sz w:val="16"/>
                <w:szCs w:val="16"/>
                <w:color w:val="auto"/>
              </w:rPr>
              <w:t>Common Equity Tier 1 Capital (to Risk-Weighted Assets)</w:t>
            </w:r>
          </w:p>
        </w:tc>
        <w:tc>
          <w:tcPr>
            <w:tcW w:w="24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2,992,368</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11.6 %</w:t>
            </w:r>
          </w:p>
        </w:tc>
        <w:tc>
          <w:tcPr>
            <w:tcW w:w="280" w:type="dxa"/>
            <w:vAlign w:val="bottom"/>
          </w:tcPr>
          <w:p>
            <w:pPr>
              <w:spacing w:after="0"/>
              <w:rPr>
                <w:sz w:val="15"/>
                <w:szCs w:val="15"/>
                <w:color w:val="auto"/>
              </w:rPr>
            </w:pPr>
          </w:p>
        </w:tc>
        <w:tc>
          <w:tcPr>
            <w:tcW w:w="200" w:type="dxa"/>
            <w:vAlign w:val="bottom"/>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Pr>
          <w:p>
            <w:pPr>
              <w:ind w:left="380"/>
              <w:spacing w:after="0" w:line="175" w:lineRule="exact"/>
              <w:rPr>
                <w:sz w:val="20"/>
                <w:szCs w:val="20"/>
                <w:color w:val="auto"/>
              </w:rPr>
            </w:pPr>
            <w:r>
              <w:rPr>
                <w:rFonts w:ascii="Arial" w:cs="Arial" w:eastAsia="Arial" w:hAnsi="Arial"/>
                <w:sz w:val="16"/>
                <w:szCs w:val="16"/>
                <w:color w:val="auto"/>
              </w:rPr>
              <w:t>1,808,123</w:t>
            </w:r>
          </w:p>
        </w:tc>
        <w:tc>
          <w:tcPr>
            <w:tcW w:w="340" w:type="dxa"/>
            <w:vAlign w:val="bottom"/>
            <w:gridSpan w:val="2"/>
          </w:tcPr>
          <w:p>
            <w:pPr>
              <w:jc w:val="right"/>
              <w:ind w:right="260"/>
              <w:spacing w:after="0"/>
              <w:rPr>
                <w:sz w:val="20"/>
                <w:szCs w:val="20"/>
                <w:color w:val="auto"/>
              </w:rPr>
            </w:pPr>
            <w:r>
              <w:rPr>
                <w:rFonts w:ascii="Arial" w:cs="Arial" w:eastAsia="Arial" w:hAnsi="Arial"/>
                <w:sz w:val="14"/>
                <w:szCs w:val="14"/>
                <w:color w:val="auto"/>
                <w:w w:val="72"/>
              </w:rPr>
              <w:t>&gt;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60" w:type="dxa"/>
            <w:vAlign w:val="bottom"/>
            <w:shd w:val="clear" w:color="auto" w:fill="EDEDEE"/>
          </w:tcPr>
          <w:p>
            <w:pPr>
              <w:spacing w:after="0" w:line="175" w:lineRule="exact"/>
              <w:rPr>
                <w:sz w:val="20"/>
                <w:szCs w:val="20"/>
                <w:color w:val="auto"/>
              </w:rPr>
            </w:pPr>
            <w:r>
              <w:rPr>
                <w:rFonts w:ascii="Arial" w:cs="Arial" w:eastAsia="Arial" w:hAnsi="Arial"/>
                <w:sz w:val="16"/>
                <w:szCs w:val="16"/>
                <w:color w:val="auto"/>
              </w:rPr>
              <w:t>Tier 1 Capital (to Risk-Weighted Assets)</w:t>
            </w:r>
          </w:p>
        </w:tc>
        <w:tc>
          <w:tcPr>
            <w:tcW w:w="240" w:type="dxa"/>
            <w:vAlign w:val="bottom"/>
            <w:shd w:val="clear" w:color="auto" w:fill="EDEDEE"/>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1280" w:type="dxa"/>
            <w:vAlign w:val="bottom"/>
            <w:shd w:val="clear" w:color="auto" w:fill="EDEDEE"/>
          </w:tcPr>
          <w:p>
            <w:pPr>
              <w:jc w:val="right"/>
              <w:ind w:right="139"/>
              <w:spacing w:after="0" w:line="175" w:lineRule="exact"/>
              <w:rPr>
                <w:sz w:val="20"/>
                <w:szCs w:val="20"/>
                <w:color w:val="auto"/>
              </w:rPr>
            </w:pPr>
            <w:r>
              <w:rPr>
                <w:rFonts w:ascii="Arial" w:cs="Arial" w:eastAsia="Arial" w:hAnsi="Arial"/>
                <w:sz w:val="16"/>
                <w:szCs w:val="16"/>
                <w:color w:val="auto"/>
              </w:rPr>
              <w:t>2,992,368</w:t>
            </w:r>
          </w:p>
        </w:tc>
        <w:tc>
          <w:tcPr>
            <w:tcW w:w="780" w:type="dxa"/>
            <w:vAlign w:val="bottom"/>
            <w:shd w:val="clear" w:color="auto" w:fill="EDEDEE"/>
          </w:tcPr>
          <w:p>
            <w:pPr>
              <w:jc w:val="right"/>
              <w:spacing w:after="0" w:line="175" w:lineRule="exact"/>
              <w:rPr>
                <w:sz w:val="20"/>
                <w:szCs w:val="20"/>
                <w:color w:val="auto"/>
              </w:rPr>
            </w:pPr>
            <w:r>
              <w:rPr>
                <w:rFonts w:ascii="Arial" w:cs="Arial" w:eastAsia="Arial" w:hAnsi="Arial"/>
                <w:sz w:val="16"/>
                <w:szCs w:val="16"/>
                <w:color w:val="auto"/>
              </w:rPr>
              <w:t>11.6 %</w:t>
            </w:r>
          </w:p>
        </w:tc>
        <w:tc>
          <w:tcPr>
            <w:tcW w:w="280" w:type="dxa"/>
            <w:vAlign w:val="bottom"/>
            <w:shd w:val="clear" w:color="auto" w:fill="EDEDEE"/>
          </w:tcPr>
          <w:p>
            <w:pPr>
              <w:spacing w:after="0"/>
              <w:rPr>
                <w:sz w:val="15"/>
                <w:szCs w:val="15"/>
                <w:color w:val="auto"/>
              </w:rPr>
            </w:pPr>
          </w:p>
        </w:tc>
        <w:tc>
          <w:tcPr>
            <w:tcW w:w="200" w:type="dxa"/>
            <w:vAlign w:val="bottom"/>
            <w:shd w:val="clear" w:color="auto" w:fill="EDEDEE"/>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ind w:left="380"/>
              <w:spacing w:after="0" w:line="175" w:lineRule="exact"/>
              <w:rPr>
                <w:sz w:val="20"/>
                <w:szCs w:val="20"/>
                <w:color w:val="auto"/>
              </w:rPr>
            </w:pPr>
            <w:r>
              <w:rPr>
                <w:rFonts w:ascii="Arial" w:cs="Arial" w:eastAsia="Arial" w:hAnsi="Arial"/>
                <w:sz w:val="16"/>
                <w:szCs w:val="16"/>
                <w:color w:val="auto"/>
              </w:rPr>
              <w:t>2,195,578</w:t>
            </w:r>
          </w:p>
        </w:tc>
        <w:tc>
          <w:tcPr>
            <w:tcW w:w="340" w:type="dxa"/>
            <w:vAlign w:val="bottom"/>
            <w:gridSpan w:val="2"/>
            <w:shd w:val="clear" w:color="auto" w:fill="EDEDEE"/>
          </w:tcPr>
          <w:p>
            <w:pPr>
              <w:jc w:val="right"/>
              <w:ind w:right="260"/>
              <w:spacing w:after="0"/>
              <w:rPr>
                <w:sz w:val="20"/>
                <w:szCs w:val="20"/>
                <w:color w:val="auto"/>
              </w:rPr>
            </w:pPr>
            <w:r>
              <w:rPr>
                <w:rFonts w:ascii="Arial" w:cs="Arial" w:eastAsia="Arial" w:hAnsi="Arial"/>
                <w:sz w:val="14"/>
                <w:szCs w:val="14"/>
                <w:color w:val="auto"/>
                <w:w w:val="72"/>
              </w:rPr>
              <w:t>&gt;</w:t>
            </w:r>
          </w:p>
        </w:tc>
        <w:tc>
          <w:tcPr>
            <w:tcW w:w="1040" w:type="dxa"/>
            <w:vAlign w:val="bottom"/>
            <w:shd w:val="clear" w:color="auto" w:fill="EDEDEE"/>
          </w:tcPr>
          <w:p>
            <w:pPr>
              <w:jc w:val="right"/>
              <w:spacing w:after="0" w:line="175" w:lineRule="exact"/>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0"/>
        </w:trPr>
        <w:tc>
          <w:tcPr>
            <w:tcW w:w="4660" w:type="dxa"/>
            <w:vAlign w:val="bottom"/>
            <w:tcBorders>
              <w:top w:val="single" w:sz="8" w:color="EDEDEE"/>
            </w:tcBorders>
            <w:shd w:val="clear" w:color="auto" w:fill="EDEDEE"/>
          </w:tcPr>
          <w:p>
            <w:pPr>
              <w:spacing w:after="0" w:line="20" w:lineRule="exact"/>
              <w:rPr>
                <w:sz w:val="1"/>
                <w:szCs w:val="1"/>
                <w:color w:val="auto"/>
              </w:rPr>
            </w:pPr>
          </w:p>
        </w:tc>
        <w:tc>
          <w:tcPr>
            <w:tcW w:w="240" w:type="dxa"/>
            <w:vAlign w:val="bottom"/>
            <w:tcBorders>
              <w:top w:val="single" w:sz="8" w:color="EDEDEE"/>
            </w:tcBorders>
            <w:shd w:val="clear" w:color="auto" w:fill="EDEDEE"/>
          </w:tcPr>
          <w:p>
            <w:pPr>
              <w:spacing w:after="0" w:line="20" w:lineRule="exact"/>
              <w:rPr>
                <w:sz w:val="1"/>
                <w:szCs w:val="1"/>
                <w:color w:val="auto"/>
              </w:rPr>
            </w:pPr>
          </w:p>
        </w:tc>
        <w:tc>
          <w:tcPr>
            <w:tcW w:w="1280" w:type="dxa"/>
            <w:vAlign w:val="bottom"/>
            <w:tcBorders>
              <w:top w:val="single" w:sz="8" w:color="EDEDEE"/>
            </w:tcBorders>
            <w:shd w:val="clear" w:color="auto" w:fill="EDEDEE"/>
          </w:tcPr>
          <w:p>
            <w:pPr>
              <w:spacing w:after="0" w:line="20" w:lineRule="exact"/>
              <w:rPr>
                <w:sz w:val="1"/>
                <w:szCs w:val="1"/>
                <w:color w:val="auto"/>
              </w:rPr>
            </w:pPr>
          </w:p>
        </w:tc>
        <w:tc>
          <w:tcPr>
            <w:tcW w:w="780" w:type="dxa"/>
            <w:vAlign w:val="bottom"/>
            <w:tcBorders>
              <w:top w:val="single" w:sz="8" w:color="EDEDEE"/>
            </w:tcBorders>
            <w:shd w:val="clear" w:color="auto" w:fill="EDEDEE"/>
          </w:tcPr>
          <w:p>
            <w:pPr>
              <w:spacing w:after="0" w:line="20" w:lineRule="exact"/>
              <w:rPr>
                <w:sz w:val="1"/>
                <w:szCs w:val="1"/>
                <w:color w:val="auto"/>
              </w:rPr>
            </w:pPr>
          </w:p>
        </w:tc>
        <w:tc>
          <w:tcPr>
            <w:tcW w:w="280" w:type="dxa"/>
            <w:vAlign w:val="bottom"/>
            <w:tcBorders>
              <w:top w:val="single" w:sz="8" w:color="EDEDEE"/>
            </w:tcBorders>
            <w:shd w:val="clear" w:color="auto" w:fill="EDEDEE"/>
          </w:tcPr>
          <w:p>
            <w:pPr>
              <w:spacing w:after="0" w:line="20" w:lineRule="exact"/>
              <w:rPr>
                <w:sz w:val="1"/>
                <w:szCs w:val="1"/>
                <w:color w:val="auto"/>
              </w:rPr>
            </w:pPr>
          </w:p>
        </w:tc>
        <w:tc>
          <w:tcPr>
            <w:tcW w:w="200" w:type="dxa"/>
            <w:vAlign w:val="bottom"/>
            <w:tcBorders>
              <w:top w:val="single" w:sz="8" w:color="EDEDEE"/>
            </w:tcBorders>
            <w:shd w:val="clear" w:color="auto" w:fill="EDEDEE"/>
          </w:tcPr>
          <w:p>
            <w:pPr>
              <w:spacing w:after="0" w:line="20" w:lineRule="exact"/>
              <w:rPr>
                <w:sz w:val="1"/>
                <w:szCs w:val="1"/>
                <w:color w:val="auto"/>
              </w:rPr>
            </w:pPr>
          </w:p>
        </w:tc>
        <w:tc>
          <w:tcPr>
            <w:tcW w:w="1280" w:type="dxa"/>
            <w:vAlign w:val="bottom"/>
            <w:tcBorders>
              <w:top w:val="single" w:sz="8" w:color="EDEDEE"/>
            </w:tcBorders>
            <w:shd w:val="clear" w:color="auto" w:fill="EDEDEE"/>
          </w:tcPr>
          <w:p>
            <w:pPr>
              <w:spacing w:after="0" w:line="20" w:lineRule="exact"/>
              <w:rPr>
                <w:sz w:val="1"/>
                <w:szCs w:val="1"/>
                <w:color w:val="auto"/>
              </w:rPr>
            </w:pPr>
          </w:p>
        </w:tc>
        <w:tc>
          <w:tcPr>
            <w:tcW w:w="80" w:type="dxa"/>
            <w:vAlign w:val="bottom"/>
            <w:tcBorders>
              <w:top w:val="single" w:sz="8" w:color="auto"/>
            </w:tcBorders>
            <w:shd w:val="clear" w:color="auto" w:fill="EDEDEE"/>
          </w:tcPr>
          <w:p>
            <w:pPr>
              <w:spacing w:after="0" w:line="20" w:lineRule="exact"/>
              <w:rPr>
                <w:sz w:val="1"/>
                <w:szCs w:val="1"/>
                <w:color w:val="auto"/>
              </w:rPr>
            </w:pPr>
          </w:p>
        </w:tc>
        <w:tc>
          <w:tcPr>
            <w:tcW w:w="260" w:type="dxa"/>
            <w:vAlign w:val="bottom"/>
            <w:tcBorders>
              <w:top w:val="single" w:sz="8" w:color="EDEDEE"/>
            </w:tcBorders>
            <w:shd w:val="clear" w:color="auto" w:fill="EDEDEE"/>
          </w:tcPr>
          <w:p>
            <w:pPr>
              <w:spacing w:after="0" w:line="20" w:lineRule="exact"/>
              <w:rPr>
                <w:sz w:val="1"/>
                <w:szCs w:val="1"/>
                <w:color w:val="auto"/>
              </w:rPr>
            </w:pPr>
          </w:p>
        </w:tc>
        <w:tc>
          <w:tcPr>
            <w:tcW w:w="1040" w:type="dxa"/>
            <w:vAlign w:val="bottom"/>
            <w:tcBorders>
              <w:top w:val="single" w:sz="8" w:color="EDEDEE"/>
            </w:tcBorders>
            <w:shd w:val="clear" w:color="auto" w:fill="EDED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60" w:type="dxa"/>
            <w:vAlign w:val="bottom"/>
          </w:tcPr>
          <w:p>
            <w:pPr>
              <w:spacing w:after="0" w:line="175" w:lineRule="exact"/>
              <w:rPr>
                <w:sz w:val="20"/>
                <w:szCs w:val="20"/>
                <w:color w:val="auto"/>
              </w:rPr>
            </w:pPr>
            <w:r>
              <w:rPr>
                <w:rFonts w:ascii="Arial" w:cs="Arial" w:eastAsia="Arial" w:hAnsi="Arial"/>
                <w:sz w:val="16"/>
                <w:szCs w:val="16"/>
                <w:color w:val="auto"/>
              </w:rPr>
              <w:t>Total Capital (to Risk-Weighted Assets)</w:t>
            </w:r>
          </w:p>
        </w:tc>
        <w:tc>
          <w:tcPr>
            <w:tcW w:w="24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3,329,485</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12.9 %</w:t>
            </w:r>
          </w:p>
        </w:tc>
        <w:tc>
          <w:tcPr>
            <w:tcW w:w="280" w:type="dxa"/>
            <w:vAlign w:val="bottom"/>
          </w:tcPr>
          <w:p>
            <w:pPr>
              <w:spacing w:after="0"/>
              <w:rPr>
                <w:sz w:val="15"/>
                <w:szCs w:val="15"/>
                <w:color w:val="auto"/>
              </w:rPr>
            </w:pPr>
          </w:p>
        </w:tc>
        <w:tc>
          <w:tcPr>
            <w:tcW w:w="200" w:type="dxa"/>
            <w:vAlign w:val="bottom"/>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Pr>
          <w:p>
            <w:pPr>
              <w:ind w:left="380"/>
              <w:spacing w:after="0" w:line="175" w:lineRule="exact"/>
              <w:rPr>
                <w:sz w:val="20"/>
                <w:szCs w:val="20"/>
                <w:color w:val="auto"/>
              </w:rPr>
            </w:pPr>
            <w:r>
              <w:rPr>
                <w:rFonts w:ascii="Arial" w:cs="Arial" w:eastAsia="Arial" w:hAnsi="Arial"/>
                <w:sz w:val="16"/>
                <w:szCs w:val="16"/>
                <w:color w:val="auto"/>
              </w:rPr>
              <w:t>2,712,184</w:t>
            </w:r>
          </w:p>
        </w:tc>
        <w:tc>
          <w:tcPr>
            <w:tcW w:w="340" w:type="dxa"/>
            <w:vAlign w:val="bottom"/>
            <w:gridSpan w:val="2"/>
          </w:tcPr>
          <w:p>
            <w:pPr>
              <w:jc w:val="right"/>
              <w:ind w:right="260"/>
              <w:spacing w:after="0"/>
              <w:rPr>
                <w:sz w:val="20"/>
                <w:szCs w:val="20"/>
                <w:color w:val="auto"/>
              </w:rPr>
            </w:pPr>
            <w:r>
              <w:rPr>
                <w:rFonts w:ascii="Arial" w:cs="Arial" w:eastAsia="Arial" w:hAnsi="Arial"/>
                <w:sz w:val="14"/>
                <w:szCs w:val="14"/>
                <w:color w:val="auto"/>
                <w:w w:val="72"/>
              </w:rPr>
              <w:t>&gt;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60" w:type="dxa"/>
            <w:vAlign w:val="bottom"/>
            <w:shd w:val="clear" w:color="auto" w:fill="EDEDEE"/>
          </w:tcPr>
          <w:p>
            <w:pPr>
              <w:spacing w:after="0"/>
              <w:rPr>
                <w:sz w:val="20"/>
                <w:szCs w:val="20"/>
                <w:color w:val="auto"/>
              </w:rPr>
            </w:pPr>
            <w:r>
              <w:rPr>
                <w:rFonts w:ascii="Arial" w:cs="Arial" w:eastAsia="Arial" w:hAnsi="Arial"/>
                <w:sz w:val="16"/>
                <w:szCs w:val="16"/>
                <w:color w:val="auto"/>
              </w:rPr>
              <w:t>Tier 1 Capital (to Average Assets)</w:t>
            </w:r>
          </w:p>
        </w:tc>
        <w:tc>
          <w:tcPr>
            <w:tcW w:w="240" w:type="dxa"/>
            <w:vAlign w:val="bottom"/>
            <w:vMerge w:val="restart"/>
            <w:shd w:val="clear" w:color="auto" w:fill="EDEDEE"/>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DEDEE"/>
          </w:tcPr>
          <w:p>
            <w:pPr>
              <w:jc w:val="right"/>
              <w:ind w:right="139"/>
              <w:spacing w:after="0"/>
              <w:rPr>
                <w:sz w:val="20"/>
                <w:szCs w:val="20"/>
                <w:color w:val="auto"/>
              </w:rPr>
            </w:pPr>
            <w:r>
              <w:rPr>
                <w:rFonts w:ascii="Arial" w:cs="Arial" w:eastAsia="Arial" w:hAnsi="Arial"/>
                <w:sz w:val="16"/>
                <w:szCs w:val="16"/>
                <w:color w:val="auto"/>
              </w:rPr>
              <w:t>2,992,368</w:t>
            </w:r>
          </w:p>
        </w:tc>
        <w:tc>
          <w:tcPr>
            <w:tcW w:w="78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10.1 %</w:t>
            </w:r>
          </w:p>
        </w:tc>
        <w:tc>
          <w:tcPr>
            <w:tcW w:w="280" w:type="dxa"/>
            <w:vAlign w:val="bottom"/>
            <w:shd w:val="clear" w:color="auto" w:fill="EDEDEE"/>
          </w:tcPr>
          <w:p>
            <w:pPr>
              <w:spacing w:after="0"/>
              <w:rPr>
                <w:sz w:val="18"/>
                <w:szCs w:val="18"/>
                <w:color w:val="auto"/>
              </w:rPr>
            </w:pPr>
          </w:p>
        </w:tc>
        <w:tc>
          <w:tcPr>
            <w:tcW w:w="200" w:type="dxa"/>
            <w:vAlign w:val="bottom"/>
            <w:vMerge w:val="restart"/>
            <w:shd w:val="clear" w:color="auto" w:fill="EDEDEE"/>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EDEDEE"/>
          </w:tcPr>
          <w:p>
            <w:pPr>
              <w:ind w:left="380"/>
              <w:spacing w:after="0"/>
              <w:rPr>
                <w:sz w:val="20"/>
                <w:szCs w:val="20"/>
                <w:color w:val="auto"/>
              </w:rPr>
            </w:pPr>
            <w:r>
              <w:rPr>
                <w:rFonts w:ascii="Arial" w:cs="Arial" w:eastAsia="Arial" w:hAnsi="Arial"/>
                <w:sz w:val="16"/>
                <w:szCs w:val="16"/>
                <w:color w:val="auto"/>
              </w:rPr>
              <w:t>1,185,745</w:t>
            </w:r>
          </w:p>
        </w:tc>
        <w:tc>
          <w:tcPr>
            <w:tcW w:w="340" w:type="dxa"/>
            <w:vAlign w:val="bottom"/>
            <w:gridSpan w:val="2"/>
            <w:vMerge w:val="restart"/>
            <w:shd w:val="clear" w:color="auto" w:fill="EDEDEE"/>
          </w:tcPr>
          <w:p>
            <w:pPr>
              <w:jc w:val="right"/>
              <w:ind w:right="260"/>
              <w:spacing w:after="0"/>
              <w:rPr>
                <w:sz w:val="20"/>
                <w:szCs w:val="20"/>
                <w:color w:val="auto"/>
              </w:rPr>
            </w:pPr>
            <w:r>
              <w:rPr>
                <w:rFonts w:ascii="Arial" w:cs="Arial" w:eastAsia="Arial" w:hAnsi="Arial"/>
                <w:sz w:val="14"/>
                <w:szCs w:val="14"/>
                <w:color w:val="auto"/>
                <w:w w:val="72"/>
              </w:rPr>
              <w:t>&gt;</w:t>
            </w:r>
          </w:p>
        </w:tc>
        <w:tc>
          <w:tcPr>
            <w:tcW w:w="104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49"/>
        </w:trPr>
        <w:tc>
          <w:tcPr>
            <w:tcW w:w="4660" w:type="dxa"/>
            <w:vAlign w:val="bottom"/>
            <w:shd w:val="clear" w:color="auto" w:fill="EDEDEE"/>
          </w:tcPr>
          <w:p>
            <w:pPr>
              <w:spacing w:after="0"/>
              <w:rPr>
                <w:sz w:val="4"/>
                <w:szCs w:val="4"/>
                <w:color w:val="auto"/>
              </w:rPr>
            </w:pPr>
          </w:p>
        </w:tc>
        <w:tc>
          <w:tcPr>
            <w:tcW w:w="240" w:type="dxa"/>
            <w:vAlign w:val="bottom"/>
            <w:vMerge w:val="continue"/>
            <w:shd w:val="clear" w:color="auto" w:fill="EDEDEE"/>
          </w:tcPr>
          <w:p>
            <w:pPr>
              <w:spacing w:after="0"/>
              <w:rPr>
                <w:sz w:val="4"/>
                <w:szCs w:val="4"/>
                <w:color w:val="auto"/>
              </w:rPr>
            </w:pPr>
          </w:p>
        </w:tc>
        <w:tc>
          <w:tcPr>
            <w:tcW w:w="1280" w:type="dxa"/>
            <w:vAlign w:val="bottom"/>
            <w:vMerge w:val="continue"/>
            <w:shd w:val="clear" w:color="auto" w:fill="EDEDEE"/>
          </w:tcPr>
          <w:p>
            <w:pPr>
              <w:spacing w:after="0"/>
              <w:rPr>
                <w:sz w:val="4"/>
                <w:szCs w:val="4"/>
                <w:color w:val="auto"/>
              </w:rPr>
            </w:pPr>
          </w:p>
        </w:tc>
        <w:tc>
          <w:tcPr>
            <w:tcW w:w="780" w:type="dxa"/>
            <w:vAlign w:val="bottom"/>
            <w:vMerge w:val="continue"/>
            <w:shd w:val="clear" w:color="auto" w:fill="EDEDEE"/>
          </w:tcPr>
          <w:p>
            <w:pPr>
              <w:spacing w:after="0"/>
              <w:rPr>
                <w:sz w:val="4"/>
                <w:szCs w:val="4"/>
                <w:color w:val="auto"/>
              </w:rPr>
            </w:pPr>
          </w:p>
        </w:tc>
        <w:tc>
          <w:tcPr>
            <w:tcW w:w="280" w:type="dxa"/>
            <w:vAlign w:val="bottom"/>
            <w:shd w:val="clear" w:color="auto" w:fill="EDEDEE"/>
          </w:tcPr>
          <w:p>
            <w:pPr>
              <w:spacing w:after="0"/>
              <w:rPr>
                <w:sz w:val="4"/>
                <w:szCs w:val="4"/>
                <w:color w:val="auto"/>
              </w:rPr>
            </w:pPr>
          </w:p>
        </w:tc>
        <w:tc>
          <w:tcPr>
            <w:tcW w:w="200" w:type="dxa"/>
            <w:vAlign w:val="bottom"/>
            <w:vMerge w:val="continue"/>
            <w:shd w:val="clear" w:color="auto" w:fill="EDEDEE"/>
          </w:tcPr>
          <w:p>
            <w:pPr>
              <w:spacing w:after="0"/>
              <w:rPr>
                <w:sz w:val="4"/>
                <w:szCs w:val="4"/>
                <w:color w:val="auto"/>
              </w:rPr>
            </w:pPr>
          </w:p>
        </w:tc>
        <w:tc>
          <w:tcPr>
            <w:tcW w:w="1280" w:type="dxa"/>
            <w:vAlign w:val="bottom"/>
            <w:vMerge w:val="continue"/>
            <w:shd w:val="clear" w:color="auto" w:fill="EDEDEE"/>
          </w:tcPr>
          <w:p>
            <w:pPr>
              <w:spacing w:after="0"/>
              <w:rPr>
                <w:sz w:val="4"/>
                <w:szCs w:val="4"/>
                <w:color w:val="auto"/>
              </w:rPr>
            </w:pPr>
          </w:p>
        </w:tc>
        <w:tc>
          <w:tcPr>
            <w:tcW w:w="340" w:type="dxa"/>
            <w:vAlign w:val="bottom"/>
            <w:gridSpan w:val="2"/>
            <w:vMerge w:val="continue"/>
            <w:shd w:val="clear" w:color="auto" w:fill="EDEDEE"/>
          </w:tcPr>
          <w:p>
            <w:pPr>
              <w:spacing w:after="0"/>
              <w:rPr>
                <w:sz w:val="4"/>
                <w:szCs w:val="4"/>
                <w:color w:val="auto"/>
              </w:rPr>
            </w:pPr>
          </w:p>
        </w:tc>
        <w:tc>
          <w:tcPr>
            <w:tcW w:w="1040" w:type="dxa"/>
            <w:vAlign w:val="bottom"/>
            <w:vMerge w:val="continue"/>
            <w:shd w:val="clear" w:color="auto" w:fill="EDEDE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top w:val="single" w:sz="8" w:color="EDEDEE"/>
            </w:tcBorders>
          </w:tcPr>
          <w:p>
            <w:pPr>
              <w:spacing w:after="0"/>
              <w:rPr>
                <w:sz w:val="22"/>
                <w:szCs w:val="22"/>
                <w:color w:val="auto"/>
              </w:rPr>
            </w:pPr>
          </w:p>
        </w:tc>
        <w:tc>
          <w:tcPr>
            <w:tcW w:w="240" w:type="dxa"/>
            <w:vAlign w:val="bottom"/>
            <w:tcBorders>
              <w:top w:val="single" w:sz="8" w:color="EDEDEE"/>
            </w:tcBorders>
          </w:tcPr>
          <w:p>
            <w:pPr>
              <w:spacing w:after="0"/>
              <w:rPr>
                <w:sz w:val="22"/>
                <w:szCs w:val="22"/>
                <w:color w:val="auto"/>
              </w:rPr>
            </w:pPr>
          </w:p>
        </w:tc>
        <w:tc>
          <w:tcPr>
            <w:tcW w:w="1280" w:type="dxa"/>
            <w:vAlign w:val="bottom"/>
            <w:tcBorders>
              <w:top w:val="single" w:sz="8" w:color="EDEDEE"/>
            </w:tcBorders>
          </w:tcPr>
          <w:p>
            <w:pPr>
              <w:spacing w:after="0"/>
              <w:rPr>
                <w:sz w:val="22"/>
                <w:szCs w:val="22"/>
                <w:color w:val="auto"/>
              </w:rPr>
            </w:pPr>
          </w:p>
        </w:tc>
        <w:tc>
          <w:tcPr>
            <w:tcW w:w="780" w:type="dxa"/>
            <w:vAlign w:val="bottom"/>
            <w:tcBorders>
              <w:top w:val="single" w:sz="8" w:color="EDEDEE"/>
            </w:tcBorders>
          </w:tcPr>
          <w:p>
            <w:pPr>
              <w:spacing w:after="0"/>
              <w:rPr>
                <w:sz w:val="22"/>
                <w:szCs w:val="22"/>
                <w:color w:val="auto"/>
              </w:rPr>
            </w:pPr>
          </w:p>
        </w:tc>
        <w:tc>
          <w:tcPr>
            <w:tcW w:w="280" w:type="dxa"/>
            <w:vAlign w:val="bottom"/>
            <w:tcBorders>
              <w:top w:val="single" w:sz="8" w:color="EDEDEE"/>
            </w:tcBorders>
          </w:tcPr>
          <w:p>
            <w:pPr>
              <w:spacing w:after="0"/>
              <w:rPr>
                <w:sz w:val="22"/>
                <w:szCs w:val="22"/>
                <w:color w:val="auto"/>
              </w:rPr>
            </w:pPr>
          </w:p>
        </w:tc>
        <w:tc>
          <w:tcPr>
            <w:tcW w:w="200" w:type="dxa"/>
            <w:vAlign w:val="bottom"/>
            <w:tcBorders>
              <w:top w:val="single" w:sz="8" w:color="EDEDEE"/>
            </w:tcBorders>
          </w:tcPr>
          <w:p>
            <w:pPr>
              <w:spacing w:after="0"/>
              <w:rPr>
                <w:sz w:val="22"/>
                <w:szCs w:val="22"/>
                <w:color w:val="auto"/>
              </w:rPr>
            </w:pPr>
          </w:p>
        </w:tc>
        <w:tc>
          <w:tcPr>
            <w:tcW w:w="1280" w:type="dxa"/>
            <w:vAlign w:val="bottom"/>
            <w:tcBorders>
              <w:top w:val="single" w:sz="8" w:color="EDEDEE"/>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60" w:type="dxa"/>
            <w:vAlign w:val="bottom"/>
            <w:tcBorders>
              <w:top w:val="single" w:sz="8" w:color="EDEDEE"/>
            </w:tcBorders>
          </w:tcPr>
          <w:p>
            <w:pPr>
              <w:spacing w:after="0"/>
              <w:rPr>
                <w:sz w:val="22"/>
                <w:szCs w:val="22"/>
                <w:color w:val="auto"/>
              </w:rPr>
            </w:pPr>
          </w:p>
        </w:tc>
        <w:tc>
          <w:tcPr>
            <w:tcW w:w="1040" w:type="dxa"/>
            <w:vAlign w:val="bottom"/>
            <w:tcBorders>
              <w:top w:val="single" w:sz="8" w:color="EDEDEE"/>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EDEDEE"/>
          </w:tcPr>
          <w:p>
            <w:pPr>
              <w:spacing w:after="0" w:line="216" w:lineRule="exact"/>
              <w:rPr>
                <w:sz w:val="20"/>
                <w:szCs w:val="20"/>
                <w:color w:val="auto"/>
              </w:rPr>
            </w:pPr>
            <w:r>
              <w:rPr>
                <w:rFonts w:ascii="Arial" w:cs="Arial" w:eastAsia="Arial" w:hAnsi="Arial"/>
                <w:sz w:val="16"/>
                <w:szCs w:val="16"/>
                <w:b w:val="1"/>
                <w:bCs w:val="1"/>
                <w:color w:val="144F82"/>
              </w:rPr>
              <w:t>As of December 31, 2024</w:t>
            </w:r>
            <w:r>
              <w:rPr>
                <w:rFonts w:ascii="Arial" w:cs="Arial" w:eastAsia="Arial" w:hAnsi="Arial"/>
                <w:sz w:val="21"/>
                <w:szCs w:val="21"/>
                <w:b w:val="1"/>
                <w:bCs w:val="1"/>
                <w:color w:val="144F82"/>
                <w:vertAlign w:val="superscript"/>
              </w:rPr>
              <w:t>(3)</w:t>
            </w:r>
            <w:r>
              <w:rPr>
                <w:rFonts w:ascii="Arial" w:cs="Arial" w:eastAsia="Arial" w:hAnsi="Arial"/>
                <w:sz w:val="16"/>
                <w:szCs w:val="16"/>
                <w:b w:val="1"/>
                <w:bCs w:val="1"/>
                <w:color w:val="144F82"/>
              </w:rPr>
              <w:t>:</w:t>
            </w:r>
          </w:p>
        </w:tc>
        <w:tc>
          <w:tcPr>
            <w:tcW w:w="240" w:type="dxa"/>
            <w:vAlign w:val="bottom"/>
            <w:shd w:val="clear" w:color="auto" w:fill="EDEDEE"/>
          </w:tcPr>
          <w:p>
            <w:pPr>
              <w:spacing w:after="0"/>
              <w:rPr>
                <w:sz w:val="18"/>
                <w:szCs w:val="18"/>
                <w:color w:val="auto"/>
              </w:rPr>
            </w:pPr>
          </w:p>
        </w:tc>
        <w:tc>
          <w:tcPr>
            <w:tcW w:w="1280" w:type="dxa"/>
            <w:vAlign w:val="bottom"/>
            <w:shd w:val="clear" w:color="auto" w:fill="EDEDEE"/>
          </w:tcPr>
          <w:p>
            <w:pPr>
              <w:spacing w:after="0"/>
              <w:rPr>
                <w:sz w:val="18"/>
                <w:szCs w:val="18"/>
                <w:color w:val="auto"/>
              </w:rPr>
            </w:pPr>
          </w:p>
        </w:tc>
        <w:tc>
          <w:tcPr>
            <w:tcW w:w="78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200" w:type="dxa"/>
            <w:vAlign w:val="bottom"/>
            <w:shd w:val="clear" w:color="auto" w:fill="EDEDEE"/>
          </w:tcPr>
          <w:p>
            <w:pPr>
              <w:spacing w:after="0"/>
              <w:rPr>
                <w:sz w:val="18"/>
                <w:szCs w:val="18"/>
                <w:color w:val="auto"/>
              </w:rPr>
            </w:pPr>
          </w:p>
        </w:tc>
        <w:tc>
          <w:tcPr>
            <w:tcW w:w="1280" w:type="dxa"/>
            <w:vAlign w:val="bottom"/>
            <w:shd w:val="clear" w:color="auto" w:fill="EDEDEE"/>
          </w:tcPr>
          <w:p>
            <w:pPr>
              <w:spacing w:after="0"/>
              <w:rPr>
                <w:sz w:val="18"/>
                <w:szCs w:val="18"/>
                <w:color w:val="auto"/>
              </w:rPr>
            </w:pPr>
          </w:p>
        </w:tc>
        <w:tc>
          <w:tcPr>
            <w:tcW w:w="80" w:type="dxa"/>
            <w:vAlign w:val="bottom"/>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104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line="175" w:lineRule="exact"/>
              <w:rPr>
                <w:sz w:val="20"/>
                <w:szCs w:val="20"/>
                <w:color w:val="auto"/>
              </w:rPr>
            </w:pPr>
            <w:r>
              <w:rPr>
                <w:rFonts w:ascii="Arial" w:cs="Arial" w:eastAsia="Arial" w:hAnsi="Arial"/>
                <w:sz w:val="16"/>
                <w:szCs w:val="16"/>
                <w:color w:val="auto"/>
              </w:rPr>
              <w:t>Common Equity Tier 1 Capital (to Risk-Weighted Assets)</w:t>
            </w:r>
          </w:p>
        </w:tc>
        <w:tc>
          <w:tcPr>
            <w:tcW w:w="24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2,957,067</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11.3 %</w:t>
            </w:r>
          </w:p>
        </w:tc>
        <w:tc>
          <w:tcPr>
            <w:tcW w:w="280" w:type="dxa"/>
            <w:vAlign w:val="bottom"/>
          </w:tcPr>
          <w:p>
            <w:pPr>
              <w:spacing w:after="0"/>
              <w:rPr>
                <w:sz w:val="15"/>
                <w:szCs w:val="15"/>
                <w:color w:val="auto"/>
              </w:rPr>
            </w:pPr>
          </w:p>
        </w:tc>
        <w:tc>
          <w:tcPr>
            <w:tcW w:w="200" w:type="dxa"/>
            <w:vAlign w:val="bottom"/>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Pr>
          <w:p>
            <w:pPr>
              <w:ind w:left="380"/>
              <w:spacing w:after="0" w:line="175" w:lineRule="exact"/>
              <w:rPr>
                <w:sz w:val="20"/>
                <w:szCs w:val="20"/>
                <w:color w:val="auto"/>
              </w:rPr>
            </w:pPr>
            <w:r>
              <w:rPr>
                <w:rFonts w:ascii="Arial" w:cs="Arial" w:eastAsia="Arial" w:hAnsi="Arial"/>
                <w:sz w:val="16"/>
                <w:szCs w:val="16"/>
                <w:color w:val="auto"/>
              </w:rPr>
              <w:t>1,827,318</w:t>
            </w:r>
          </w:p>
        </w:tc>
        <w:tc>
          <w:tcPr>
            <w:tcW w:w="340" w:type="dxa"/>
            <w:vAlign w:val="bottom"/>
            <w:gridSpan w:val="2"/>
          </w:tcPr>
          <w:p>
            <w:pPr>
              <w:jc w:val="right"/>
              <w:ind w:right="260"/>
              <w:spacing w:after="0"/>
              <w:rPr>
                <w:sz w:val="20"/>
                <w:szCs w:val="20"/>
                <w:color w:val="auto"/>
              </w:rPr>
            </w:pPr>
            <w:r>
              <w:rPr>
                <w:rFonts w:ascii="Arial" w:cs="Arial" w:eastAsia="Arial" w:hAnsi="Arial"/>
                <w:sz w:val="14"/>
                <w:szCs w:val="14"/>
                <w:color w:val="auto"/>
                <w:w w:val="72"/>
              </w:rPr>
              <w:t>&gt;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60" w:type="dxa"/>
            <w:vAlign w:val="bottom"/>
            <w:shd w:val="clear" w:color="auto" w:fill="EDEDEE"/>
          </w:tcPr>
          <w:p>
            <w:pPr>
              <w:spacing w:after="0" w:line="175" w:lineRule="exact"/>
              <w:rPr>
                <w:sz w:val="20"/>
                <w:szCs w:val="20"/>
                <w:color w:val="auto"/>
              </w:rPr>
            </w:pPr>
            <w:r>
              <w:rPr>
                <w:rFonts w:ascii="Arial" w:cs="Arial" w:eastAsia="Arial" w:hAnsi="Arial"/>
                <w:sz w:val="16"/>
                <w:szCs w:val="16"/>
                <w:color w:val="auto"/>
              </w:rPr>
              <w:t>Tier 1 Capital (to Risk-Weighted Assets)</w:t>
            </w:r>
          </w:p>
        </w:tc>
        <w:tc>
          <w:tcPr>
            <w:tcW w:w="240" w:type="dxa"/>
            <w:vAlign w:val="bottom"/>
            <w:shd w:val="clear" w:color="auto" w:fill="EDEDEE"/>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1280" w:type="dxa"/>
            <w:vAlign w:val="bottom"/>
            <w:shd w:val="clear" w:color="auto" w:fill="EDEDEE"/>
          </w:tcPr>
          <w:p>
            <w:pPr>
              <w:jc w:val="right"/>
              <w:ind w:right="139"/>
              <w:spacing w:after="0" w:line="175" w:lineRule="exact"/>
              <w:rPr>
                <w:sz w:val="20"/>
                <w:szCs w:val="20"/>
                <w:color w:val="auto"/>
              </w:rPr>
            </w:pPr>
            <w:r>
              <w:rPr>
                <w:rFonts w:ascii="Arial" w:cs="Arial" w:eastAsia="Arial" w:hAnsi="Arial"/>
                <w:sz w:val="16"/>
                <w:szCs w:val="16"/>
                <w:color w:val="auto"/>
              </w:rPr>
              <w:t>2,957,067</w:t>
            </w:r>
          </w:p>
        </w:tc>
        <w:tc>
          <w:tcPr>
            <w:tcW w:w="780" w:type="dxa"/>
            <w:vAlign w:val="bottom"/>
            <w:shd w:val="clear" w:color="auto" w:fill="EDEDEE"/>
          </w:tcPr>
          <w:p>
            <w:pPr>
              <w:jc w:val="right"/>
              <w:spacing w:after="0" w:line="175" w:lineRule="exact"/>
              <w:rPr>
                <w:sz w:val="20"/>
                <w:szCs w:val="20"/>
                <w:color w:val="auto"/>
              </w:rPr>
            </w:pPr>
            <w:r>
              <w:rPr>
                <w:rFonts w:ascii="Arial" w:cs="Arial" w:eastAsia="Arial" w:hAnsi="Arial"/>
                <w:sz w:val="16"/>
                <w:szCs w:val="16"/>
                <w:color w:val="auto"/>
              </w:rPr>
              <w:t>11.3 %</w:t>
            </w:r>
          </w:p>
        </w:tc>
        <w:tc>
          <w:tcPr>
            <w:tcW w:w="280" w:type="dxa"/>
            <w:vAlign w:val="bottom"/>
            <w:shd w:val="clear" w:color="auto" w:fill="EDEDEE"/>
          </w:tcPr>
          <w:p>
            <w:pPr>
              <w:spacing w:after="0"/>
              <w:rPr>
                <w:sz w:val="15"/>
                <w:szCs w:val="15"/>
                <w:color w:val="auto"/>
              </w:rPr>
            </w:pPr>
          </w:p>
        </w:tc>
        <w:tc>
          <w:tcPr>
            <w:tcW w:w="200" w:type="dxa"/>
            <w:vAlign w:val="bottom"/>
            <w:shd w:val="clear" w:color="auto" w:fill="EDEDEE"/>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ind w:left="380"/>
              <w:spacing w:after="0" w:line="175" w:lineRule="exact"/>
              <w:rPr>
                <w:sz w:val="20"/>
                <w:szCs w:val="20"/>
                <w:color w:val="auto"/>
              </w:rPr>
            </w:pPr>
            <w:r>
              <w:rPr>
                <w:rFonts w:ascii="Arial" w:cs="Arial" w:eastAsia="Arial" w:hAnsi="Arial"/>
                <w:sz w:val="16"/>
                <w:szCs w:val="16"/>
                <w:color w:val="auto"/>
              </w:rPr>
              <w:t>2,218,886</w:t>
            </w:r>
          </w:p>
        </w:tc>
        <w:tc>
          <w:tcPr>
            <w:tcW w:w="340" w:type="dxa"/>
            <w:vAlign w:val="bottom"/>
            <w:gridSpan w:val="2"/>
            <w:shd w:val="clear" w:color="auto" w:fill="EDEDEE"/>
          </w:tcPr>
          <w:p>
            <w:pPr>
              <w:jc w:val="right"/>
              <w:ind w:right="260"/>
              <w:spacing w:after="0"/>
              <w:rPr>
                <w:sz w:val="20"/>
                <w:szCs w:val="20"/>
                <w:color w:val="auto"/>
              </w:rPr>
            </w:pPr>
            <w:r>
              <w:rPr>
                <w:rFonts w:ascii="Arial" w:cs="Arial" w:eastAsia="Arial" w:hAnsi="Arial"/>
                <w:sz w:val="14"/>
                <w:szCs w:val="14"/>
                <w:color w:val="auto"/>
                <w:w w:val="72"/>
              </w:rPr>
              <w:t>&gt;</w:t>
            </w:r>
          </w:p>
        </w:tc>
        <w:tc>
          <w:tcPr>
            <w:tcW w:w="1040" w:type="dxa"/>
            <w:vAlign w:val="bottom"/>
            <w:shd w:val="clear" w:color="auto" w:fill="EDEDEE"/>
          </w:tcPr>
          <w:p>
            <w:pPr>
              <w:jc w:val="right"/>
              <w:spacing w:after="0" w:line="175" w:lineRule="exact"/>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1"/>
        </w:trPr>
        <w:tc>
          <w:tcPr>
            <w:tcW w:w="4660" w:type="dxa"/>
            <w:vAlign w:val="bottom"/>
            <w:tcBorders>
              <w:top w:val="single" w:sz="8" w:color="EDEDEE"/>
            </w:tcBorders>
            <w:shd w:val="clear" w:color="auto" w:fill="EDEDEE"/>
          </w:tcPr>
          <w:p>
            <w:pPr>
              <w:spacing w:after="0" w:line="20" w:lineRule="exact"/>
              <w:rPr>
                <w:sz w:val="1"/>
                <w:szCs w:val="1"/>
                <w:color w:val="auto"/>
              </w:rPr>
            </w:pPr>
          </w:p>
        </w:tc>
        <w:tc>
          <w:tcPr>
            <w:tcW w:w="240" w:type="dxa"/>
            <w:vAlign w:val="bottom"/>
            <w:tcBorders>
              <w:top w:val="single" w:sz="8" w:color="EDEDEE"/>
            </w:tcBorders>
            <w:shd w:val="clear" w:color="auto" w:fill="EDEDEE"/>
          </w:tcPr>
          <w:p>
            <w:pPr>
              <w:spacing w:after="0" w:line="20" w:lineRule="exact"/>
              <w:rPr>
                <w:sz w:val="1"/>
                <w:szCs w:val="1"/>
                <w:color w:val="auto"/>
              </w:rPr>
            </w:pPr>
          </w:p>
        </w:tc>
        <w:tc>
          <w:tcPr>
            <w:tcW w:w="1280" w:type="dxa"/>
            <w:vAlign w:val="bottom"/>
            <w:tcBorders>
              <w:top w:val="single" w:sz="8" w:color="EDEDEE"/>
            </w:tcBorders>
            <w:shd w:val="clear" w:color="auto" w:fill="EDEDEE"/>
          </w:tcPr>
          <w:p>
            <w:pPr>
              <w:spacing w:after="0" w:line="20" w:lineRule="exact"/>
              <w:rPr>
                <w:sz w:val="1"/>
                <w:szCs w:val="1"/>
                <w:color w:val="auto"/>
              </w:rPr>
            </w:pPr>
          </w:p>
        </w:tc>
        <w:tc>
          <w:tcPr>
            <w:tcW w:w="780" w:type="dxa"/>
            <w:vAlign w:val="bottom"/>
            <w:tcBorders>
              <w:top w:val="single" w:sz="8" w:color="EDEDEE"/>
            </w:tcBorders>
            <w:shd w:val="clear" w:color="auto" w:fill="EDEDEE"/>
          </w:tcPr>
          <w:p>
            <w:pPr>
              <w:spacing w:after="0" w:line="20" w:lineRule="exact"/>
              <w:rPr>
                <w:sz w:val="1"/>
                <w:szCs w:val="1"/>
                <w:color w:val="auto"/>
              </w:rPr>
            </w:pPr>
          </w:p>
        </w:tc>
        <w:tc>
          <w:tcPr>
            <w:tcW w:w="280" w:type="dxa"/>
            <w:vAlign w:val="bottom"/>
            <w:tcBorders>
              <w:top w:val="single" w:sz="8" w:color="EDEDEE"/>
            </w:tcBorders>
            <w:shd w:val="clear" w:color="auto" w:fill="EDEDEE"/>
          </w:tcPr>
          <w:p>
            <w:pPr>
              <w:spacing w:after="0" w:line="20" w:lineRule="exact"/>
              <w:rPr>
                <w:sz w:val="1"/>
                <w:szCs w:val="1"/>
                <w:color w:val="auto"/>
              </w:rPr>
            </w:pPr>
          </w:p>
        </w:tc>
        <w:tc>
          <w:tcPr>
            <w:tcW w:w="200" w:type="dxa"/>
            <w:vAlign w:val="bottom"/>
            <w:tcBorders>
              <w:top w:val="single" w:sz="8" w:color="EDEDEE"/>
            </w:tcBorders>
            <w:shd w:val="clear" w:color="auto" w:fill="EDEDEE"/>
          </w:tcPr>
          <w:p>
            <w:pPr>
              <w:spacing w:after="0" w:line="20" w:lineRule="exact"/>
              <w:rPr>
                <w:sz w:val="1"/>
                <w:szCs w:val="1"/>
                <w:color w:val="auto"/>
              </w:rPr>
            </w:pPr>
          </w:p>
        </w:tc>
        <w:tc>
          <w:tcPr>
            <w:tcW w:w="1280" w:type="dxa"/>
            <w:vAlign w:val="bottom"/>
            <w:tcBorders>
              <w:top w:val="single" w:sz="8" w:color="EDEDEE"/>
            </w:tcBorders>
            <w:shd w:val="clear" w:color="auto" w:fill="EDEDEE"/>
          </w:tcPr>
          <w:p>
            <w:pPr>
              <w:spacing w:after="0" w:line="20" w:lineRule="exact"/>
              <w:rPr>
                <w:sz w:val="1"/>
                <w:szCs w:val="1"/>
                <w:color w:val="auto"/>
              </w:rPr>
            </w:pPr>
          </w:p>
        </w:tc>
        <w:tc>
          <w:tcPr>
            <w:tcW w:w="80" w:type="dxa"/>
            <w:vAlign w:val="bottom"/>
            <w:tcBorders>
              <w:top w:val="single" w:sz="8" w:color="auto"/>
            </w:tcBorders>
            <w:shd w:val="clear" w:color="auto" w:fill="EDEDEE"/>
          </w:tcPr>
          <w:p>
            <w:pPr>
              <w:spacing w:after="0" w:line="20" w:lineRule="exact"/>
              <w:rPr>
                <w:sz w:val="1"/>
                <w:szCs w:val="1"/>
                <w:color w:val="auto"/>
              </w:rPr>
            </w:pPr>
          </w:p>
        </w:tc>
        <w:tc>
          <w:tcPr>
            <w:tcW w:w="260" w:type="dxa"/>
            <w:vAlign w:val="bottom"/>
            <w:tcBorders>
              <w:top w:val="single" w:sz="8" w:color="EDEDEE"/>
            </w:tcBorders>
            <w:shd w:val="clear" w:color="auto" w:fill="EDEDEE"/>
          </w:tcPr>
          <w:p>
            <w:pPr>
              <w:spacing w:after="0" w:line="20" w:lineRule="exact"/>
              <w:rPr>
                <w:sz w:val="1"/>
                <w:szCs w:val="1"/>
                <w:color w:val="auto"/>
              </w:rPr>
            </w:pPr>
          </w:p>
        </w:tc>
        <w:tc>
          <w:tcPr>
            <w:tcW w:w="1040" w:type="dxa"/>
            <w:vAlign w:val="bottom"/>
            <w:tcBorders>
              <w:top w:val="single" w:sz="8" w:color="EDEDEE"/>
            </w:tcBorders>
            <w:shd w:val="clear" w:color="auto" w:fill="EDED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60" w:type="dxa"/>
            <w:vAlign w:val="bottom"/>
          </w:tcPr>
          <w:p>
            <w:pPr>
              <w:spacing w:after="0" w:line="175" w:lineRule="exact"/>
              <w:rPr>
                <w:sz w:val="20"/>
                <w:szCs w:val="20"/>
                <w:color w:val="auto"/>
              </w:rPr>
            </w:pPr>
            <w:r>
              <w:rPr>
                <w:rFonts w:ascii="Arial" w:cs="Arial" w:eastAsia="Arial" w:hAnsi="Arial"/>
                <w:sz w:val="16"/>
                <w:szCs w:val="16"/>
                <w:color w:val="auto"/>
              </w:rPr>
              <w:t>Total Capital (to Risk-Weighted Assets)</w:t>
            </w:r>
          </w:p>
        </w:tc>
        <w:tc>
          <w:tcPr>
            <w:tcW w:w="24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3,294,663</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12.6 %</w:t>
            </w:r>
          </w:p>
        </w:tc>
        <w:tc>
          <w:tcPr>
            <w:tcW w:w="280" w:type="dxa"/>
            <w:vAlign w:val="bottom"/>
          </w:tcPr>
          <w:p>
            <w:pPr>
              <w:spacing w:after="0"/>
              <w:rPr>
                <w:sz w:val="15"/>
                <w:szCs w:val="15"/>
                <w:color w:val="auto"/>
              </w:rPr>
            </w:pPr>
          </w:p>
        </w:tc>
        <w:tc>
          <w:tcPr>
            <w:tcW w:w="200" w:type="dxa"/>
            <w:vAlign w:val="bottom"/>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tcPr>
          <w:p>
            <w:pPr>
              <w:ind w:left="380"/>
              <w:spacing w:after="0" w:line="175" w:lineRule="exact"/>
              <w:rPr>
                <w:sz w:val="20"/>
                <w:szCs w:val="20"/>
                <w:color w:val="auto"/>
              </w:rPr>
            </w:pPr>
            <w:r>
              <w:rPr>
                <w:rFonts w:ascii="Arial" w:cs="Arial" w:eastAsia="Arial" w:hAnsi="Arial"/>
                <w:sz w:val="16"/>
                <w:szCs w:val="16"/>
                <w:color w:val="auto"/>
              </w:rPr>
              <w:t>2,740,976</w:t>
            </w:r>
          </w:p>
        </w:tc>
        <w:tc>
          <w:tcPr>
            <w:tcW w:w="340" w:type="dxa"/>
            <w:vAlign w:val="bottom"/>
            <w:gridSpan w:val="2"/>
          </w:tcPr>
          <w:p>
            <w:pPr>
              <w:jc w:val="right"/>
              <w:ind w:right="260"/>
              <w:spacing w:after="0"/>
              <w:rPr>
                <w:sz w:val="20"/>
                <w:szCs w:val="20"/>
                <w:color w:val="auto"/>
              </w:rPr>
            </w:pPr>
            <w:r>
              <w:rPr>
                <w:rFonts w:ascii="Arial" w:cs="Arial" w:eastAsia="Arial" w:hAnsi="Arial"/>
                <w:sz w:val="14"/>
                <w:szCs w:val="14"/>
                <w:color w:val="auto"/>
                <w:w w:val="72"/>
              </w:rPr>
              <w:t>&gt;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60" w:type="dxa"/>
            <w:vAlign w:val="bottom"/>
            <w:shd w:val="clear" w:color="auto" w:fill="EDEDEE"/>
          </w:tcPr>
          <w:p>
            <w:pPr>
              <w:spacing w:after="0" w:line="175" w:lineRule="exact"/>
              <w:rPr>
                <w:sz w:val="20"/>
                <w:szCs w:val="20"/>
                <w:color w:val="auto"/>
              </w:rPr>
            </w:pPr>
            <w:r>
              <w:rPr>
                <w:rFonts w:ascii="Arial" w:cs="Arial" w:eastAsia="Arial" w:hAnsi="Arial"/>
                <w:sz w:val="16"/>
                <w:szCs w:val="16"/>
                <w:color w:val="auto"/>
              </w:rPr>
              <w:t>Tier 1 Capital (to Average Assets)</w:t>
            </w:r>
          </w:p>
        </w:tc>
        <w:tc>
          <w:tcPr>
            <w:tcW w:w="240" w:type="dxa"/>
            <w:vAlign w:val="bottom"/>
            <w:shd w:val="clear" w:color="auto" w:fill="EDEDEE"/>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1280" w:type="dxa"/>
            <w:vAlign w:val="bottom"/>
            <w:shd w:val="clear" w:color="auto" w:fill="EDEDEE"/>
          </w:tcPr>
          <w:p>
            <w:pPr>
              <w:jc w:val="right"/>
              <w:ind w:right="139"/>
              <w:spacing w:after="0" w:line="175" w:lineRule="exact"/>
              <w:rPr>
                <w:sz w:val="20"/>
                <w:szCs w:val="20"/>
                <w:color w:val="auto"/>
              </w:rPr>
            </w:pPr>
            <w:r>
              <w:rPr>
                <w:rFonts w:ascii="Arial" w:cs="Arial" w:eastAsia="Arial" w:hAnsi="Arial"/>
                <w:sz w:val="16"/>
                <w:szCs w:val="16"/>
                <w:color w:val="auto"/>
              </w:rPr>
              <w:t>2,957,067</w:t>
            </w:r>
          </w:p>
        </w:tc>
        <w:tc>
          <w:tcPr>
            <w:tcW w:w="780" w:type="dxa"/>
            <w:vAlign w:val="bottom"/>
            <w:shd w:val="clear" w:color="auto" w:fill="EDEDEE"/>
          </w:tcPr>
          <w:p>
            <w:pPr>
              <w:jc w:val="right"/>
              <w:spacing w:after="0" w:line="175" w:lineRule="exact"/>
              <w:rPr>
                <w:sz w:val="20"/>
                <w:szCs w:val="20"/>
                <w:color w:val="auto"/>
              </w:rPr>
            </w:pPr>
            <w:r>
              <w:rPr>
                <w:rFonts w:ascii="Arial" w:cs="Arial" w:eastAsia="Arial" w:hAnsi="Arial"/>
                <w:sz w:val="16"/>
                <w:szCs w:val="16"/>
                <w:color w:val="auto"/>
              </w:rPr>
              <w:t>9.7 %</w:t>
            </w:r>
          </w:p>
        </w:tc>
        <w:tc>
          <w:tcPr>
            <w:tcW w:w="280" w:type="dxa"/>
            <w:vAlign w:val="bottom"/>
            <w:shd w:val="clear" w:color="auto" w:fill="EDEDEE"/>
          </w:tcPr>
          <w:p>
            <w:pPr>
              <w:spacing w:after="0"/>
              <w:rPr>
                <w:sz w:val="15"/>
                <w:szCs w:val="15"/>
                <w:color w:val="auto"/>
              </w:rPr>
            </w:pPr>
          </w:p>
        </w:tc>
        <w:tc>
          <w:tcPr>
            <w:tcW w:w="200" w:type="dxa"/>
            <w:vAlign w:val="bottom"/>
            <w:shd w:val="clear" w:color="auto" w:fill="EDEDEE"/>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EDEDEE"/>
          </w:tcPr>
          <w:p>
            <w:pPr>
              <w:ind w:left="380"/>
              <w:spacing w:after="0" w:line="175" w:lineRule="exact"/>
              <w:rPr>
                <w:sz w:val="20"/>
                <w:szCs w:val="20"/>
                <w:color w:val="auto"/>
              </w:rPr>
            </w:pPr>
            <w:r>
              <w:rPr>
                <w:rFonts w:ascii="Arial" w:cs="Arial" w:eastAsia="Arial" w:hAnsi="Arial"/>
                <w:sz w:val="16"/>
                <w:szCs w:val="16"/>
                <w:color w:val="auto"/>
              </w:rPr>
              <w:t>1,213,505</w:t>
            </w:r>
          </w:p>
        </w:tc>
        <w:tc>
          <w:tcPr>
            <w:tcW w:w="340" w:type="dxa"/>
            <w:vAlign w:val="bottom"/>
            <w:gridSpan w:val="2"/>
            <w:shd w:val="clear" w:color="auto" w:fill="EDEDEE"/>
          </w:tcPr>
          <w:p>
            <w:pPr>
              <w:jc w:val="right"/>
              <w:ind w:right="260"/>
              <w:spacing w:after="0"/>
              <w:rPr>
                <w:sz w:val="20"/>
                <w:szCs w:val="20"/>
                <w:color w:val="auto"/>
              </w:rPr>
            </w:pPr>
            <w:r>
              <w:rPr>
                <w:rFonts w:ascii="Arial" w:cs="Arial" w:eastAsia="Arial" w:hAnsi="Arial"/>
                <w:sz w:val="14"/>
                <w:szCs w:val="14"/>
                <w:color w:val="auto"/>
                <w:w w:val="72"/>
              </w:rPr>
              <w:t>&gt;</w:t>
            </w:r>
          </w:p>
        </w:tc>
        <w:tc>
          <w:tcPr>
            <w:tcW w:w="1040" w:type="dxa"/>
            <w:vAlign w:val="bottom"/>
            <w:shd w:val="clear" w:color="auto" w:fill="EDEDEE"/>
          </w:tcPr>
          <w:p>
            <w:pPr>
              <w:jc w:val="right"/>
              <w:spacing w:after="0" w:line="175" w:lineRule="exact"/>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0"/>
        </w:trPr>
        <w:tc>
          <w:tcPr>
            <w:tcW w:w="4660" w:type="dxa"/>
            <w:vAlign w:val="bottom"/>
            <w:tcBorders>
              <w:top w:val="single" w:sz="8" w:color="EDEDEE"/>
            </w:tcBorders>
            <w:shd w:val="clear" w:color="auto" w:fill="EDEDEE"/>
          </w:tcPr>
          <w:p>
            <w:pPr>
              <w:spacing w:after="0" w:line="20" w:lineRule="exact"/>
              <w:rPr>
                <w:sz w:val="1"/>
                <w:szCs w:val="1"/>
                <w:color w:val="auto"/>
              </w:rPr>
            </w:pPr>
          </w:p>
        </w:tc>
        <w:tc>
          <w:tcPr>
            <w:tcW w:w="240" w:type="dxa"/>
            <w:vAlign w:val="bottom"/>
            <w:tcBorders>
              <w:top w:val="single" w:sz="8" w:color="EDEDEE"/>
            </w:tcBorders>
            <w:shd w:val="clear" w:color="auto" w:fill="EDEDEE"/>
          </w:tcPr>
          <w:p>
            <w:pPr>
              <w:spacing w:after="0" w:line="20" w:lineRule="exact"/>
              <w:rPr>
                <w:sz w:val="1"/>
                <w:szCs w:val="1"/>
                <w:color w:val="auto"/>
              </w:rPr>
            </w:pPr>
          </w:p>
        </w:tc>
        <w:tc>
          <w:tcPr>
            <w:tcW w:w="1280" w:type="dxa"/>
            <w:vAlign w:val="bottom"/>
            <w:tcBorders>
              <w:top w:val="single" w:sz="8" w:color="EDEDEE"/>
            </w:tcBorders>
            <w:shd w:val="clear" w:color="auto" w:fill="EDEDEE"/>
          </w:tcPr>
          <w:p>
            <w:pPr>
              <w:spacing w:after="0" w:line="20" w:lineRule="exact"/>
              <w:rPr>
                <w:sz w:val="1"/>
                <w:szCs w:val="1"/>
                <w:color w:val="auto"/>
              </w:rPr>
            </w:pPr>
          </w:p>
        </w:tc>
        <w:tc>
          <w:tcPr>
            <w:tcW w:w="780" w:type="dxa"/>
            <w:vAlign w:val="bottom"/>
            <w:tcBorders>
              <w:top w:val="single" w:sz="8" w:color="EDEDEE"/>
            </w:tcBorders>
            <w:shd w:val="clear" w:color="auto" w:fill="EDEDEE"/>
          </w:tcPr>
          <w:p>
            <w:pPr>
              <w:spacing w:after="0" w:line="20" w:lineRule="exact"/>
              <w:rPr>
                <w:sz w:val="1"/>
                <w:szCs w:val="1"/>
                <w:color w:val="auto"/>
              </w:rPr>
            </w:pPr>
          </w:p>
        </w:tc>
        <w:tc>
          <w:tcPr>
            <w:tcW w:w="280" w:type="dxa"/>
            <w:vAlign w:val="bottom"/>
            <w:tcBorders>
              <w:top w:val="single" w:sz="8" w:color="EDEDEE"/>
            </w:tcBorders>
            <w:shd w:val="clear" w:color="auto" w:fill="EDEDEE"/>
          </w:tcPr>
          <w:p>
            <w:pPr>
              <w:spacing w:after="0" w:line="20" w:lineRule="exact"/>
              <w:rPr>
                <w:sz w:val="1"/>
                <w:szCs w:val="1"/>
                <w:color w:val="auto"/>
              </w:rPr>
            </w:pPr>
          </w:p>
        </w:tc>
        <w:tc>
          <w:tcPr>
            <w:tcW w:w="200" w:type="dxa"/>
            <w:vAlign w:val="bottom"/>
            <w:tcBorders>
              <w:top w:val="single" w:sz="8" w:color="EDEDEE"/>
            </w:tcBorders>
            <w:shd w:val="clear" w:color="auto" w:fill="EDEDEE"/>
          </w:tcPr>
          <w:p>
            <w:pPr>
              <w:spacing w:after="0" w:line="20" w:lineRule="exact"/>
              <w:rPr>
                <w:sz w:val="1"/>
                <w:szCs w:val="1"/>
                <w:color w:val="auto"/>
              </w:rPr>
            </w:pPr>
          </w:p>
        </w:tc>
        <w:tc>
          <w:tcPr>
            <w:tcW w:w="1280" w:type="dxa"/>
            <w:vAlign w:val="bottom"/>
            <w:tcBorders>
              <w:top w:val="single" w:sz="8" w:color="EDEDEE"/>
            </w:tcBorders>
            <w:shd w:val="clear" w:color="auto" w:fill="EDEDEE"/>
          </w:tcPr>
          <w:p>
            <w:pPr>
              <w:spacing w:after="0" w:line="20" w:lineRule="exact"/>
              <w:rPr>
                <w:sz w:val="1"/>
                <w:szCs w:val="1"/>
                <w:color w:val="auto"/>
              </w:rPr>
            </w:pPr>
          </w:p>
        </w:tc>
        <w:tc>
          <w:tcPr>
            <w:tcW w:w="80" w:type="dxa"/>
            <w:vAlign w:val="bottom"/>
            <w:tcBorders>
              <w:top w:val="single" w:sz="8" w:color="auto"/>
            </w:tcBorders>
            <w:shd w:val="clear" w:color="auto" w:fill="EDEDEE"/>
          </w:tcPr>
          <w:p>
            <w:pPr>
              <w:spacing w:after="0" w:line="20" w:lineRule="exact"/>
              <w:rPr>
                <w:sz w:val="1"/>
                <w:szCs w:val="1"/>
                <w:color w:val="auto"/>
              </w:rPr>
            </w:pPr>
          </w:p>
        </w:tc>
        <w:tc>
          <w:tcPr>
            <w:tcW w:w="260" w:type="dxa"/>
            <w:vAlign w:val="bottom"/>
            <w:tcBorders>
              <w:top w:val="single" w:sz="8" w:color="EDEDEE"/>
            </w:tcBorders>
            <w:shd w:val="clear" w:color="auto" w:fill="EDEDEE"/>
          </w:tcPr>
          <w:p>
            <w:pPr>
              <w:spacing w:after="0" w:line="20" w:lineRule="exact"/>
              <w:rPr>
                <w:sz w:val="1"/>
                <w:szCs w:val="1"/>
                <w:color w:val="auto"/>
              </w:rPr>
            </w:pPr>
          </w:p>
        </w:tc>
        <w:tc>
          <w:tcPr>
            <w:tcW w:w="1040" w:type="dxa"/>
            <w:vAlign w:val="bottom"/>
            <w:tcBorders>
              <w:top w:val="single" w:sz="8" w:color="EDEDEE"/>
            </w:tcBorders>
            <w:shd w:val="clear" w:color="auto" w:fill="EDED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860" w:hanging="204"/>
        <w:spacing w:after="0"/>
        <w:tabs>
          <w:tab w:leader="none" w:pos="860" w:val="left"/>
        </w:tabs>
        <w:numPr>
          <w:ilvl w:val="0"/>
          <w:numId w:val="67"/>
        </w:numPr>
        <w:rPr>
          <w:rFonts w:ascii="Arial" w:cs="Arial" w:eastAsia="Arial" w:hAnsi="Arial"/>
          <w:sz w:val="8"/>
          <w:szCs w:val="8"/>
          <w:color w:val="auto"/>
        </w:rPr>
      </w:pPr>
      <w:r>
        <w:rPr>
          <w:rFonts w:ascii="Arial" w:cs="Arial" w:eastAsia="Arial" w:hAnsi="Arial"/>
          <w:sz w:val="14"/>
          <w:szCs w:val="14"/>
          <w:color w:val="auto"/>
        </w:rPr>
        <w:t>Reflects the U.S. Basel III minimum required ratio plus the applicable capital conservation buffer.</w:t>
      </w:r>
    </w:p>
    <w:p>
      <w:pPr>
        <w:spacing w:after="0" w:line="28" w:lineRule="exact"/>
        <w:rPr>
          <w:rFonts w:ascii="Arial" w:cs="Arial" w:eastAsia="Arial" w:hAnsi="Arial"/>
          <w:sz w:val="8"/>
          <w:szCs w:val="8"/>
          <w:color w:val="auto"/>
        </w:rPr>
      </w:pPr>
    </w:p>
    <w:p>
      <w:pPr>
        <w:ind w:left="900" w:right="640" w:hanging="244"/>
        <w:spacing w:after="0" w:line="261" w:lineRule="auto"/>
        <w:tabs>
          <w:tab w:leader="none" w:pos="860" w:val="left"/>
        </w:tabs>
        <w:numPr>
          <w:ilvl w:val="0"/>
          <w:numId w:val="67"/>
        </w:numPr>
        <w:rPr>
          <w:rFonts w:ascii="Arial" w:cs="Arial" w:eastAsia="Arial" w:hAnsi="Arial"/>
          <w:sz w:val="8"/>
          <w:szCs w:val="8"/>
          <w:color w:val="auto"/>
        </w:rPr>
      </w:pPr>
      <w:r>
        <w:rPr>
          <w:rFonts w:ascii="Arial" w:cs="Arial" w:eastAsia="Arial" w:hAnsi="Arial"/>
          <w:sz w:val="14"/>
          <w:szCs w:val="14"/>
          <w:color w:val="auto"/>
        </w:rPr>
        <w:t>The Bank’s regulatory capital ratios also exceeded all applicable standards for the Bank to qualify as “well capitalized” under the prompt corrective action framework.</w:t>
      </w:r>
    </w:p>
    <w:p>
      <w:pPr>
        <w:ind w:left="900" w:right="380" w:hanging="244"/>
        <w:spacing w:after="0" w:line="284" w:lineRule="auto"/>
        <w:tabs>
          <w:tab w:leader="none" w:pos="860" w:val="left"/>
        </w:tabs>
        <w:numPr>
          <w:ilvl w:val="0"/>
          <w:numId w:val="67"/>
        </w:numPr>
        <w:rPr>
          <w:rFonts w:ascii="Arial" w:cs="Arial" w:eastAsia="Arial" w:hAnsi="Arial"/>
          <w:sz w:val="8"/>
          <w:szCs w:val="8"/>
          <w:color w:val="auto"/>
        </w:rPr>
      </w:pPr>
      <w:r>
        <w:rPr>
          <w:rFonts w:ascii="Arial" w:cs="Arial" w:eastAsia="Arial" w:hAnsi="Arial"/>
          <w:sz w:val="14"/>
          <w:szCs w:val="14"/>
          <w:color w:val="auto"/>
        </w:rPr>
        <w:t>For both March 31, 2025 and December 31, 2024, the actual amounts and the actual ratios include the fully phased in adjusted transition amounts discussed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Bank is chartered under the laws of the State of Utah and its deposits are insured by the FDIC. The Bank’s ability to pay dividends is subject to the laws of Utah and the regulations of the FDIC. Generally, under Utah’s industrial bank laws and regulations as well as FDIC regulations, the Bank may pay dividends from its net profits without regulatory approval if, following the payment of the dividend, the Bank’s capital and surplus would not be impaired. The Company relies on dividends from the Bank, as necessary, to enable the Company to pay any declared dividends and other payments and consummate share repurchases, as described herein. The Bank declared $100 million and $160 million in dividends to the Company for the three months ended March 31, 2025 and 2024, respectively, with the proceeds primarily used to fund share repurchase programs and stock dividends. We expect that the Bank will pay dividends to the Company as may be necessary to enable the Company to pay any declared dividends on its Series B Preferred Stock and common stock and to consummate any common share repurchases by the Company under the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34F82"/>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1"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Borrowings</w:t>
      </w:r>
    </w:p>
    <w:p>
      <w:pPr>
        <w:spacing w:after="0" w:line="104"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Outstanding borrowings consist of unsecured debt and secured borrowings issued through our term ABS program and our Secured Borrowing Facility. The issuing entities for those secured borrowings are VIEs and are consolidated for accounting purposes. The following table summarizes our borrowings at March 31, 2025 and December 31, 2024, respectively. For additional information, see Note 7, “Borrowings” in this Form 10-Q.</w:t>
      </w:r>
    </w:p>
    <w:p>
      <w:pPr>
        <w:spacing w:after="0" w:line="310" w:lineRule="exact"/>
        <w:rPr>
          <w:sz w:val="20"/>
          <w:szCs w:val="20"/>
          <w:color w:val="auto"/>
        </w:rPr>
      </w:pPr>
    </w:p>
    <w:tbl>
      <w:tblPr>
        <w:tblLayout w:type="fixed"/>
        <w:tblInd w:w="680" w:type="dxa"/>
        <w:tblCellMar>
          <w:top w:w="0" w:type="dxa"/>
          <w:left w:w="0" w:type="dxa"/>
          <w:bottom w:w="0" w:type="dxa"/>
          <w:right w:w="0" w:type="dxa"/>
        </w:tblCellMar>
      </w:tblPr>
      <w:tr>
        <w:trPr>
          <w:trHeight w:val="214"/>
        </w:trPr>
        <w:tc>
          <w:tcPr>
            <w:tcW w:w="28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44F82"/>
              </w:rPr>
              <w:t>March 31, 2025</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144F82"/>
              </w:rPr>
              <w:t>December 31, 2024</w:t>
            </w: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(Dollars in thousands)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Short-Term</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144F82"/>
              </w:rPr>
              <w:t>Long-Term</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144F82"/>
              </w:rPr>
              <w:t>Total</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Short-Term</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144F82"/>
              </w:rPr>
              <w:t>Long-Term</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144F82"/>
              </w:rPr>
              <w:t>Total</w:t>
            </w:r>
          </w:p>
        </w:tc>
        <w:tc>
          <w:tcPr>
            <w:tcW w:w="0" w:type="dxa"/>
            <w:vAlign w:val="bottom"/>
          </w:tcPr>
          <w:p>
            <w:pPr>
              <w:spacing w:after="0"/>
              <w:rPr>
                <w:sz w:val="1"/>
                <w:szCs w:val="1"/>
                <w:color w:val="auto"/>
              </w:rPr>
            </w:pPr>
          </w:p>
        </w:tc>
      </w:tr>
      <w:tr>
        <w:trPr>
          <w:trHeight w:val="210"/>
        </w:trPr>
        <w:tc>
          <w:tcPr>
            <w:tcW w:w="282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Unsecured borrowings:</w:t>
            </w:r>
          </w:p>
        </w:tc>
        <w:tc>
          <w:tcPr>
            <w:tcW w:w="12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1020" w:type="dxa"/>
            <w:vAlign w:val="bottom"/>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900" w:type="dxa"/>
            <w:vAlign w:val="bottom"/>
            <w:shd w:val="clear" w:color="auto" w:fill="EDEDEE"/>
          </w:tcPr>
          <w:p>
            <w:pPr>
              <w:spacing w:after="0"/>
              <w:rPr>
                <w:sz w:val="18"/>
                <w:szCs w:val="18"/>
                <w:color w:val="auto"/>
              </w:rPr>
            </w:pPr>
          </w:p>
        </w:tc>
        <w:tc>
          <w:tcPr>
            <w:tcW w:w="16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90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98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Borders>
              <w:bottom w:val="single" w:sz="8" w:color="EDEDEE"/>
            </w:tcBorders>
          </w:tcPr>
          <w:p>
            <w:pPr>
              <w:ind w:left="20"/>
              <w:spacing w:after="0"/>
              <w:rPr>
                <w:sz w:val="20"/>
                <w:szCs w:val="20"/>
                <w:color w:val="auto"/>
              </w:rPr>
            </w:pPr>
            <w:r>
              <w:rPr>
                <w:rFonts w:ascii="Arial" w:cs="Arial" w:eastAsia="Arial" w:hAnsi="Arial"/>
                <w:sz w:val="16"/>
                <w:szCs w:val="16"/>
                <w:color w:val="auto"/>
              </w:rPr>
              <w:t>Unsecured debt (fixed-rate)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989,528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989,528</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995,420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995,420</w:t>
            </w:r>
          </w:p>
        </w:tc>
        <w:tc>
          <w:tcPr>
            <w:tcW w:w="0" w:type="dxa"/>
            <w:vAlign w:val="bottom"/>
          </w:tcPr>
          <w:p>
            <w:pPr>
              <w:spacing w:after="0"/>
              <w:rPr>
                <w:sz w:val="1"/>
                <w:szCs w:val="1"/>
                <w:color w:val="auto"/>
              </w:rPr>
            </w:pPr>
          </w:p>
        </w:tc>
      </w:tr>
      <w:tr>
        <w:trPr>
          <w:trHeight w:val="210"/>
        </w:trPr>
        <w:tc>
          <w:tcPr>
            <w:tcW w:w="282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144F82"/>
              </w:rPr>
              <w:t>Total unsecured borrowings</w:t>
            </w:r>
          </w:p>
        </w:tc>
        <w:tc>
          <w:tcPr>
            <w:tcW w:w="120" w:type="dxa"/>
            <w:vAlign w:val="bottom"/>
            <w:tcBorders>
              <w:bottom w:val="single" w:sz="8" w:color="auto"/>
            </w:tcBorders>
            <w:shd w:val="clear" w:color="auto" w:fill="EDEDEE"/>
          </w:tcPr>
          <w:p>
            <w:pPr>
              <w:spacing w:after="0"/>
              <w:rPr>
                <w:sz w:val="18"/>
                <w:szCs w:val="18"/>
                <w:color w:val="auto"/>
              </w:rPr>
            </w:pPr>
          </w:p>
        </w:tc>
        <w:tc>
          <w:tcPr>
            <w:tcW w:w="94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DEDEE"/>
          </w:tcPr>
          <w:p>
            <w:pPr>
              <w:spacing w:after="0"/>
              <w:rPr>
                <w:sz w:val="18"/>
                <w:szCs w:val="18"/>
                <w:color w:val="auto"/>
              </w:rPr>
            </w:pPr>
          </w:p>
        </w:tc>
        <w:tc>
          <w:tcPr>
            <w:tcW w:w="1020" w:type="dxa"/>
            <w:vAlign w:val="bottom"/>
            <w:tcBorders>
              <w:bottom w:val="single" w:sz="8" w:color="auto"/>
            </w:tcBorders>
            <w:shd w:val="clear" w:color="auto" w:fill="EDEDEE"/>
          </w:tcPr>
          <w:p>
            <w:pPr>
              <w:jc w:val="right"/>
              <w:ind w:right="60"/>
              <w:spacing w:after="0"/>
              <w:rPr>
                <w:sz w:val="20"/>
                <w:szCs w:val="20"/>
                <w:color w:val="auto"/>
              </w:rPr>
            </w:pPr>
            <w:r>
              <w:rPr>
                <w:rFonts w:ascii="Arial" w:cs="Arial" w:eastAsia="Arial" w:hAnsi="Arial"/>
                <w:sz w:val="16"/>
                <w:szCs w:val="16"/>
                <w:color w:val="auto"/>
              </w:rPr>
              <w:t>989,528</w:t>
            </w:r>
          </w:p>
        </w:tc>
        <w:tc>
          <w:tcPr>
            <w:tcW w:w="240" w:type="dxa"/>
            <w:vAlign w:val="bottom"/>
            <w:tcBorders>
              <w:bottom w:val="single" w:sz="8" w:color="auto"/>
            </w:tcBorders>
            <w:shd w:val="clear" w:color="auto" w:fill="EDEDEE"/>
          </w:tcPr>
          <w:p>
            <w:pPr>
              <w:spacing w:after="0"/>
              <w:rPr>
                <w:sz w:val="18"/>
                <w:szCs w:val="18"/>
                <w:color w:val="auto"/>
              </w:rPr>
            </w:pPr>
          </w:p>
        </w:tc>
        <w:tc>
          <w:tcPr>
            <w:tcW w:w="9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989,528</w:t>
            </w:r>
          </w:p>
        </w:tc>
        <w:tc>
          <w:tcPr>
            <w:tcW w:w="160" w:type="dxa"/>
            <w:vAlign w:val="bottom"/>
            <w:tcBorders>
              <w:bottom w:val="single" w:sz="8" w:color="auto"/>
            </w:tcBorders>
            <w:shd w:val="clear" w:color="auto" w:fill="EDEDEE"/>
          </w:tcPr>
          <w:p>
            <w:pPr>
              <w:spacing w:after="0"/>
              <w:rPr>
                <w:sz w:val="18"/>
                <w:szCs w:val="18"/>
                <w:color w:val="auto"/>
              </w:rPr>
            </w:pPr>
          </w:p>
        </w:tc>
        <w:tc>
          <w:tcPr>
            <w:tcW w:w="120" w:type="dxa"/>
            <w:vAlign w:val="bottom"/>
            <w:tcBorders>
              <w:bottom w:val="single" w:sz="8" w:color="auto"/>
            </w:tcBorders>
            <w:shd w:val="clear" w:color="auto" w:fill="EDEDEE"/>
          </w:tcPr>
          <w:p>
            <w:pPr>
              <w:spacing w:after="0"/>
              <w:rPr>
                <w:sz w:val="18"/>
                <w:szCs w:val="18"/>
                <w:color w:val="auto"/>
              </w:rPr>
            </w:pPr>
          </w:p>
        </w:tc>
        <w:tc>
          <w:tcPr>
            <w:tcW w:w="90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DEDEE"/>
          </w:tcPr>
          <w:p>
            <w:pPr>
              <w:spacing w:after="0"/>
              <w:rPr>
                <w:sz w:val="18"/>
                <w:szCs w:val="18"/>
                <w:color w:val="auto"/>
              </w:rPr>
            </w:pPr>
          </w:p>
        </w:tc>
        <w:tc>
          <w:tcPr>
            <w:tcW w:w="980" w:type="dxa"/>
            <w:vAlign w:val="bottom"/>
            <w:tcBorders>
              <w:bottom w:val="single" w:sz="8" w:color="auto"/>
            </w:tcBorders>
            <w:shd w:val="clear" w:color="auto" w:fill="EDEDEE"/>
          </w:tcPr>
          <w:p>
            <w:pPr>
              <w:jc w:val="right"/>
              <w:ind w:right="20"/>
              <w:spacing w:after="0"/>
              <w:rPr>
                <w:sz w:val="20"/>
                <w:szCs w:val="20"/>
                <w:color w:val="auto"/>
              </w:rPr>
            </w:pPr>
            <w:r>
              <w:rPr>
                <w:rFonts w:ascii="Arial" w:cs="Arial" w:eastAsia="Arial" w:hAnsi="Arial"/>
                <w:sz w:val="16"/>
                <w:szCs w:val="16"/>
                <w:color w:val="auto"/>
              </w:rPr>
              <w:t>995,420</w:t>
            </w:r>
          </w:p>
        </w:tc>
        <w:tc>
          <w:tcPr>
            <w:tcW w:w="28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995,420</w:t>
            </w:r>
          </w:p>
        </w:tc>
        <w:tc>
          <w:tcPr>
            <w:tcW w:w="0" w:type="dxa"/>
            <w:vAlign w:val="bottom"/>
          </w:tcPr>
          <w:p>
            <w:pPr>
              <w:spacing w:after="0"/>
              <w:rPr>
                <w:sz w:val="1"/>
                <w:szCs w:val="1"/>
                <w:color w:val="auto"/>
              </w:rPr>
            </w:pPr>
          </w:p>
        </w:tc>
      </w:tr>
      <w:tr>
        <w:trPr>
          <w:trHeight w:val="196"/>
        </w:trPr>
        <w:tc>
          <w:tcPr>
            <w:tcW w:w="2820" w:type="dxa"/>
            <w:vAlign w:val="bottom"/>
          </w:tcPr>
          <w:p>
            <w:pPr>
              <w:ind w:left="20"/>
              <w:spacing w:after="0"/>
              <w:rPr>
                <w:sz w:val="20"/>
                <w:szCs w:val="20"/>
                <w:color w:val="auto"/>
              </w:rPr>
            </w:pPr>
            <w:r>
              <w:rPr>
                <w:rFonts w:ascii="Arial" w:cs="Arial" w:eastAsia="Arial" w:hAnsi="Arial"/>
                <w:sz w:val="16"/>
                <w:szCs w:val="16"/>
                <w:b w:val="1"/>
                <w:bCs w:val="1"/>
                <w:color w:val="144F82"/>
              </w:rPr>
              <w:t>Secured borrowings: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EDEDEE"/>
          </w:tcPr>
          <w:p>
            <w:pPr>
              <w:ind w:left="20"/>
              <w:spacing w:after="0" w:line="162" w:lineRule="exact"/>
              <w:rPr>
                <w:sz w:val="20"/>
                <w:szCs w:val="20"/>
                <w:color w:val="auto"/>
              </w:rPr>
            </w:pPr>
            <w:r>
              <w:rPr>
                <w:rFonts w:ascii="Arial" w:cs="Arial" w:eastAsia="Arial" w:hAnsi="Arial"/>
                <w:sz w:val="16"/>
                <w:szCs w:val="16"/>
                <w:color w:val="auto"/>
              </w:rPr>
              <w:t>Private Education Loan term</w:t>
            </w:r>
          </w:p>
        </w:tc>
        <w:tc>
          <w:tcPr>
            <w:tcW w:w="120" w:type="dxa"/>
            <w:vAlign w:val="bottom"/>
            <w:shd w:val="clear" w:color="auto" w:fill="EDEDEE"/>
          </w:tcPr>
          <w:p>
            <w:pPr>
              <w:spacing w:after="0"/>
              <w:rPr>
                <w:sz w:val="14"/>
                <w:szCs w:val="14"/>
                <w:color w:val="auto"/>
              </w:rPr>
            </w:pPr>
          </w:p>
        </w:tc>
        <w:tc>
          <w:tcPr>
            <w:tcW w:w="94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102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900" w:type="dxa"/>
            <w:vAlign w:val="bottom"/>
            <w:shd w:val="clear" w:color="auto" w:fill="EDEDEE"/>
          </w:tcPr>
          <w:p>
            <w:pPr>
              <w:spacing w:after="0"/>
              <w:rPr>
                <w:sz w:val="14"/>
                <w:szCs w:val="14"/>
                <w:color w:val="auto"/>
              </w:rPr>
            </w:pPr>
          </w:p>
        </w:tc>
        <w:tc>
          <w:tcPr>
            <w:tcW w:w="160" w:type="dxa"/>
            <w:vAlign w:val="bottom"/>
            <w:shd w:val="clear" w:color="auto" w:fill="EDEDEE"/>
          </w:tcPr>
          <w:p>
            <w:pPr>
              <w:spacing w:after="0"/>
              <w:rPr>
                <w:sz w:val="14"/>
                <w:szCs w:val="14"/>
                <w:color w:val="auto"/>
              </w:rPr>
            </w:pPr>
          </w:p>
        </w:tc>
        <w:tc>
          <w:tcPr>
            <w:tcW w:w="120" w:type="dxa"/>
            <w:vAlign w:val="bottom"/>
            <w:shd w:val="clear" w:color="auto" w:fill="EDEDEE"/>
          </w:tcPr>
          <w:p>
            <w:pPr>
              <w:spacing w:after="0"/>
              <w:rPr>
                <w:sz w:val="14"/>
                <w:szCs w:val="14"/>
                <w:color w:val="auto"/>
              </w:rPr>
            </w:pPr>
          </w:p>
        </w:tc>
        <w:tc>
          <w:tcPr>
            <w:tcW w:w="900" w:type="dxa"/>
            <w:vAlign w:val="bottom"/>
            <w:shd w:val="clear" w:color="auto" w:fill="EDEDEE"/>
          </w:tcPr>
          <w:p>
            <w:pPr>
              <w:spacing w:after="0"/>
              <w:rPr>
                <w:sz w:val="14"/>
                <w:szCs w:val="14"/>
                <w:color w:val="auto"/>
              </w:rPr>
            </w:pPr>
          </w:p>
        </w:tc>
        <w:tc>
          <w:tcPr>
            <w:tcW w:w="280" w:type="dxa"/>
            <w:vAlign w:val="bottom"/>
            <w:shd w:val="clear" w:color="auto" w:fill="EDEDEE"/>
          </w:tcPr>
          <w:p>
            <w:pPr>
              <w:spacing w:after="0"/>
              <w:rPr>
                <w:sz w:val="14"/>
                <w:szCs w:val="14"/>
                <w:color w:val="auto"/>
              </w:rPr>
            </w:pPr>
          </w:p>
        </w:tc>
        <w:tc>
          <w:tcPr>
            <w:tcW w:w="980" w:type="dxa"/>
            <w:vAlign w:val="bottom"/>
            <w:shd w:val="clear" w:color="auto" w:fill="EDEDEE"/>
          </w:tcPr>
          <w:p>
            <w:pPr>
              <w:spacing w:after="0"/>
              <w:rPr>
                <w:sz w:val="14"/>
                <w:szCs w:val="14"/>
                <w:color w:val="auto"/>
              </w:rPr>
            </w:pPr>
          </w:p>
        </w:tc>
        <w:tc>
          <w:tcPr>
            <w:tcW w:w="280" w:type="dxa"/>
            <w:vAlign w:val="bottom"/>
            <w:shd w:val="clear" w:color="auto" w:fill="EDEDEE"/>
          </w:tcPr>
          <w:p>
            <w:pPr>
              <w:spacing w:after="0"/>
              <w:rPr>
                <w:sz w:val="14"/>
                <w:szCs w:val="14"/>
                <w:color w:val="auto"/>
              </w:rPr>
            </w:pPr>
          </w:p>
        </w:tc>
        <w:tc>
          <w:tcPr>
            <w:tcW w:w="92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DEDEE"/>
          </w:tcPr>
          <w:p>
            <w:pPr>
              <w:ind w:left="20"/>
              <w:spacing w:after="0"/>
              <w:rPr>
                <w:sz w:val="20"/>
                <w:szCs w:val="20"/>
                <w:color w:val="auto"/>
              </w:rPr>
            </w:pPr>
            <w:r>
              <w:rPr>
                <w:rFonts w:ascii="Arial" w:cs="Arial" w:eastAsia="Arial" w:hAnsi="Arial"/>
                <w:sz w:val="16"/>
                <w:szCs w:val="16"/>
                <w:color w:val="auto"/>
              </w:rPr>
              <w:t>securitizations:</w:t>
            </w:r>
          </w:p>
        </w:tc>
        <w:tc>
          <w:tcPr>
            <w:tcW w:w="120" w:type="dxa"/>
            <w:vAlign w:val="bottom"/>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220" w:type="dxa"/>
            <w:vAlign w:val="bottom"/>
            <w:shd w:val="clear" w:color="auto" w:fill="EDEDEE"/>
          </w:tcPr>
          <w:p>
            <w:pPr>
              <w:spacing w:after="0"/>
              <w:rPr>
                <w:sz w:val="18"/>
                <w:szCs w:val="18"/>
                <w:color w:val="auto"/>
              </w:rPr>
            </w:pPr>
          </w:p>
        </w:tc>
        <w:tc>
          <w:tcPr>
            <w:tcW w:w="1020" w:type="dxa"/>
            <w:vAlign w:val="bottom"/>
            <w:shd w:val="clear" w:color="auto" w:fill="EDEDEE"/>
          </w:tcPr>
          <w:p>
            <w:pPr>
              <w:spacing w:after="0"/>
              <w:rPr>
                <w:sz w:val="18"/>
                <w:szCs w:val="18"/>
                <w:color w:val="auto"/>
              </w:rPr>
            </w:pPr>
          </w:p>
        </w:tc>
        <w:tc>
          <w:tcPr>
            <w:tcW w:w="240" w:type="dxa"/>
            <w:vAlign w:val="bottom"/>
            <w:shd w:val="clear" w:color="auto" w:fill="EDEDEE"/>
          </w:tcPr>
          <w:p>
            <w:pPr>
              <w:spacing w:after="0"/>
              <w:rPr>
                <w:sz w:val="18"/>
                <w:szCs w:val="18"/>
                <w:color w:val="auto"/>
              </w:rPr>
            </w:pPr>
          </w:p>
        </w:tc>
        <w:tc>
          <w:tcPr>
            <w:tcW w:w="900" w:type="dxa"/>
            <w:vAlign w:val="bottom"/>
            <w:shd w:val="clear" w:color="auto" w:fill="EDEDEE"/>
          </w:tcPr>
          <w:p>
            <w:pPr>
              <w:spacing w:after="0"/>
              <w:rPr>
                <w:sz w:val="18"/>
                <w:szCs w:val="18"/>
                <w:color w:val="auto"/>
              </w:rPr>
            </w:pPr>
          </w:p>
        </w:tc>
        <w:tc>
          <w:tcPr>
            <w:tcW w:w="160" w:type="dxa"/>
            <w:vAlign w:val="bottom"/>
            <w:shd w:val="clear" w:color="auto" w:fill="EDEDEE"/>
          </w:tcPr>
          <w:p>
            <w:pPr>
              <w:spacing w:after="0"/>
              <w:rPr>
                <w:sz w:val="18"/>
                <w:szCs w:val="18"/>
                <w:color w:val="auto"/>
              </w:rPr>
            </w:pPr>
          </w:p>
        </w:tc>
        <w:tc>
          <w:tcPr>
            <w:tcW w:w="120" w:type="dxa"/>
            <w:vAlign w:val="bottom"/>
            <w:shd w:val="clear" w:color="auto" w:fill="EDEDEE"/>
          </w:tcPr>
          <w:p>
            <w:pPr>
              <w:spacing w:after="0"/>
              <w:rPr>
                <w:sz w:val="18"/>
                <w:szCs w:val="18"/>
                <w:color w:val="auto"/>
              </w:rPr>
            </w:pPr>
          </w:p>
        </w:tc>
        <w:tc>
          <w:tcPr>
            <w:tcW w:w="90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980" w:type="dxa"/>
            <w:vAlign w:val="bottom"/>
            <w:shd w:val="clear" w:color="auto" w:fill="EDEDEE"/>
          </w:tcPr>
          <w:p>
            <w:pPr>
              <w:spacing w:after="0"/>
              <w:rPr>
                <w:sz w:val="18"/>
                <w:szCs w:val="18"/>
                <w:color w:val="auto"/>
              </w:rPr>
            </w:pPr>
          </w:p>
        </w:tc>
        <w:tc>
          <w:tcPr>
            <w:tcW w:w="280" w:type="dxa"/>
            <w:vAlign w:val="bottom"/>
            <w:shd w:val="clear" w:color="auto" w:fill="EDEDEE"/>
          </w:tcPr>
          <w:p>
            <w:pPr>
              <w:spacing w:after="0"/>
              <w:rPr>
                <w:sz w:val="18"/>
                <w:szCs w:val="18"/>
                <w:color w:val="auto"/>
              </w:rPr>
            </w:pPr>
          </w:p>
        </w:tc>
        <w:tc>
          <w:tcPr>
            <w:tcW w:w="92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40"/>
              <w:spacing w:after="0"/>
              <w:rPr>
                <w:sz w:val="20"/>
                <w:szCs w:val="20"/>
                <w:color w:val="auto"/>
              </w:rPr>
            </w:pPr>
            <w:r>
              <w:rPr>
                <w:rFonts w:ascii="Arial" w:cs="Arial" w:eastAsia="Arial" w:hAnsi="Arial"/>
                <w:sz w:val="16"/>
                <w:szCs w:val="16"/>
                <w:color w:val="auto"/>
              </w:rPr>
              <w:t>Fixed-rate</w:t>
            </w:r>
          </w:p>
        </w:tc>
        <w:tc>
          <w:tcPr>
            <w:tcW w:w="120" w:type="dxa"/>
            <w:vAlign w:val="bottom"/>
          </w:tcPr>
          <w:p>
            <w:pPr>
              <w:spacing w:after="0"/>
              <w:rPr>
                <w:sz w:val="18"/>
                <w:szCs w:val="18"/>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4,389,633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4,389,633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4,617,743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4,617,743</w:t>
            </w:r>
          </w:p>
        </w:tc>
        <w:tc>
          <w:tcPr>
            <w:tcW w:w="0" w:type="dxa"/>
            <w:vAlign w:val="bottom"/>
          </w:tcPr>
          <w:p>
            <w:pPr>
              <w:spacing w:after="0"/>
              <w:rPr>
                <w:sz w:val="1"/>
                <w:szCs w:val="1"/>
                <w:color w:val="auto"/>
              </w:rPr>
            </w:pPr>
          </w:p>
        </w:tc>
      </w:tr>
      <w:tr>
        <w:trPr>
          <w:trHeight w:val="217"/>
        </w:trPr>
        <w:tc>
          <w:tcPr>
            <w:tcW w:w="2820" w:type="dxa"/>
            <w:vAlign w:val="bottom"/>
            <w:shd w:val="clear" w:color="auto" w:fill="EDEDEE"/>
          </w:tcPr>
          <w:p>
            <w:pPr>
              <w:ind w:left="140"/>
              <w:spacing w:after="0"/>
              <w:rPr>
                <w:sz w:val="20"/>
                <w:szCs w:val="20"/>
                <w:color w:val="auto"/>
              </w:rPr>
            </w:pPr>
            <w:r>
              <w:rPr>
                <w:rFonts w:ascii="Arial" w:cs="Arial" w:eastAsia="Arial" w:hAnsi="Arial"/>
                <w:sz w:val="16"/>
                <w:szCs w:val="16"/>
                <w:color w:val="auto"/>
              </w:rPr>
              <w:t>Variable-rate</w:t>
            </w:r>
          </w:p>
        </w:tc>
        <w:tc>
          <w:tcPr>
            <w:tcW w:w="120" w:type="dxa"/>
            <w:vAlign w:val="bottom"/>
            <w:tcBorders>
              <w:bottom w:val="single" w:sz="8" w:color="auto"/>
            </w:tcBorders>
            <w:shd w:val="clear" w:color="auto" w:fill="EDEDEE"/>
          </w:tcPr>
          <w:p>
            <w:pPr>
              <w:spacing w:after="0"/>
              <w:rPr>
                <w:sz w:val="18"/>
                <w:szCs w:val="18"/>
                <w:color w:val="auto"/>
              </w:rPr>
            </w:pPr>
          </w:p>
        </w:tc>
        <w:tc>
          <w:tcPr>
            <w:tcW w:w="94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DEDEE"/>
          </w:tcPr>
          <w:p>
            <w:pPr>
              <w:spacing w:after="0"/>
              <w:rPr>
                <w:sz w:val="18"/>
                <w:szCs w:val="18"/>
                <w:color w:val="auto"/>
              </w:rPr>
            </w:pPr>
          </w:p>
        </w:tc>
        <w:tc>
          <w:tcPr>
            <w:tcW w:w="1020" w:type="dxa"/>
            <w:vAlign w:val="bottom"/>
            <w:tcBorders>
              <w:bottom w:val="single" w:sz="8" w:color="auto"/>
            </w:tcBorders>
            <w:shd w:val="clear" w:color="auto" w:fill="EDEDEE"/>
          </w:tcPr>
          <w:p>
            <w:pPr>
              <w:jc w:val="right"/>
              <w:ind w:right="60"/>
              <w:spacing w:after="0"/>
              <w:rPr>
                <w:sz w:val="20"/>
                <w:szCs w:val="20"/>
                <w:color w:val="auto"/>
              </w:rPr>
            </w:pPr>
            <w:r>
              <w:rPr>
                <w:rFonts w:ascii="Arial" w:cs="Arial" w:eastAsia="Arial" w:hAnsi="Arial"/>
                <w:sz w:val="16"/>
                <w:szCs w:val="16"/>
                <w:color w:val="auto"/>
              </w:rPr>
              <w:t>768,312</w:t>
            </w:r>
          </w:p>
        </w:tc>
        <w:tc>
          <w:tcPr>
            <w:tcW w:w="240" w:type="dxa"/>
            <w:vAlign w:val="bottom"/>
            <w:tcBorders>
              <w:bottom w:val="single" w:sz="8" w:color="auto"/>
            </w:tcBorders>
            <w:shd w:val="clear" w:color="auto" w:fill="EDEDEE"/>
          </w:tcPr>
          <w:p>
            <w:pPr>
              <w:spacing w:after="0"/>
              <w:rPr>
                <w:sz w:val="18"/>
                <w:szCs w:val="18"/>
                <w:color w:val="auto"/>
              </w:rPr>
            </w:pPr>
          </w:p>
        </w:tc>
        <w:tc>
          <w:tcPr>
            <w:tcW w:w="9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768,312</w:t>
            </w:r>
          </w:p>
        </w:tc>
        <w:tc>
          <w:tcPr>
            <w:tcW w:w="160" w:type="dxa"/>
            <w:vAlign w:val="bottom"/>
            <w:tcBorders>
              <w:bottom w:val="single" w:sz="8" w:color="auto"/>
            </w:tcBorders>
            <w:shd w:val="clear" w:color="auto" w:fill="EDEDEE"/>
          </w:tcPr>
          <w:p>
            <w:pPr>
              <w:spacing w:after="0"/>
              <w:rPr>
                <w:sz w:val="18"/>
                <w:szCs w:val="18"/>
                <w:color w:val="auto"/>
              </w:rPr>
            </w:pPr>
          </w:p>
        </w:tc>
        <w:tc>
          <w:tcPr>
            <w:tcW w:w="120" w:type="dxa"/>
            <w:vAlign w:val="bottom"/>
            <w:tcBorders>
              <w:bottom w:val="single" w:sz="8" w:color="auto"/>
            </w:tcBorders>
            <w:shd w:val="clear" w:color="auto" w:fill="EDEDEE"/>
          </w:tcPr>
          <w:p>
            <w:pPr>
              <w:spacing w:after="0"/>
              <w:rPr>
                <w:sz w:val="18"/>
                <w:szCs w:val="18"/>
                <w:color w:val="auto"/>
              </w:rPr>
            </w:pPr>
          </w:p>
        </w:tc>
        <w:tc>
          <w:tcPr>
            <w:tcW w:w="90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DEDEE"/>
          </w:tcPr>
          <w:p>
            <w:pPr>
              <w:spacing w:after="0"/>
              <w:rPr>
                <w:sz w:val="18"/>
                <w:szCs w:val="18"/>
                <w:color w:val="auto"/>
              </w:rPr>
            </w:pPr>
          </w:p>
        </w:tc>
        <w:tc>
          <w:tcPr>
            <w:tcW w:w="980" w:type="dxa"/>
            <w:vAlign w:val="bottom"/>
            <w:tcBorders>
              <w:bottom w:val="single" w:sz="8" w:color="auto"/>
            </w:tcBorders>
            <w:shd w:val="clear" w:color="auto" w:fill="EDEDEE"/>
          </w:tcPr>
          <w:p>
            <w:pPr>
              <w:jc w:val="right"/>
              <w:ind w:right="20"/>
              <w:spacing w:after="0"/>
              <w:rPr>
                <w:sz w:val="20"/>
                <w:szCs w:val="20"/>
                <w:color w:val="auto"/>
              </w:rPr>
            </w:pPr>
            <w:r>
              <w:rPr>
                <w:rFonts w:ascii="Arial" w:cs="Arial" w:eastAsia="Arial" w:hAnsi="Arial"/>
                <w:sz w:val="16"/>
                <w:szCs w:val="16"/>
                <w:color w:val="auto"/>
              </w:rPr>
              <w:t>827,182</w:t>
            </w:r>
          </w:p>
        </w:tc>
        <w:tc>
          <w:tcPr>
            <w:tcW w:w="28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827,182</w:t>
            </w:r>
          </w:p>
        </w:tc>
        <w:tc>
          <w:tcPr>
            <w:tcW w:w="0" w:type="dxa"/>
            <w:vAlign w:val="bottom"/>
          </w:tcPr>
          <w:p>
            <w:pPr>
              <w:spacing w:after="0"/>
              <w:rPr>
                <w:sz w:val="1"/>
                <w:szCs w:val="1"/>
                <w:color w:val="auto"/>
              </w:rPr>
            </w:pPr>
          </w:p>
        </w:tc>
      </w:tr>
      <w:tr>
        <w:trPr>
          <w:trHeight w:val="142"/>
        </w:trPr>
        <w:tc>
          <w:tcPr>
            <w:tcW w:w="2820" w:type="dxa"/>
            <w:vAlign w:val="bottom"/>
          </w:tcPr>
          <w:p>
            <w:pPr>
              <w:ind w:left="140"/>
              <w:spacing w:after="0" w:line="142" w:lineRule="exact"/>
              <w:rPr>
                <w:sz w:val="20"/>
                <w:szCs w:val="20"/>
                <w:color w:val="auto"/>
              </w:rPr>
            </w:pPr>
            <w:r>
              <w:rPr>
                <w:rFonts w:ascii="Arial" w:cs="Arial" w:eastAsia="Arial" w:hAnsi="Arial"/>
                <w:sz w:val="16"/>
                <w:szCs w:val="16"/>
                <w:color w:val="auto"/>
              </w:rPr>
              <w:t>Total Private Education Loan term</w:t>
            </w:r>
          </w:p>
        </w:tc>
        <w:tc>
          <w:tcPr>
            <w:tcW w:w="120" w:type="dxa"/>
            <w:vAlign w:val="bottom"/>
          </w:tcPr>
          <w:p>
            <w:pPr>
              <w:spacing w:after="0"/>
              <w:rPr>
                <w:sz w:val="12"/>
                <w:szCs w:val="12"/>
                <w:color w:val="auto"/>
              </w:rPr>
            </w:pPr>
          </w:p>
        </w:tc>
        <w:tc>
          <w:tcPr>
            <w:tcW w:w="94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color w:val="auto"/>
              </w:rPr>
              <w:t>5,157,945</w:t>
            </w:r>
          </w:p>
        </w:tc>
        <w:tc>
          <w:tcPr>
            <w:tcW w:w="2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5,157,945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2"/>
                <w:szCs w:val="12"/>
                <w:color w:val="auto"/>
              </w:rPr>
            </w:pPr>
          </w:p>
        </w:tc>
        <w:tc>
          <w:tcPr>
            <w:tcW w:w="980" w:type="dxa"/>
            <w:vAlign w:val="bottom"/>
            <w:vMerge w:val="restart"/>
          </w:tcPr>
          <w:p>
            <w:pPr>
              <w:jc w:val="right"/>
              <w:ind w:right="20"/>
              <w:spacing w:after="0"/>
              <w:rPr>
                <w:sz w:val="20"/>
                <w:szCs w:val="20"/>
                <w:color w:val="auto"/>
              </w:rPr>
            </w:pPr>
            <w:r>
              <w:rPr>
                <w:rFonts w:ascii="Arial" w:cs="Arial" w:eastAsia="Arial" w:hAnsi="Arial"/>
                <w:sz w:val="16"/>
                <w:szCs w:val="16"/>
                <w:color w:val="auto"/>
              </w:rPr>
              <w:t>5,444,925</w:t>
            </w: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5,444,925</w:t>
            </w:r>
          </w:p>
        </w:tc>
        <w:tc>
          <w:tcPr>
            <w:tcW w:w="0" w:type="dxa"/>
            <w:vAlign w:val="bottom"/>
          </w:tcPr>
          <w:p>
            <w:pPr>
              <w:spacing w:after="0"/>
              <w:rPr>
                <w:sz w:val="1"/>
                <w:szCs w:val="1"/>
                <w:color w:val="auto"/>
              </w:rPr>
            </w:pPr>
          </w:p>
        </w:tc>
      </w:tr>
      <w:tr>
        <w:trPr>
          <w:trHeight w:val="215"/>
        </w:trPr>
        <w:tc>
          <w:tcPr>
            <w:tcW w:w="2820" w:type="dxa"/>
            <w:vAlign w:val="bottom"/>
          </w:tcPr>
          <w:p>
            <w:pPr>
              <w:ind w:left="140"/>
              <w:spacing w:after="0"/>
              <w:rPr>
                <w:sz w:val="20"/>
                <w:szCs w:val="20"/>
                <w:color w:val="auto"/>
              </w:rPr>
            </w:pPr>
            <w:r>
              <w:rPr>
                <w:rFonts w:ascii="Arial" w:cs="Arial" w:eastAsia="Arial" w:hAnsi="Arial"/>
                <w:sz w:val="16"/>
                <w:szCs w:val="16"/>
                <w:color w:val="auto"/>
              </w:rPr>
              <w:t>securitizations</w:t>
            </w: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20" w:type="dxa"/>
            <w:vAlign w:val="bottom"/>
            <w:shd w:val="clear" w:color="auto" w:fill="EDEDEE"/>
          </w:tcPr>
          <w:p>
            <w:pPr>
              <w:ind w:left="20"/>
              <w:spacing w:after="0"/>
              <w:rPr>
                <w:sz w:val="20"/>
                <w:szCs w:val="20"/>
                <w:color w:val="auto"/>
              </w:rPr>
            </w:pPr>
            <w:r>
              <w:rPr>
                <w:rFonts w:ascii="Arial" w:cs="Arial" w:eastAsia="Arial" w:hAnsi="Arial"/>
                <w:sz w:val="16"/>
                <w:szCs w:val="16"/>
                <w:color w:val="auto"/>
              </w:rPr>
              <w:t>Secured Borrowing Facility</w:t>
            </w:r>
          </w:p>
        </w:tc>
        <w:tc>
          <w:tcPr>
            <w:tcW w:w="120" w:type="dxa"/>
            <w:vAlign w:val="bottom"/>
            <w:tcBorders>
              <w:bottom w:val="single" w:sz="8" w:color="auto"/>
            </w:tcBorders>
            <w:shd w:val="clear" w:color="auto" w:fill="EDEDEE"/>
          </w:tcPr>
          <w:p>
            <w:pPr>
              <w:spacing w:after="0"/>
              <w:rPr>
                <w:sz w:val="18"/>
                <w:szCs w:val="18"/>
                <w:color w:val="auto"/>
              </w:rPr>
            </w:pPr>
          </w:p>
        </w:tc>
        <w:tc>
          <w:tcPr>
            <w:tcW w:w="94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DEDEE"/>
          </w:tcPr>
          <w:p>
            <w:pPr>
              <w:spacing w:after="0"/>
              <w:rPr>
                <w:sz w:val="18"/>
                <w:szCs w:val="18"/>
                <w:color w:val="auto"/>
              </w:rPr>
            </w:pPr>
          </w:p>
        </w:tc>
        <w:tc>
          <w:tcPr>
            <w:tcW w:w="1020" w:type="dxa"/>
            <w:vAlign w:val="bottom"/>
            <w:tcBorders>
              <w:bottom w:val="single" w:sz="8" w:color="auto"/>
            </w:tcBorders>
            <w:shd w:val="clear" w:color="auto" w:fill="EDEDEE"/>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DEDEE"/>
          </w:tcPr>
          <w:p>
            <w:pPr>
              <w:spacing w:after="0"/>
              <w:rPr>
                <w:sz w:val="18"/>
                <w:szCs w:val="18"/>
                <w:color w:val="auto"/>
              </w:rPr>
            </w:pPr>
          </w:p>
        </w:tc>
        <w:tc>
          <w:tcPr>
            <w:tcW w:w="1060" w:type="dxa"/>
            <w:vAlign w:val="bottom"/>
            <w:tcBorders>
              <w:bottom w:val="single" w:sz="8" w:color="auto"/>
            </w:tcBorders>
            <w:gridSpan w:val="2"/>
            <w:shd w:val="clear" w:color="auto" w:fill="EDEDEE"/>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EDEDEE"/>
          </w:tcPr>
          <w:p>
            <w:pPr>
              <w:spacing w:after="0"/>
              <w:rPr>
                <w:sz w:val="18"/>
                <w:szCs w:val="18"/>
                <w:color w:val="auto"/>
              </w:rPr>
            </w:pPr>
          </w:p>
        </w:tc>
        <w:tc>
          <w:tcPr>
            <w:tcW w:w="90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DEDEE"/>
          </w:tcPr>
          <w:p>
            <w:pPr>
              <w:spacing w:after="0"/>
              <w:rPr>
                <w:sz w:val="18"/>
                <w:szCs w:val="18"/>
                <w:color w:val="auto"/>
              </w:rPr>
            </w:pPr>
          </w:p>
        </w:tc>
        <w:tc>
          <w:tcPr>
            <w:tcW w:w="980" w:type="dxa"/>
            <w:vAlign w:val="bottom"/>
            <w:tcBorders>
              <w:bottom w:val="single" w:sz="8" w:color="auto"/>
            </w:tcBorders>
            <w:shd w:val="clear" w:color="auto" w:fill="EDEDEE"/>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DEDEE"/>
          </w:tcPr>
          <w:p>
            <w:pPr>
              <w:spacing w:after="0"/>
              <w:rPr>
                <w:sz w:val="18"/>
                <w:szCs w:val="18"/>
                <w:color w:val="auto"/>
              </w:rPr>
            </w:pP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EDEDEE"/>
            </w:tcBorders>
          </w:tcPr>
          <w:p>
            <w:pPr>
              <w:ind w:left="20"/>
              <w:spacing w:after="0"/>
              <w:rPr>
                <w:sz w:val="20"/>
                <w:szCs w:val="20"/>
                <w:color w:val="auto"/>
              </w:rPr>
            </w:pPr>
            <w:r>
              <w:rPr>
                <w:rFonts w:ascii="Arial" w:cs="Arial" w:eastAsia="Arial" w:hAnsi="Arial"/>
                <w:sz w:val="16"/>
                <w:szCs w:val="16"/>
                <w:b w:val="1"/>
                <w:bCs w:val="1"/>
                <w:color w:val="144F82"/>
              </w:rPr>
              <w:t>Total secured borrowings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5,157,945</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5,157,945</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5,444,925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5,444,925</w:t>
            </w:r>
          </w:p>
        </w:tc>
        <w:tc>
          <w:tcPr>
            <w:tcW w:w="0" w:type="dxa"/>
            <w:vAlign w:val="bottom"/>
          </w:tcPr>
          <w:p>
            <w:pPr>
              <w:spacing w:after="0"/>
              <w:rPr>
                <w:sz w:val="1"/>
                <w:szCs w:val="1"/>
                <w:color w:val="auto"/>
              </w:rPr>
            </w:pPr>
          </w:p>
        </w:tc>
      </w:tr>
      <w:tr>
        <w:trPr>
          <w:trHeight w:val="234"/>
        </w:trPr>
        <w:tc>
          <w:tcPr>
            <w:tcW w:w="28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b w:val="1"/>
                <w:bCs w:val="1"/>
                <w:color w:val="144F82"/>
              </w:rPr>
              <w:t>Total</w:t>
            </w: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DEDEE"/>
          </w:tcPr>
          <w:p>
            <w:pPr>
              <w:jc w:val="right"/>
              <w:ind w:right="60"/>
              <w:spacing w:after="0"/>
              <w:rPr>
                <w:sz w:val="20"/>
                <w:szCs w:val="20"/>
                <w:color w:val="auto"/>
              </w:rPr>
            </w:pPr>
            <w:r>
              <w:rPr>
                <w:rFonts w:ascii="Arial" w:cs="Arial" w:eastAsia="Arial" w:hAnsi="Arial"/>
                <w:sz w:val="16"/>
                <w:szCs w:val="16"/>
                <w:color w:val="auto"/>
              </w:rPr>
              <w:t>6,147,473</w:t>
            </w:r>
          </w:p>
        </w:tc>
        <w:tc>
          <w:tcPr>
            <w:tcW w:w="2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6,147,473</w:t>
            </w:r>
          </w:p>
        </w:tc>
        <w:tc>
          <w:tcPr>
            <w:tcW w:w="160" w:type="dxa"/>
            <w:vAlign w:val="bottom"/>
            <w:tcBorders>
              <w:bottom w:val="single" w:sz="8" w:color="auto"/>
            </w:tcBorders>
            <w:shd w:val="clear" w:color="auto" w:fill="EDEDEE"/>
          </w:tcPr>
          <w:p>
            <w:pPr>
              <w:spacing w:after="0"/>
              <w:rPr>
                <w:sz w:val="19"/>
                <w:szCs w:val="19"/>
                <w:color w:val="auto"/>
              </w:rPr>
            </w:pPr>
          </w:p>
        </w:tc>
        <w:tc>
          <w:tcPr>
            <w:tcW w:w="1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DEDEE"/>
          </w:tcPr>
          <w:p>
            <w:pPr>
              <w:ind w:left="6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DEDEE"/>
          </w:tcPr>
          <w:p>
            <w:pPr>
              <w:jc w:val="right"/>
              <w:ind w:right="20"/>
              <w:spacing w:after="0"/>
              <w:rPr>
                <w:sz w:val="20"/>
                <w:szCs w:val="20"/>
                <w:color w:val="auto"/>
              </w:rPr>
            </w:pPr>
            <w:r>
              <w:rPr>
                <w:rFonts w:ascii="Arial" w:cs="Arial" w:eastAsia="Arial" w:hAnsi="Arial"/>
                <w:sz w:val="16"/>
                <w:szCs w:val="16"/>
                <w:color w:val="auto"/>
              </w:rPr>
              <w:t>6,440,345</w:t>
            </w:r>
          </w:p>
        </w:tc>
        <w:tc>
          <w:tcPr>
            <w:tcW w:w="280" w:type="dxa"/>
            <w:vAlign w:val="bottom"/>
            <w:tcBorders>
              <w:bottom w:val="single" w:sz="8" w:color="auto"/>
            </w:tcBorders>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6,440,345</w:t>
            </w:r>
          </w:p>
        </w:tc>
        <w:tc>
          <w:tcPr>
            <w:tcW w:w="0" w:type="dxa"/>
            <w:vAlign w:val="bottom"/>
          </w:tcPr>
          <w:p>
            <w:pPr>
              <w:spacing w:after="0"/>
              <w:rPr>
                <w:sz w:val="1"/>
                <w:szCs w:val="1"/>
                <w:color w:val="auto"/>
              </w:rPr>
            </w:pPr>
          </w:p>
        </w:tc>
      </w:tr>
      <w:tr>
        <w:trPr>
          <w:trHeight w:val="20"/>
        </w:trPr>
        <w:tc>
          <w:tcPr>
            <w:tcW w:w="2820" w:type="dxa"/>
            <w:vAlign w:val="bottom"/>
            <w:tcBorders>
              <w:top w:val="single" w:sz="8" w:color="EDEDEE"/>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940" w:type="dxa"/>
            <w:vAlign w:val="bottom"/>
            <w:tcBorders>
              <w:top w:val="single" w:sz="8" w:color="EDEDEE"/>
              <w:bottom w:val="single" w:sz="8" w:color="auto"/>
            </w:tcBorders>
          </w:tcPr>
          <w:p>
            <w:pPr>
              <w:spacing w:after="0" w:line="20" w:lineRule="exact"/>
              <w:rPr>
                <w:sz w:val="1"/>
                <w:szCs w:val="1"/>
                <w:color w:val="auto"/>
              </w:rPr>
            </w:pPr>
          </w:p>
        </w:tc>
        <w:tc>
          <w:tcPr>
            <w:tcW w:w="220" w:type="dxa"/>
            <w:vAlign w:val="bottom"/>
            <w:tcBorders>
              <w:top w:val="single" w:sz="8" w:color="EDEDEE"/>
              <w:bottom w:val="single" w:sz="8" w:color="auto"/>
            </w:tcBorders>
          </w:tcPr>
          <w:p>
            <w:pPr>
              <w:spacing w:after="0" w:line="20" w:lineRule="exact"/>
              <w:rPr>
                <w:sz w:val="1"/>
                <w:szCs w:val="1"/>
                <w:color w:val="auto"/>
              </w:rPr>
            </w:pPr>
          </w:p>
        </w:tc>
        <w:tc>
          <w:tcPr>
            <w:tcW w:w="1020" w:type="dxa"/>
            <w:vAlign w:val="bottom"/>
            <w:tcBorders>
              <w:top w:val="single" w:sz="8" w:color="EDEDEE"/>
              <w:bottom w:val="single" w:sz="8" w:color="auto"/>
            </w:tcBorders>
          </w:tcPr>
          <w:p>
            <w:pPr>
              <w:spacing w:after="0" w:line="20" w:lineRule="exact"/>
              <w:rPr>
                <w:sz w:val="1"/>
                <w:szCs w:val="1"/>
                <w:color w:val="auto"/>
              </w:rPr>
            </w:pPr>
          </w:p>
        </w:tc>
        <w:tc>
          <w:tcPr>
            <w:tcW w:w="24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160" w:type="dxa"/>
            <w:vAlign w:val="bottom"/>
            <w:tcBorders>
              <w:top w:val="single" w:sz="8" w:color="EDEDEE"/>
              <w:bottom w:val="single" w:sz="8" w:color="auto"/>
            </w:tcBorders>
          </w:tcPr>
          <w:p>
            <w:pPr>
              <w:spacing w:after="0" w:line="20" w:lineRule="exact"/>
              <w:rPr>
                <w:sz w:val="1"/>
                <w:szCs w:val="1"/>
                <w:color w:val="auto"/>
              </w:rPr>
            </w:pPr>
          </w:p>
        </w:tc>
        <w:tc>
          <w:tcPr>
            <w:tcW w:w="120" w:type="dxa"/>
            <w:vAlign w:val="bottom"/>
            <w:tcBorders>
              <w:top w:val="single" w:sz="8" w:color="EDEDEE"/>
              <w:bottom w:val="single" w:sz="8" w:color="auto"/>
            </w:tcBorders>
          </w:tcPr>
          <w:p>
            <w:pPr>
              <w:spacing w:after="0" w:line="20" w:lineRule="exact"/>
              <w:rPr>
                <w:sz w:val="1"/>
                <w:szCs w:val="1"/>
                <w:color w:val="auto"/>
              </w:rPr>
            </w:pPr>
          </w:p>
        </w:tc>
        <w:tc>
          <w:tcPr>
            <w:tcW w:w="90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980" w:type="dxa"/>
            <w:vAlign w:val="bottom"/>
            <w:tcBorders>
              <w:top w:val="single" w:sz="8" w:color="EDEDEE"/>
              <w:bottom w:val="single" w:sz="8" w:color="auto"/>
            </w:tcBorders>
          </w:tcPr>
          <w:p>
            <w:pPr>
              <w:spacing w:after="0" w:line="20" w:lineRule="exact"/>
              <w:rPr>
                <w:sz w:val="1"/>
                <w:szCs w:val="1"/>
                <w:color w:val="auto"/>
              </w:rPr>
            </w:pPr>
          </w:p>
        </w:tc>
        <w:tc>
          <w:tcPr>
            <w:tcW w:w="280" w:type="dxa"/>
            <w:vAlign w:val="bottom"/>
            <w:tcBorders>
              <w:top w:val="single" w:sz="8" w:color="EDEDEE"/>
              <w:bottom w:val="single" w:sz="8" w:color="auto"/>
            </w:tcBorders>
          </w:tcPr>
          <w:p>
            <w:pPr>
              <w:spacing w:after="0" w:line="20" w:lineRule="exact"/>
              <w:rPr>
                <w:sz w:val="1"/>
                <w:szCs w:val="1"/>
                <w:color w:val="auto"/>
              </w:rPr>
            </w:pPr>
          </w:p>
        </w:tc>
        <w:tc>
          <w:tcPr>
            <w:tcW w:w="920" w:type="dxa"/>
            <w:vAlign w:val="bottom"/>
            <w:tcBorders>
              <w:top w:val="single" w:sz="8" w:color="EDED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10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On June 14, 2024, we amended our $2 billion maximum financing Secured Borrowing Facility to extend the maturity. We hold 100 percent of the residual interest in the Secured Borrowing Facility trust. The amendment extended the revolving period, during which we may borrow, repay, and reborrow funds, until June 13, 2025. The scheduled amortization period, during which amounts outstanding under the Secured Borrowing Facility must be repaid, ends on June 13, 2026 (or earlier, if certain material adverse events occur). The one-year revolving period plus the one-year amortization period results in a contractual maturity that is two years from the date of inception or renewal; however, we classify advances under our Secured Borrowing Facility as short-term borrowings because it is our intention to repay those advances within one year. At both March 31, 2025, and December 31, 2024, there were no outstanding short-term borrowings under the Secured Borrowing Facility.</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Borrowing Sources</w:t>
      </w:r>
    </w:p>
    <w:p>
      <w:pPr>
        <w:spacing w:after="0" w:line="90" w:lineRule="exact"/>
        <w:rPr>
          <w:sz w:val="20"/>
          <w:szCs w:val="20"/>
          <w:color w:val="auto"/>
        </w:rPr>
      </w:pPr>
    </w:p>
    <w:p>
      <w:pPr>
        <w:ind w:firstLine="445"/>
        <w:spacing w:after="0" w:line="291" w:lineRule="auto"/>
        <w:rPr>
          <w:sz w:val="20"/>
          <w:szCs w:val="20"/>
          <w:color w:val="auto"/>
        </w:rPr>
      </w:pPr>
      <w:r>
        <w:rPr>
          <w:rFonts w:ascii="Arial" w:cs="Arial" w:eastAsia="Arial" w:hAnsi="Arial"/>
          <w:sz w:val="17"/>
          <w:szCs w:val="17"/>
          <w:color w:val="auto"/>
        </w:rPr>
        <w:t>We maintain discretionary uncommitted Federal Funds lines of credit with various correspondent banks, which totaled $125 million at March 31, 2025. The interest rate we are charged on these lines of credit is priced at Fed Funds plus a spread at the time of borrowing, and is payable daily. We did not utilize these lines of credit in the three months ended March 31, 2025, nor in the year ended December 31, 2024.</w:t>
      </w:r>
    </w:p>
    <w:p>
      <w:pPr>
        <w:spacing w:after="0" w:line="31"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We established an account at the FRB to meet eligibility requirements for access to the Primary Credit borrowing facility at the FRB’s Window. The Primary Credit borrowing facility is a lending program available to depository institutions that are in generally sound financial condition. All borrowings at the Window must be fully collateralized. We can pledge asset-backed and mortgage-backed securities, as well as Private Education Loans, to the FRB as collateral for borrowings at the Window. Generally, collateral value is assigned based on the estimated fair value of the pledged assets. At March 31, 2025 and December 31, 2024, the value of our pledged collateral at the FRB totaled $2.5 billion and $ 2.2 billion, respectively. The interest rate charged to us is the discount rate set by the FRB. We did not utilize this facility in the three months ended March 31, 2025, nor in the year ended December 31,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Loan Commitments</w:t>
      </w:r>
    </w:p>
    <w:p>
      <w:pPr>
        <w:spacing w:after="0" w:line="104" w:lineRule="exact"/>
        <w:rPr>
          <w:sz w:val="20"/>
          <w:szCs w:val="20"/>
          <w:color w:val="auto"/>
        </w:rPr>
      </w:pPr>
    </w:p>
    <w:p>
      <w:pPr>
        <w:jc w:val="both"/>
        <w:ind w:right="40" w:firstLine="445"/>
        <w:spacing w:after="0" w:line="268" w:lineRule="auto"/>
        <w:rPr>
          <w:sz w:val="20"/>
          <w:szCs w:val="20"/>
          <w:color w:val="auto"/>
        </w:rPr>
      </w:pPr>
      <w:r>
        <w:rPr>
          <w:rFonts w:ascii="Arial" w:cs="Arial" w:eastAsia="Arial" w:hAnsi="Arial"/>
          <w:sz w:val="18"/>
          <w:szCs w:val="18"/>
          <w:color w:val="auto"/>
        </w:rPr>
        <w:t>When we approve a Private Education Loan at the beginning of an academic year, that approval may cover the borrowing for the entire academic year. As such, we do not always disburse the full amount of the loan at the time of such approval, but instead have a commitment to fund a portion of the loan at a later date (usually at the start of the second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44F82"/>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71" w:name="page72"/>
    <w:bookmarkEnd w:id="71"/>
    <w:p>
      <w:pPr>
        <w:ind w:right="260"/>
        <w:spacing w:after="0" w:line="260" w:lineRule="auto"/>
        <w:rPr>
          <w:sz w:val="20"/>
          <w:szCs w:val="20"/>
          <w:color w:val="auto"/>
        </w:rPr>
      </w:pPr>
      <w:r>
        <w:rPr>
          <w:rFonts w:ascii="Arial" w:cs="Arial" w:eastAsia="Arial" w:hAnsi="Arial"/>
          <w:sz w:val="18"/>
          <w:szCs w:val="18"/>
          <w:color w:val="auto"/>
        </w:rPr>
        <w:t>semester or subsequent trimesters). We estimate expected credit losses over the contractual period in which we are exposed to credit risk via a contractual obligation to extend credit, unless that obligation is unconditionally cancellable by us. At March 31, 2025, we had</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$584 million of outstanding contractual loan commitments that we expect to fund during the remainder of the 2024/2025 academic year. At March 31, 2025, we had a $24 million reserve recorded in “Other Liabilities” to cover lifetime expected credit losses on the unfunded commitments. See Note 2, “Significant Accounting Policies — Allowance for Credit Losses — Off-Balance Sheet Exposure for Contractual Loan Commitments” in our 2024 Form 10-K and Note 4, “Allowance for Credit Losses and Unfunded Loan Commitments” in this Form 10-Q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ind w:right="460" w:firstLine="445"/>
        <w:spacing w:after="0" w:line="262" w:lineRule="auto"/>
        <w:rPr>
          <w:sz w:val="20"/>
          <w:szCs w:val="20"/>
          <w:color w:val="auto"/>
        </w:rPr>
      </w:pPr>
      <w:r>
        <w:rPr>
          <w:rFonts w:ascii="Arial" w:cs="Arial" w:eastAsia="Arial" w:hAnsi="Arial"/>
          <w:sz w:val="18"/>
          <w:szCs w:val="18"/>
          <w:color w:val="auto"/>
        </w:rPr>
        <w:t>Management’s Discussion and Analysis of Financial Condition and Results of Operations addresses our consolidated financial statements, which have been prepared in accordance with GAAP. In preparing our consolidated financial statements, we have identified certain accounting estimates and assumptions that we consider to be the most critical to an understanding of our financial statements because they involve significant judgments and uncertainties.</w:t>
      </w:r>
    </w:p>
    <w:p>
      <w:pPr>
        <w:spacing w:after="0" w:line="55"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critical accounting estimates we have identified relate to the allowance for credit losses. These estimates reflect our best judgment about current and, for some estimates, including management overlays, future economic and market conditions. These estimates are based on information available as of the date of these financial statements. If conditions change from those expected, it is reasonably possible that these judgments and estimates could change, which may result in a change in the allowance for credit losses or material changes to our consolidated financial statements. A discussion of our critical accounting policies can be found in our 2024 Form 10-K.</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88" w:lineRule="exact"/>
        <w:rPr>
          <w:sz w:val="20"/>
          <w:szCs w:val="20"/>
          <w:color w:val="auto"/>
        </w:rPr>
      </w:pPr>
    </w:p>
    <w:p>
      <w:pPr>
        <w:ind w:right="300" w:firstLine="445"/>
        <w:spacing w:after="0" w:line="271" w:lineRule="auto"/>
        <w:rPr>
          <w:sz w:val="20"/>
          <w:szCs w:val="20"/>
          <w:color w:val="auto"/>
        </w:rPr>
      </w:pPr>
      <w:r>
        <w:rPr>
          <w:rFonts w:ascii="Arial" w:cs="Arial" w:eastAsia="Arial" w:hAnsi="Arial"/>
          <w:sz w:val="18"/>
          <w:szCs w:val="18"/>
          <w:color w:val="auto"/>
        </w:rPr>
        <w:t>We maintain an allowance for credit losses for the lifetime expected credit losses on loans in our portfolios, as well as for future loan commitments, at the reporting date.</w:t>
      </w:r>
    </w:p>
    <w:p>
      <w:pPr>
        <w:spacing w:after="0" w:line="46" w:lineRule="exact"/>
        <w:rPr>
          <w:sz w:val="20"/>
          <w:szCs w:val="20"/>
          <w:color w:val="auto"/>
        </w:rPr>
      </w:pPr>
    </w:p>
    <w:p>
      <w:pPr>
        <w:ind w:right="340" w:firstLine="445"/>
        <w:spacing w:after="0" w:line="287" w:lineRule="auto"/>
        <w:rPr>
          <w:sz w:val="20"/>
          <w:szCs w:val="20"/>
          <w:color w:val="auto"/>
        </w:rPr>
      </w:pPr>
      <w:r>
        <w:rPr>
          <w:rFonts w:ascii="Arial" w:cs="Arial" w:eastAsia="Arial" w:hAnsi="Arial"/>
          <w:sz w:val="18"/>
          <w:szCs w:val="18"/>
          <w:color w:val="auto"/>
        </w:rPr>
        <w:t>In determining the lifetime expected credit losses on our Private Education Loan portfolio loan segments, we use a discounted cash flow method. This method requires us to project future principal and interest cash flows on our loans in those portfolios.</w:t>
      </w:r>
    </w:p>
    <w:p>
      <w:pPr>
        <w:spacing w:after="0" w:line="4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To estimate the future expected cash flows, we use statistical loan-level models that consider life of loan expectations for defaults, prepayments, recoveries, and any other qualitative adjustments deemed necessary, to determine the adequacy of the allowance at each balance sheet date. These cash flows are discounted at the loan’s effective interest rate to calculate the present value of those cash flows. Management adjusts the effective interest rate used to discount expected cash flows to incorporate expected prepayments. The difference between the present value of those cash flows and the amortized cost basis of the underlying loans is the allowance for credit losses. Entities that measure credit losses based on the present value of expected future cash flows are permitted to report the entire change in present value as credit loss expense, but may alternatively report the change in present value due to the passage of time as interest income. We have elected to report the entire change in present value as credit loss expense.</w:t>
      </w:r>
    </w:p>
    <w:p>
      <w:pPr>
        <w:spacing w:after="0" w:line="7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estimate future default rates used in our current expected credit losses at a loan level using historical loss experience, current borrower characteristics, current conditions, and economic factors forecasted over a reasonable and supportable period. At the end of the reasonable and supportable forecast period, we immediately revert our forecasted economic factors to long-term historical averages. We estimate future prepayment speeds used in our current expected credit losses at a loan level using historical prepayment experience, current borrower characteristics, current conditions, and economic factors forecasted over a reasonable and supportable period.</w:t>
      </w:r>
    </w:p>
    <w:p>
      <w:pPr>
        <w:spacing w:after="0" w:line="71"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reasonable and supportable forecast period is meant to represent the period in which we believe we can estimate the impact of forecasted economic factors in our expected losses. We use a two-year reasonable and supportable forecast period, although this period is subject to change as our view evolves on our ability to reasonably forecast economic conditions to estimate future losses.</w:t>
      </w:r>
    </w:p>
    <w:p>
      <w:pPr>
        <w:spacing w:after="0" w:line="63" w:lineRule="exact"/>
        <w:rPr>
          <w:sz w:val="20"/>
          <w:szCs w:val="20"/>
          <w:color w:val="auto"/>
        </w:rPr>
      </w:pPr>
    </w:p>
    <w:p>
      <w:pPr>
        <w:ind w:right="280" w:firstLine="445"/>
        <w:spacing w:after="0" w:line="259" w:lineRule="auto"/>
        <w:rPr>
          <w:sz w:val="20"/>
          <w:szCs w:val="20"/>
          <w:color w:val="auto"/>
        </w:rPr>
      </w:pPr>
      <w:r>
        <w:rPr>
          <w:rFonts w:ascii="Arial" w:cs="Arial" w:eastAsia="Arial" w:hAnsi="Arial"/>
          <w:sz w:val="18"/>
          <w:szCs w:val="18"/>
          <w:color w:val="auto"/>
        </w:rPr>
        <w:t>In estimating future default rates and prepayment speeds in our current expected credit losses, we use a combination of expected economic scenarios coupled with our historical experience and adjust for any qualitative factors (as described below). We also develop an adverse and favorable economic scenario. At each reporting date, we determine the appropriate weighting of these alternate scenarios based upon the current economic conditions and our view of the risks of alternate outcomes. This weighting of expectations is used in calculating our current expected credit losses recorded each period.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4F82"/>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72" w:name="page73"/>
    <w:bookmarkEnd w:id="72"/>
    <w:p>
      <w:pPr>
        <w:ind w:right="120" w:firstLine="445"/>
        <w:spacing w:after="0" w:line="254" w:lineRule="auto"/>
        <w:rPr>
          <w:sz w:val="20"/>
          <w:szCs w:val="20"/>
          <w:color w:val="auto"/>
        </w:rPr>
      </w:pPr>
      <w:r>
        <w:rPr>
          <w:rFonts w:ascii="Arial" w:cs="Arial" w:eastAsia="Arial" w:hAnsi="Arial"/>
          <w:sz w:val="18"/>
          <w:szCs w:val="18"/>
          <w:color w:val="auto"/>
        </w:rPr>
        <w:t>We obtain forecasts for these inputs from Moody’s Analytics. Moody’s Analytics provides a range of forecasts for each of these inputs with various likelihoods of occurrence. We determine which forecasts we will include in our estimation of allowance for credit losses and the associated weightings for each of these inputs. We use the Baseline (50th percentile likelihood of occurring)/S1 (stronger near-term growth scenario - 10 percent likelihood of occurring)/S3 (unfavorable (or downside) scenario - 10 percent likelihood of occurring) scenarios. At December 31, 2024 and March 31, 2024, we weighted them 40 percent, 30 percent, and 30 percent, respectively. During the first quarter of 2025, we revised the Baseline scenario, S1 stronger near-term growth scenario, and S3 unfavorable scenario weightings to be 60 percent, 20 percent, and 20 percent, respectively. This change reflects our ongoing review of forecasting assumptions and model inputs and is consistent with our internal governance and risk management framework. The adjustment supports a more balanced view of potential scenario outcomes and remains in accordance with our CECL methodology. The revision resulted in an approximately $17 million decrease to provision for credit losses for the three months ended March 31, 2025. Management continues to review both the scenarios and their respective weightings each quarter in determining the allowance for credit losses.</w:t>
      </w:r>
    </w:p>
    <w:p>
      <w:pPr>
        <w:spacing w:after="0" w:line="47" w:lineRule="exact"/>
        <w:rPr>
          <w:sz w:val="20"/>
          <w:szCs w:val="20"/>
          <w:color w:val="auto"/>
        </w:rPr>
      </w:pPr>
    </w:p>
    <w:p>
      <w:pPr>
        <w:ind w:right="480" w:firstLine="445"/>
        <w:spacing w:after="0" w:line="287" w:lineRule="auto"/>
        <w:rPr>
          <w:sz w:val="20"/>
          <w:szCs w:val="20"/>
          <w:color w:val="auto"/>
        </w:rPr>
      </w:pPr>
      <w:r>
        <w:rPr>
          <w:rFonts w:ascii="Arial" w:cs="Arial" w:eastAsia="Arial" w:hAnsi="Arial"/>
          <w:sz w:val="18"/>
          <w:szCs w:val="18"/>
          <w:color w:val="auto"/>
        </w:rPr>
        <w:t>In estimating recoveries, we use both estimates of what we expect to receive from the sale of defaulted loans as well as historical borrower payment behavior to estimate the timing and amount of future recoveries on charged-off loans.</w:t>
      </w:r>
    </w:p>
    <w:p>
      <w:pPr>
        <w:spacing w:after="0" w:line="3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addition to the above modeling approach, we also take certain other qualitative factors into consideration when calculating the allowance for credit losses, which could result in management overlays (increases or decreases to the allowance for credit losses). These management overlays can encompass a broad array of factors not captured by model inputs, including, but not limited to, changes in lending policies and procedures, including changes in underwriting standards, changes in servicing policies and collection administration practices, including changes we have implemented to our loan modification program, state law changes that could impact servicing and collection practices, charge-offs, recoveries not already included in the analysis, the effect of other external factors such as legal and regulatory requirements on the level of estimated current expected credit losses, the performance of the model over time versus actual losses, and any other operational or regulatory changes that could affect our estimate of future losses.</w:t>
      </w:r>
    </w:p>
    <w:p>
      <w:pPr>
        <w:spacing w:after="0" w:line="63"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The evaluation of the allowance for credit losses is inherently subjective, as it requires material estimates that may be susceptible to significant changes. If actual future performance in delinquency, charge-offs, and recoveries is significantly different than estimated, or management assumptions or practices were to change, this could materially affect the estimate of the allowance for credit losses, the timing of when losses are recognized, and the related provision for credit losses in our consolidated statements of income.</w:t>
      </w:r>
    </w:p>
    <w:p>
      <w:pPr>
        <w:spacing w:after="0" w:line="41" w:lineRule="exact"/>
        <w:rPr>
          <w:sz w:val="20"/>
          <w:szCs w:val="20"/>
          <w:color w:val="auto"/>
        </w:rPr>
      </w:pPr>
    </w:p>
    <w:p>
      <w:pPr>
        <w:jc w:val="both"/>
        <w:ind w:right="60" w:firstLine="445"/>
        <w:spacing w:after="0" w:line="268" w:lineRule="auto"/>
        <w:rPr>
          <w:sz w:val="20"/>
          <w:szCs w:val="20"/>
          <w:color w:val="auto"/>
        </w:rPr>
      </w:pPr>
      <w:r>
        <w:rPr>
          <w:rFonts w:ascii="Arial" w:cs="Arial" w:eastAsia="Arial" w:hAnsi="Arial"/>
          <w:sz w:val="18"/>
          <w:szCs w:val="18"/>
          <w:color w:val="auto"/>
        </w:rPr>
        <w:t>When calculating our allowance for credit losses and liability for unfunded commitments, we incorporate several inputs that are subject to change period to period. These include, but are not limited to, CECL model inputs and any overlays deemed necessary by management. The most impactful CECL model inputs include:</w:t>
      </w:r>
    </w:p>
    <w:p>
      <w:pPr>
        <w:spacing w:after="0" w:line="49" w:lineRule="exact"/>
        <w:rPr>
          <w:sz w:val="20"/>
          <w:szCs w:val="20"/>
          <w:color w:val="auto"/>
        </w:rPr>
      </w:pPr>
    </w:p>
    <w:p>
      <w:pPr>
        <w:ind w:left="660" w:hanging="207"/>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Economic forecasts;</w:t>
      </w:r>
    </w:p>
    <w:p>
      <w:pPr>
        <w:spacing w:after="0" w:line="103" w:lineRule="exact"/>
        <w:rPr>
          <w:rFonts w:ascii="Arial" w:cs="Arial" w:eastAsia="Arial" w:hAnsi="Arial"/>
          <w:sz w:val="18"/>
          <w:szCs w:val="18"/>
          <w:color w:val="auto"/>
        </w:rPr>
      </w:pPr>
    </w:p>
    <w:p>
      <w:pPr>
        <w:ind w:left="660" w:hanging="207"/>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Weighting of economic forecasts; and</w:t>
      </w:r>
    </w:p>
    <w:p>
      <w:pPr>
        <w:spacing w:after="0" w:line="90" w:lineRule="exact"/>
        <w:rPr>
          <w:rFonts w:ascii="Arial" w:cs="Arial" w:eastAsia="Arial" w:hAnsi="Arial"/>
          <w:sz w:val="18"/>
          <w:szCs w:val="18"/>
          <w:color w:val="auto"/>
        </w:rPr>
      </w:pPr>
    </w:p>
    <w:p>
      <w:pPr>
        <w:ind w:left="660" w:hanging="207"/>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Recovery rates.</w:t>
      </w:r>
    </w:p>
    <w:p>
      <w:pPr>
        <w:spacing w:after="0" w:line="90"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Of the model inputs outlined above, economic forecasts, weighting of economic forecasts, and recovery rates are subject to estimation uncertainty, and changes in these inputs could have a material impact to our allowance for credit losses and the related provision for credit losses.</w:t>
      </w:r>
    </w:p>
    <w:p>
      <w:pPr>
        <w:spacing w:after="0" w:line="47"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In the second quarter of 2024, we implemented a loan-level future default rate model that includes current portfolio characteristics and forecasts of real gross domestic product and college graduate unemployment. In the second quarter of 2024, we also implemented a future prepayment speeds model to include forecasts of real gross domestic product, retail sales, SOFR, and the U.S. 10-year treasury rate. These models reduce the reliance on certain qualitative overlays compared to the previous default rate and prepayment speeds models. Prior to these changes, our default rate and prepayment speeds models used forecasts of college graduate unemployment, retail sales, home price index, and median family income. Both the future default rate model and the future prepayment speeds model are used in determining the adequacy of the allowance for credit losses. The combined impact upon implementation of these model enhancements and the changes in the related qualitative overlays did not have a material impact on the overall level of our allowance for credit losses.</w:t>
      </w:r>
    </w:p>
    <w:p>
      <w:pPr>
        <w:spacing w:after="0" w:line="63"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To demonstrate the sensitivity of the allowance for credit losses for our Private Education Loan portfolio to a more pessimistic forecast of expected economic outcomes, we considered what our allowance for credit losses would be if we applied a 100 percent probability weighting to the S3 unfavorable (or downside/90th percentile) scenario (with a concurrent 0 percent weighting for both the Baseline and S1 stronger near-term growth scenarios) under the range of scenarios noted above. Excluding consideration of qualitative adjustments, this sensitivity analysis would result in 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44F82"/>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8" w:right="379" w:bottom="1440" w:gutter="0" w:footer="0" w:header="0"/>
        </w:sectPr>
      </w:pPr>
    </w:p>
    <w:bookmarkStart w:id="73" w:name="page74"/>
    <w:bookmarkEnd w:id="73"/>
    <w:p>
      <w:pPr>
        <w:spacing w:after="0" w:line="254" w:lineRule="auto"/>
        <w:rPr>
          <w:sz w:val="20"/>
          <w:szCs w:val="20"/>
          <w:color w:val="auto"/>
        </w:rPr>
      </w:pPr>
      <w:r>
        <w:rPr>
          <w:rFonts w:ascii="Arial" w:cs="Arial" w:eastAsia="Arial" w:hAnsi="Arial"/>
          <w:sz w:val="18"/>
          <w:szCs w:val="18"/>
          <w:color w:val="auto"/>
        </w:rPr>
        <w:t>hypothetical increase in our allowance for credit losses as of March 31, 2025 of $192 million or 13.0 percent. In addition, we also considered a 100 percent probability weighting to the S4 unfavorable (or downside/96th percentile) scenario (with a concurrent 0 percent weighting for both the Baseline and S1 stronger near-term growth scenarios) under the range of scenarios noted above. Excluding consideration of qualitative adjustments, this sensitivity analysis would result in a hypothetical increase in our allowance for credit losses as of March 31, 2025 of $285 million or 19.2 percent. These scenarios do not reflect our current expectations as of March 31, 2025, nor do they capture other qualitative adjustments or all the potential unknown variables that could arise in the forecast periods, but they provide an approximation of possible outcomes under hypothetical pessimistic conditions. The estimated impacts were calculated for the two-year reasonable and supportable periods, but were not calculated for the remaining periods since long-term assumptions used to calculate the allowance for the remaining periods are based on longer term averages and only change when we determine there is a fundamental change that will affect the long-term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34F82"/>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74" w:name="page75"/>
    <w:bookmarkEnd w:id="74"/>
    <w:p>
      <w:pPr>
        <w:spacing w:after="0"/>
        <w:tabs>
          <w:tab w:leader="none" w:pos="800" w:val="left"/>
        </w:tabs>
        <w:rPr>
          <w:sz w:val="20"/>
          <w:szCs w:val="20"/>
          <w:color w:val="auto"/>
        </w:rPr>
      </w:pPr>
      <w:r>
        <w:rPr>
          <w:rFonts w:ascii="Arial" w:cs="Arial" w:eastAsia="Arial" w:hAnsi="Arial"/>
          <w:sz w:val="18"/>
          <w:szCs w:val="18"/>
          <w:b w:val="1"/>
          <w:bCs w:val="1"/>
          <w:color w:val="144F82"/>
        </w:rPr>
        <w:t>Item 3.</w:t>
        <w:tab/>
        <w:t>Quantitative and Qualitative Disclosures about Market Risk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Analysis</w:t>
      </w:r>
    </w:p>
    <w:p>
      <w:pPr>
        <w:spacing w:after="0" w:line="117"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Our interest rate risk management program seeks to manage and control interest rate risk, thereby reducing our exposure to fluctuations in interest rates, and achieving consistent and acceptable levels of profit in any rate environment and sustainable growth in net interest income over the long term. We evaluate and monitor interest rate risk through two primary methods:</w:t>
      </w:r>
    </w:p>
    <w:p>
      <w:pPr>
        <w:spacing w:after="0" w:line="130" w:lineRule="exact"/>
        <w:rPr>
          <w:sz w:val="20"/>
          <w:szCs w:val="20"/>
          <w:color w:val="auto"/>
        </w:rPr>
      </w:pPr>
    </w:p>
    <w:p>
      <w:pPr>
        <w:ind w:left="660" w:hanging="247"/>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Earnings at Risk (“EAR”), which measures the impact of hypothetical changes in interest rates on net interest income; and</w:t>
      </w:r>
    </w:p>
    <w:p>
      <w:pPr>
        <w:spacing w:after="0" w:line="198" w:lineRule="exact"/>
        <w:rPr>
          <w:rFonts w:ascii="Arial" w:cs="Arial" w:eastAsia="Arial" w:hAnsi="Arial"/>
          <w:sz w:val="18"/>
          <w:szCs w:val="18"/>
          <w:color w:val="auto"/>
        </w:rPr>
      </w:pPr>
    </w:p>
    <w:p>
      <w:pPr>
        <w:ind w:left="660" w:right="180" w:hanging="247"/>
        <w:spacing w:after="0" w:line="28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Economic Value of Equity (“EVE”), which measures the sensitivity or change in the economic value of equity to changes in interest rates.</w:t>
      </w:r>
    </w:p>
    <w:p>
      <w:pPr>
        <w:spacing w:after="0" w:line="112"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 number of potential interest rate scenarios are simulated using our asset liability management system. The Bank is the primary source of interest rate risk within the Company. At present, a significant portion of the Bank’s earning assets and a large balance of deposits were indexed to 30-day average SOFR. Therefore, 30-day average SOFR is considered a core rate in our interest rate risk analysis. The 30-day average SOFR and other rates are shocked in parallel for shock scenarios unless otherwise indicated. Rates are adjusted up or down via a set of scenarios that includes both rate shocks and ramps. Rate shocks represent an immediate and sustained change in key rates, with the resulting changes in other indices correlated accordingly. Interest rate ramps represent a linear increase in those key rates over the course of 12 months, with the resulting changes in other indices correlated accordingly.</w:t>
      </w:r>
    </w:p>
    <w:p>
      <w:pPr>
        <w:spacing w:after="0" w:line="142"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The following table summarizes the potential effect on earnings over the next 24 months and the potential effect on market values of balance sheet assets and liabilities at March 31, 2025 and 2024, based upon a sensitivity analysis performed by management assuming hypothetical increases in market interest rates of 100 and 300 basis points and a decrease of 100 and 300 basis points while credit and funding spreads remain constant. EAR analysis assumes a static balance sheet, with maturities of each product replaced with assumed issuance of new products of the same type. The EVE sensitivity is applied only to financial assets and liabilities, including hedging instruments, that existed at the balance sheet date, and does not reflect any impact of loan sales, new assets, liabilities, commitments, or hedging instruments that may arise in the future.</w:t>
      </w:r>
    </w:p>
    <w:p>
      <w:pPr>
        <w:spacing w:after="0" w:line="156"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The EAR results for March 31, 2025 indicate a market risk profile of low sensitivity to rate changes, based on static balance sheet assumptions over the next two years. The higher mix of fixed-rate versus variable-rate loan disbursements continues, which results in our liabilities repricing more quickly than our assets over time. Planned loan sales, which are not included in the static EVE modeling, significantly reduce our EVE exposure. Management is evaluating this trend to determine if, and when, further actions are necessary to manage EVE sensitivity.</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174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2"/>
          </w:tcPr>
          <w:p>
            <w:pPr>
              <w:jc w:val="right"/>
              <w:ind w:right="843"/>
              <w:spacing w:after="0"/>
              <w:rPr>
                <w:sz w:val="20"/>
                <w:szCs w:val="20"/>
                <w:color w:val="auto"/>
              </w:rPr>
            </w:pPr>
            <w:r>
              <w:rPr>
                <w:rFonts w:ascii="Arial" w:cs="Arial" w:eastAsia="Arial" w:hAnsi="Arial"/>
                <w:sz w:val="14"/>
                <w:szCs w:val="14"/>
                <w:b w:val="1"/>
                <w:bCs w:val="1"/>
                <w:color w:val="144F82"/>
              </w:rPr>
              <w:t>2025</w:t>
            </w:r>
          </w:p>
        </w:tc>
        <w:tc>
          <w:tcPr>
            <w:tcW w:w="9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2"/>
          </w:tcPr>
          <w:p>
            <w:pPr>
              <w:jc w:val="right"/>
              <w:ind w:right="843"/>
              <w:spacing w:after="0"/>
              <w:rPr>
                <w:sz w:val="20"/>
                <w:szCs w:val="20"/>
                <w:color w:val="auto"/>
              </w:rPr>
            </w:pPr>
            <w:r>
              <w:rPr>
                <w:rFonts w:ascii="Arial" w:cs="Arial" w:eastAsia="Arial" w:hAnsi="Arial"/>
                <w:sz w:val="14"/>
                <w:szCs w:val="14"/>
                <w:b w:val="1"/>
                <w:bCs w:val="1"/>
                <w:color w:val="144F82"/>
              </w:rPr>
              <w:t>2024</w:t>
            </w: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144F82"/>
              </w:rPr>
              <w:t>As of March 31,</w:t>
            </w:r>
          </w:p>
        </w:tc>
        <w:tc>
          <w:tcPr>
            <w:tcW w:w="980" w:type="dxa"/>
            <w:vAlign w:val="bottom"/>
          </w:tcPr>
          <w:p>
            <w:pPr>
              <w:jc w:val="right"/>
              <w:ind w:right="283"/>
              <w:spacing w:after="0" w:line="147" w:lineRule="exact"/>
              <w:rPr>
                <w:sz w:val="20"/>
                <w:szCs w:val="20"/>
                <w:color w:val="auto"/>
              </w:rPr>
            </w:pPr>
            <w:r>
              <w:rPr>
                <w:rFonts w:ascii="Arial" w:cs="Arial" w:eastAsia="Arial" w:hAnsi="Arial"/>
                <w:sz w:val="14"/>
                <w:szCs w:val="14"/>
                <w:b w:val="1"/>
                <w:bCs w:val="1"/>
                <w:color w:val="144F82"/>
              </w:rPr>
              <w:t>+300</w:t>
            </w:r>
          </w:p>
        </w:tc>
        <w:tc>
          <w:tcPr>
            <w:tcW w:w="1020" w:type="dxa"/>
            <w:vAlign w:val="bottom"/>
          </w:tcPr>
          <w:p>
            <w:pPr>
              <w:jc w:val="right"/>
              <w:ind w:right="284"/>
              <w:spacing w:after="0" w:line="147" w:lineRule="exact"/>
              <w:rPr>
                <w:sz w:val="20"/>
                <w:szCs w:val="20"/>
                <w:color w:val="auto"/>
              </w:rPr>
            </w:pPr>
            <w:r>
              <w:rPr>
                <w:rFonts w:ascii="Arial" w:cs="Arial" w:eastAsia="Arial" w:hAnsi="Arial"/>
                <w:sz w:val="14"/>
                <w:szCs w:val="14"/>
                <w:b w:val="1"/>
                <w:bCs w:val="1"/>
                <w:color w:val="144F82"/>
              </w:rPr>
              <w:t>+100</w:t>
            </w:r>
          </w:p>
        </w:tc>
        <w:tc>
          <w:tcPr>
            <w:tcW w:w="1080" w:type="dxa"/>
            <w:vAlign w:val="bottom"/>
          </w:tcPr>
          <w:p>
            <w:pPr>
              <w:jc w:val="right"/>
              <w:ind w:right="343"/>
              <w:spacing w:after="0" w:line="147" w:lineRule="exact"/>
              <w:rPr>
                <w:sz w:val="20"/>
                <w:szCs w:val="20"/>
                <w:color w:val="auto"/>
              </w:rPr>
            </w:pPr>
            <w:r>
              <w:rPr>
                <w:rFonts w:ascii="Arial" w:cs="Arial" w:eastAsia="Arial" w:hAnsi="Arial"/>
                <w:sz w:val="14"/>
                <w:szCs w:val="14"/>
                <w:b w:val="1"/>
                <w:bCs w:val="1"/>
                <w:color w:val="144F82"/>
              </w:rPr>
              <w:t>-100</w:t>
            </w:r>
          </w:p>
        </w:tc>
        <w:tc>
          <w:tcPr>
            <w:tcW w:w="10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144F82"/>
              </w:rPr>
              <w:t>-300 Basis</w:t>
            </w:r>
          </w:p>
        </w:tc>
        <w:tc>
          <w:tcPr>
            <w:tcW w:w="980" w:type="dxa"/>
            <w:vAlign w:val="bottom"/>
          </w:tcPr>
          <w:p>
            <w:pPr>
              <w:jc w:val="right"/>
              <w:ind w:right="283"/>
              <w:spacing w:after="0" w:line="147" w:lineRule="exact"/>
              <w:rPr>
                <w:sz w:val="20"/>
                <w:szCs w:val="20"/>
                <w:color w:val="auto"/>
              </w:rPr>
            </w:pPr>
            <w:r>
              <w:rPr>
                <w:rFonts w:ascii="Arial" w:cs="Arial" w:eastAsia="Arial" w:hAnsi="Arial"/>
                <w:sz w:val="14"/>
                <w:szCs w:val="14"/>
                <w:b w:val="1"/>
                <w:bCs w:val="1"/>
                <w:color w:val="144F82"/>
              </w:rPr>
              <w:t>+300</w:t>
            </w:r>
          </w:p>
        </w:tc>
        <w:tc>
          <w:tcPr>
            <w:tcW w:w="1020" w:type="dxa"/>
            <w:vAlign w:val="bottom"/>
          </w:tcPr>
          <w:p>
            <w:pPr>
              <w:jc w:val="right"/>
              <w:ind w:right="284"/>
              <w:spacing w:after="0" w:line="147" w:lineRule="exact"/>
              <w:rPr>
                <w:sz w:val="20"/>
                <w:szCs w:val="20"/>
                <w:color w:val="auto"/>
              </w:rPr>
            </w:pPr>
            <w:r>
              <w:rPr>
                <w:rFonts w:ascii="Arial" w:cs="Arial" w:eastAsia="Arial" w:hAnsi="Arial"/>
                <w:sz w:val="14"/>
                <w:szCs w:val="14"/>
                <w:b w:val="1"/>
                <w:bCs w:val="1"/>
                <w:color w:val="144F82"/>
              </w:rPr>
              <w:t>+100</w:t>
            </w:r>
          </w:p>
        </w:tc>
        <w:tc>
          <w:tcPr>
            <w:tcW w:w="1080" w:type="dxa"/>
            <w:vAlign w:val="bottom"/>
          </w:tcPr>
          <w:p>
            <w:pPr>
              <w:jc w:val="right"/>
              <w:ind w:right="343"/>
              <w:spacing w:after="0" w:line="147" w:lineRule="exact"/>
              <w:rPr>
                <w:sz w:val="20"/>
                <w:szCs w:val="20"/>
                <w:color w:val="auto"/>
              </w:rPr>
            </w:pPr>
            <w:r>
              <w:rPr>
                <w:rFonts w:ascii="Arial" w:cs="Arial" w:eastAsia="Arial" w:hAnsi="Arial"/>
                <w:sz w:val="14"/>
                <w:szCs w:val="14"/>
                <w:b w:val="1"/>
                <w:bCs w:val="1"/>
                <w:color w:val="144F82"/>
              </w:rPr>
              <w:t>-100</w:t>
            </w:r>
          </w:p>
        </w:tc>
        <w:tc>
          <w:tcPr>
            <w:tcW w:w="940" w:type="dxa"/>
            <w:vAlign w:val="bottom"/>
          </w:tcPr>
          <w:p>
            <w:pPr>
              <w:jc w:val="right"/>
              <w:ind w:right="43"/>
              <w:spacing w:after="0" w:line="147" w:lineRule="exact"/>
              <w:rPr>
                <w:sz w:val="20"/>
                <w:szCs w:val="20"/>
                <w:color w:val="auto"/>
              </w:rPr>
            </w:pPr>
            <w:r>
              <w:rPr>
                <w:rFonts w:ascii="Arial" w:cs="Arial" w:eastAsia="Arial" w:hAnsi="Arial"/>
                <w:sz w:val="14"/>
                <w:szCs w:val="14"/>
                <w:b w:val="1"/>
                <w:bCs w:val="1"/>
                <w:color w:val="144F82"/>
              </w:rPr>
              <w:t>-300 Basis</w:t>
            </w:r>
          </w:p>
        </w:tc>
        <w:tc>
          <w:tcPr>
            <w:tcW w:w="0" w:type="dxa"/>
            <w:vAlign w:val="bottom"/>
          </w:tcPr>
          <w:p>
            <w:pPr>
              <w:spacing w:after="0"/>
              <w:rPr>
                <w:sz w:val="1"/>
                <w:szCs w:val="1"/>
                <w:color w:val="auto"/>
              </w:rPr>
            </w:pPr>
          </w:p>
        </w:tc>
      </w:tr>
      <w:tr>
        <w:trPr>
          <w:trHeight w:val="185"/>
        </w:trPr>
        <w:tc>
          <w:tcPr>
            <w:tcW w:w="17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144F82"/>
              </w:rPr>
              <w:t>Basis Points</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144F82"/>
              </w:rPr>
              <w:t>Basis Points</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144F82"/>
              </w:rPr>
              <w:t>Basis Points</w:t>
            </w: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144F82"/>
              </w:rPr>
              <w:t>Points</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144F82"/>
              </w:rPr>
              <w:t>Basis Points</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144F82"/>
              </w:rPr>
              <w:t>Basis Points</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144F82"/>
              </w:rPr>
              <w:t>Basis Points</w:t>
            </w:r>
          </w:p>
        </w:tc>
        <w:tc>
          <w:tcPr>
            <w:tcW w:w="9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144F82"/>
              </w:rPr>
              <w:t>Points</w:t>
            </w:r>
          </w:p>
        </w:tc>
        <w:tc>
          <w:tcPr>
            <w:tcW w:w="0" w:type="dxa"/>
            <w:vAlign w:val="bottom"/>
          </w:tcPr>
          <w:p>
            <w:pPr>
              <w:spacing w:after="0"/>
              <w:rPr>
                <w:sz w:val="1"/>
                <w:szCs w:val="1"/>
                <w:color w:val="auto"/>
              </w:rPr>
            </w:pPr>
          </w:p>
        </w:tc>
      </w:tr>
      <w:tr>
        <w:trPr>
          <w:trHeight w:val="210"/>
        </w:trPr>
        <w:tc>
          <w:tcPr>
            <w:tcW w:w="1740" w:type="dxa"/>
            <w:vAlign w:val="bottom"/>
            <w:shd w:val="clear" w:color="auto" w:fill="EDEDEE"/>
          </w:tcPr>
          <w:p>
            <w:pPr>
              <w:spacing w:after="0"/>
              <w:rPr>
                <w:sz w:val="20"/>
                <w:szCs w:val="20"/>
                <w:color w:val="auto"/>
              </w:rPr>
            </w:pPr>
            <w:r>
              <w:rPr>
                <w:rFonts w:ascii="Arial" w:cs="Arial" w:eastAsia="Arial" w:hAnsi="Arial"/>
                <w:sz w:val="16"/>
                <w:szCs w:val="16"/>
                <w:color w:val="auto"/>
              </w:rPr>
              <w:t>EAR - Shock</w:t>
            </w:r>
          </w:p>
        </w:tc>
        <w:tc>
          <w:tcPr>
            <w:tcW w:w="980" w:type="dxa"/>
            <w:vAlign w:val="bottom"/>
            <w:shd w:val="clear" w:color="auto" w:fill="EDEDEE"/>
          </w:tcPr>
          <w:p>
            <w:pPr>
              <w:jc w:val="right"/>
              <w:ind w:right="3"/>
              <w:spacing w:after="0"/>
              <w:rPr>
                <w:sz w:val="20"/>
                <w:szCs w:val="20"/>
                <w:color w:val="auto"/>
              </w:rPr>
            </w:pPr>
            <w:r>
              <w:rPr>
                <w:rFonts w:ascii="Arial" w:cs="Arial" w:eastAsia="Arial" w:hAnsi="Arial"/>
                <w:sz w:val="16"/>
                <w:szCs w:val="16"/>
                <w:color w:val="auto"/>
              </w:rPr>
              <w:t>-9.7%</w:t>
            </w:r>
          </w:p>
        </w:tc>
        <w:tc>
          <w:tcPr>
            <w:tcW w:w="1020" w:type="dxa"/>
            <w:vAlign w:val="bottom"/>
            <w:shd w:val="clear" w:color="auto" w:fill="EDEDEE"/>
          </w:tcPr>
          <w:p>
            <w:pPr>
              <w:jc w:val="right"/>
              <w:ind w:right="4"/>
              <w:spacing w:after="0"/>
              <w:rPr>
                <w:sz w:val="20"/>
                <w:szCs w:val="20"/>
                <w:color w:val="auto"/>
              </w:rPr>
            </w:pPr>
            <w:r>
              <w:rPr>
                <w:rFonts w:ascii="Arial" w:cs="Arial" w:eastAsia="Arial" w:hAnsi="Arial"/>
                <w:sz w:val="16"/>
                <w:szCs w:val="16"/>
                <w:color w:val="auto"/>
              </w:rPr>
              <w:t>-3.1%</w:t>
            </w:r>
          </w:p>
        </w:tc>
        <w:tc>
          <w:tcPr>
            <w:tcW w:w="1080" w:type="dxa"/>
            <w:vAlign w:val="bottom"/>
            <w:shd w:val="clear" w:color="auto" w:fill="EDEDEE"/>
          </w:tcPr>
          <w:p>
            <w:pPr>
              <w:jc w:val="right"/>
              <w:ind w:right="43"/>
              <w:spacing w:after="0"/>
              <w:rPr>
                <w:sz w:val="20"/>
                <w:szCs w:val="20"/>
                <w:color w:val="auto"/>
              </w:rPr>
            </w:pPr>
            <w:r>
              <w:rPr>
                <w:rFonts w:ascii="Arial" w:cs="Arial" w:eastAsia="Arial" w:hAnsi="Arial"/>
                <w:sz w:val="16"/>
                <w:szCs w:val="16"/>
                <w:color w:val="auto"/>
              </w:rPr>
              <w:t>+2.5%</w:t>
            </w: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EDEDEE"/>
          </w:tcPr>
          <w:p>
            <w:pPr>
              <w:spacing w:after="0"/>
              <w:rPr>
                <w:sz w:val="18"/>
                <w:szCs w:val="18"/>
                <w:color w:val="auto"/>
              </w:rPr>
            </w:pPr>
          </w:p>
        </w:tc>
        <w:tc>
          <w:tcPr>
            <w:tcW w:w="980" w:type="dxa"/>
            <w:vAlign w:val="bottom"/>
            <w:shd w:val="clear" w:color="auto" w:fill="EDEDEE"/>
          </w:tcPr>
          <w:p>
            <w:pPr>
              <w:jc w:val="right"/>
              <w:ind w:right="3"/>
              <w:spacing w:after="0"/>
              <w:rPr>
                <w:sz w:val="20"/>
                <w:szCs w:val="20"/>
                <w:color w:val="auto"/>
              </w:rPr>
            </w:pPr>
            <w:r>
              <w:rPr>
                <w:rFonts w:ascii="Arial" w:cs="Arial" w:eastAsia="Arial" w:hAnsi="Arial"/>
                <w:sz w:val="16"/>
                <w:szCs w:val="16"/>
                <w:color w:val="auto"/>
              </w:rPr>
              <w:t>-4.6%</w:t>
            </w:r>
          </w:p>
        </w:tc>
        <w:tc>
          <w:tcPr>
            <w:tcW w:w="1020" w:type="dxa"/>
            <w:vAlign w:val="bottom"/>
            <w:shd w:val="clear" w:color="auto" w:fill="EDEDEE"/>
          </w:tcPr>
          <w:p>
            <w:pPr>
              <w:jc w:val="right"/>
              <w:ind w:right="4"/>
              <w:spacing w:after="0"/>
              <w:rPr>
                <w:sz w:val="20"/>
                <w:szCs w:val="20"/>
                <w:color w:val="auto"/>
              </w:rPr>
            </w:pPr>
            <w:r>
              <w:rPr>
                <w:rFonts w:ascii="Arial" w:cs="Arial" w:eastAsia="Arial" w:hAnsi="Arial"/>
                <w:sz w:val="16"/>
                <w:szCs w:val="16"/>
                <w:color w:val="auto"/>
              </w:rPr>
              <w:t>-1.5%</w:t>
            </w:r>
          </w:p>
        </w:tc>
        <w:tc>
          <w:tcPr>
            <w:tcW w:w="1080" w:type="dxa"/>
            <w:vAlign w:val="bottom"/>
            <w:shd w:val="clear" w:color="auto" w:fill="EDEDEE"/>
          </w:tcPr>
          <w:p>
            <w:pPr>
              <w:jc w:val="right"/>
              <w:ind w:right="43"/>
              <w:spacing w:after="0"/>
              <w:rPr>
                <w:sz w:val="20"/>
                <w:szCs w:val="20"/>
                <w:color w:val="auto"/>
              </w:rPr>
            </w:pPr>
            <w:r>
              <w:rPr>
                <w:rFonts w:ascii="Arial" w:cs="Arial" w:eastAsia="Arial" w:hAnsi="Arial"/>
                <w:sz w:val="16"/>
                <w:szCs w:val="16"/>
                <w:color w:val="auto"/>
              </w:rPr>
              <w:t>+1.1%</w:t>
            </w:r>
          </w:p>
        </w:tc>
        <w:tc>
          <w:tcPr>
            <w:tcW w:w="9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1740" w:type="dxa"/>
            <w:vAlign w:val="bottom"/>
          </w:tcPr>
          <w:p>
            <w:pPr>
              <w:spacing w:after="0"/>
              <w:rPr>
                <w:sz w:val="20"/>
                <w:szCs w:val="20"/>
                <w:color w:val="auto"/>
              </w:rPr>
            </w:pPr>
            <w:r>
              <w:rPr>
                <w:rFonts w:ascii="Arial" w:cs="Arial" w:eastAsia="Arial" w:hAnsi="Arial"/>
                <w:sz w:val="16"/>
                <w:szCs w:val="16"/>
                <w:color w:val="auto"/>
              </w:rPr>
              <w:t>EAR - Ramp</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-6.3%</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-2.0%</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-3.3%</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-1.1%</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+0.9%</w:t>
            </w: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1740" w:type="dxa"/>
            <w:vAlign w:val="bottom"/>
            <w:shd w:val="clear" w:color="auto" w:fill="EDEDEE"/>
          </w:tcPr>
          <w:p>
            <w:pPr>
              <w:spacing w:after="0"/>
              <w:rPr>
                <w:sz w:val="20"/>
                <w:szCs w:val="20"/>
                <w:color w:val="auto"/>
              </w:rPr>
            </w:pPr>
            <w:r>
              <w:rPr>
                <w:rFonts w:ascii="Arial" w:cs="Arial" w:eastAsia="Arial" w:hAnsi="Arial"/>
                <w:sz w:val="16"/>
                <w:szCs w:val="16"/>
                <w:color w:val="auto"/>
              </w:rPr>
              <w:t>EVE</w:t>
            </w:r>
          </w:p>
        </w:tc>
        <w:tc>
          <w:tcPr>
            <w:tcW w:w="980" w:type="dxa"/>
            <w:vAlign w:val="bottom"/>
            <w:shd w:val="clear" w:color="auto" w:fill="EDEDEE"/>
          </w:tcPr>
          <w:p>
            <w:pPr>
              <w:jc w:val="right"/>
              <w:ind w:right="3"/>
              <w:spacing w:after="0"/>
              <w:rPr>
                <w:sz w:val="20"/>
                <w:szCs w:val="20"/>
                <w:color w:val="auto"/>
              </w:rPr>
            </w:pPr>
            <w:r>
              <w:rPr>
                <w:rFonts w:ascii="Arial" w:cs="Arial" w:eastAsia="Arial" w:hAnsi="Arial"/>
                <w:sz w:val="16"/>
                <w:szCs w:val="16"/>
                <w:color w:val="auto"/>
              </w:rPr>
              <w:t>-23.7%</w:t>
            </w:r>
          </w:p>
        </w:tc>
        <w:tc>
          <w:tcPr>
            <w:tcW w:w="1020" w:type="dxa"/>
            <w:vAlign w:val="bottom"/>
            <w:shd w:val="clear" w:color="auto" w:fill="EDEDEE"/>
          </w:tcPr>
          <w:p>
            <w:pPr>
              <w:jc w:val="right"/>
              <w:ind w:right="4"/>
              <w:spacing w:after="0"/>
              <w:rPr>
                <w:sz w:val="20"/>
                <w:szCs w:val="20"/>
                <w:color w:val="auto"/>
              </w:rPr>
            </w:pPr>
            <w:r>
              <w:rPr>
                <w:rFonts w:ascii="Arial" w:cs="Arial" w:eastAsia="Arial" w:hAnsi="Arial"/>
                <w:sz w:val="16"/>
                <w:szCs w:val="16"/>
                <w:color w:val="auto"/>
              </w:rPr>
              <w:t>-7.8%</w:t>
            </w:r>
          </w:p>
        </w:tc>
        <w:tc>
          <w:tcPr>
            <w:tcW w:w="1080" w:type="dxa"/>
            <w:vAlign w:val="bottom"/>
            <w:shd w:val="clear" w:color="auto" w:fill="EDEDEE"/>
          </w:tcPr>
          <w:p>
            <w:pPr>
              <w:jc w:val="right"/>
              <w:ind w:right="43"/>
              <w:spacing w:after="0"/>
              <w:rPr>
                <w:sz w:val="20"/>
                <w:szCs w:val="20"/>
                <w:color w:val="auto"/>
              </w:rPr>
            </w:pPr>
            <w:r>
              <w:rPr>
                <w:rFonts w:ascii="Arial" w:cs="Arial" w:eastAsia="Arial" w:hAnsi="Arial"/>
                <w:sz w:val="16"/>
                <w:szCs w:val="16"/>
                <w:color w:val="auto"/>
              </w:rPr>
              <w:t>+7.2%</w:t>
            </w:r>
          </w:p>
        </w:tc>
        <w:tc>
          <w:tcPr>
            <w:tcW w:w="9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EDEDEE"/>
          </w:tcPr>
          <w:p>
            <w:pPr>
              <w:spacing w:after="0"/>
              <w:rPr>
                <w:sz w:val="18"/>
                <w:szCs w:val="18"/>
                <w:color w:val="auto"/>
              </w:rPr>
            </w:pPr>
          </w:p>
        </w:tc>
        <w:tc>
          <w:tcPr>
            <w:tcW w:w="980" w:type="dxa"/>
            <w:vAlign w:val="bottom"/>
            <w:shd w:val="clear" w:color="auto" w:fill="EDEDEE"/>
          </w:tcPr>
          <w:p>
            <w:pPr>
              <w:jc w:val="right"/>
              <w:ind w:right="3"/>
              <w:spacing w:after="0"/>
              <w:rPr>
                <w:sz w:val="20"/>
                <w:szCs w:val="20"/>
                <w:color w:val="auto"/>
              </w:rPr>
            </w:pPr>
            <w:r>
              <w:rPr>
                <w:rFonts w:ascii="Arial" w:cs="Arial" w:eastAsia="Arial" w:hAnsi="Arial"/>
                <w:sz w:val="16"/>
                <w:szCs w:val="16"/>
                <w:color w:val="auto"/>
              </w:rPr>
              <w:t>-25.0%</w:t>
            </w:r>
          </w:p>
        </w:tc>
        <w:tc>
          <w:tcPr>
            <w:tcW w:w="1020" w:type="dxa"/>
            <w:vAlign w:val="bottom"/>
            <w:shd w:val="clear" w:color="auto" w:fill="EDEDEE"/>
          </w:tcPr>
          <w:p>
            <w:pPr>
              <w:jc w:val="right"/>
              <w:ind w:right="4"/>
              <w:spacing w:after="0"/>
              <w:rPr>
                <w:sz w:val="20"/>
                <w:szCs w:val="20"/>
                <w:color w:val="auto"/>
              </w:rPr>
            </w:pPr>
            <w:r>
              <w:rPr>
                <w:rFonts w:ascii="Arial" w:cs="Arial" w:eastAsia="Arial" w:hAnsi="Arial"/>
                <w:sz w:val="16"/>
                <w:szCs w:val="16"/>
                <w:color w:val="auto"/>
              </w:rPr>
              <w:t>-8.6%</w:t>
            </w:r>
          </w:p>
        </w:tc>
        <w:tc>
          <w:tcPr>
            <w:tcW w:w="1080" w:type="dxa"/>
            <w:vAlign w:val="bottom"/>
            <w:shd w:val="clear" w:color="auto" w:fill="EDEDEE"/>
          </w:tcPr>
          <w:p>
            <w:pPr>
              <w:jc w:val="right"/>
              <w:ind w:right="43"/>
              <w:spacing w:after="0"/>
              <w:rPr>
                <w:sz w:val="20"/>
                <w:szCs w:val="20"/>
                <w:color w:val="auto"/>
              </w:rPr>
            </w:pPr>
            <w:r>
              <w:rPr>
                <w:rFonts w:ascii="Arial" w:cs="Arial" w:eastAsia="Arial" w:hAnsi="Arial"/>
                <w:sz w:val="16"/>
                <w:szCs w:val="16"/>
                <w:color w:val="auto"/>
              </w:rPr>
              <w:t>+8.4%</w:t>
            </w:r>
          </w:p>
        </w:tc>
        <w:tc>
          <w:tcPr>
            <w:tcW w:w="9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right="180" w:firstLine="648"/>
        <w:spacing w:after="0" w:line="262" w:lineRule="auto"/>
        <w:rPr>
          <w:sz w:val="20"/>
          <w:szCs w:val="20"/>
          <w:color w:val="auto"/>
        </w:rPr>
      </w:pPr>
      <w:r>
        <w:rPr>
          <w:rFonts w:ascii="Arial" w:cs="Arial" w:eastAsia="Arial" w:hAnsi="Arial"/>
          <w:sz w:val="18"/>
          <w:szCs w:val="18"/>
          <w:color w:val="auto"/>
        </w:rPr>
        <w:t>In the preceding tables, the interest rate sensitivity analysis reflects the balance sheet mix of fully variable SOFR and Prime-based loans, and fully variable funding, including brokered CDs that have been converted to SOFR through derivative transactions. The analysis assumes that retail MMDAs and retail savings balances, while relatively sensitive to interest rate changes, will not correlate 100 percent to the full interest rate shocks or ramps.</w:t>
      </w:r>
    </w:p>
    <w:p>
      <w:pPr>
        <w:spacing w:after="0" w:line="136"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Although we believe that these measurements provide an estimate of our interest rate sensitivity, they do not account for potential changes in credit quality, balance sheet mix, and size of our balance sheet. They also do not account for other business developments that could affect net income, or for management actions that could affect net income or could be taken to change our risk profile. Accordingly, we can give no assurance that actual results would not differ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44F82"/>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75" w:name="page76"/>
    <w:bookmarkEnd w:id="75"/>
    <w:p>
      <w:pPr>
        <w:ind w:right="300"/>
        <w:spacing w:after="0" w:line="287" w:lineRule="auto"/>
        <w:rPr>
          <w:sz w:val="20"/>
          <w:szCs w:val="20"/>
          <w:color w:val="auto"/>
        </w:rPr>
      </w:pPr>
      <w:r>
        <w:rPr>
          <w:rFonts w:ascii="Arial" w:cs="Arial" w:eastAsia="Arial" w:hAnsi="Arial"/>
          <w:sz w:val="18"/>
          <w:szCs w:val="18"/>
          <w:color w:val="auto"/>
        </w:rPr>
        <w:t>materially from the estimated outcomes of our simulations. Further, such simulations do not represent our current view of expected future interest rate movements.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Asset and Liability Funding Gap</w:t>
      </w:r>
    </w:p>
    <w:p>
      <w:pPr>
        <w:spacing w:after="0" w:line="18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table below presents our assets and liabilities (funding) arranged by underlying indices as of March 31, 2025. In the following GAAP presentation, the funding gap only includes derivatives that qualify as effective hedges (those derivatives which are reflected in net interest income, as opposed to those reflected in the “gains (losses) on derivatives and hedging activities, net” line on the consolidated statements of income). The difference between the asset and the funding is the funding gap for the specified index. This represents at a high level our exposure to interest rate risk in the form of basis risk and repricing risk, which is the risk that the different indices may reset at different frequencies or may not move in the same direction or at the same magnitude. (Note that all fixed-rate assets and liabilities are aggregated into one line item, which does not capture the differences in time due to maturity.)</w:t>
      </w:r>
    </w:p>
    <w:p>
      <w:pPr>
        <w:spacing w:after="0" w:line="200" w:lineRule="exact"/>
        <w:rPr>
          <w:sz w:val="20"/>
          <w:szCs w:val="20"/>
          <w:color w:val="auto"/>
        </w:rPr>
      </w:pPr>
    </w:p>
    <w:p>
      <w:pPr>
        <w:spacing w:after="0" w:line="211" w:lineRule="exact"/>
        <w:rPr>
          <w:sz w:val="20"/>
          <w:szCs w:val="20"/>
          <w:color w:val="auto"/>
        </w:rPr>
      </w:pPr>
    </w:p>
    <w:tbl>
      <w:tblPr>
        <w:tblLayout w:type="fixed"/>
        <w:tblInd w:w="1780" w:type="dxa"/>
        <w:tblCellMar>
          <w:top w:w="0" w:type="dxa"/>
          <w:left w:w="0" w:type="dxa"/>
          <w:bottom w:w="0" w:type="dxa"/>
          <w:right w:w="0" w:type="dxa"/>
        </w:tblCellMar>
      </w:tblPr>
      <w:tr>
        <w:trPr>
          <w:trHeight w:val="166"/>
        </w:trPr>
        <w:tc>
          <w:tcPr>
            <w:tcW w:w="21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144F82"/>
              </w:rPr>
              <w:t>As of March 31, 2025</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144F82"/>
              </w:rPr>
              <w:t>Frequency of</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181"/>
              <w:spacing w:after="0"/>
              <w:rPr>
                <w:sz w:val="20"/>
                <w:szCs w:val="20"/>
                <w:color w:val="auto"/>
              </w:rPr>
            </w:pPr>
            <w:r>
              <w:rPr>
                <w:rFonts w:ascii="Arial" w:cs="Arial" w:eastAsia="Arial" w:hAnsi="Arial"/>
                <w:sz w:val="14"/>
                <w:szCs w:val="14"/>
                <w:b w:val="1"/>
                <w:bCs w:val="1"/>
                <w:color w:val="144F82"/>
              </w:rPr>
              <w:t>Funding</w:t>
            </w: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b w:val="1"/>
                <w:bCs w:val="1"/>
                <w:color w:val="144F82"/>
              </w:rPr>
              <w:t>(dollars in millions)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144F82"/>
                <w:w w:val="99"/>
              </w:rPr>
              <w:t>Variable</w:t>
            </w:r>
          </w:p>
        </w:tc>
        <w:tc>
          <w:tcPr>
            <w:tcW w:w="200" w:type="dxa"/>
            <w:vAlign w:val="bottom"/>
          </w:tcPr>
          <w:p>
            <w:pPr>
              <w:spacing w:after="0"/>
              <w:rPr>
                <w:sz w:val="12"/>
                <w:szCs w:val="12"/>
                <w:color w:val="auto"/>
              </w:rPr>
            </w:pPr>
          </w:p>
        </w:tc>
        <w:tc>
          <w:tcPr>
            <w:tcW w:w="9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144F82"/>
              </w:rPr>
              <w:t>Assets</w:t>
            </w:r>
          </w:p>
        </w:tc>
        <w:tc>
          <w:tcPr>
            <w:tcW w:w="240" w:type="dxa"/>
            <w:vAlign w:val="bottom"/>
          </w:tcPr>
          <w:p>
            <w:pPr>
              <w:spacing w:after="0"/>
              <w:rPr>
                <w:sz w:val="12"/>
                <w:szCs w:val="12"/>
                <w:color w:val="auto"/>
              </w:rPr>
            </w:pPr>
          </w:p>
        </w:tc>
        <w:tc>
          <w:tcPr>
            <w:tcW w:w="9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144F82"/>
              </w:rPr>
              <w:t xml:space="preserve">Funding </w:t>
            </w:r>
            <w:r>
              <w:rPr>
                <w:rFonts w:ascii="Arial" w:cs="Arial" w:eastAsia="Arial" w:hAnsi="Arial"/>
                <w:sz w:val="9"/>
                <w:szCs w:val="9"/>
                <w:b w:val="1"/>
                <w:bCs w:val="1"/>
                <w:color w:val="144F82"/>
              </w:rPr>
              <w:t>(1)</w:t>
            </w: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44F82"/>
              </w:rPr>
              <w:t>Index</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4F82"/>
              </w:rPr>
              <w:t>Resets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144F82"/>
              </w:rPr>
              <w:t>Gap</w:t>
            </w:r>
          </w:p>
        </w:tc>
        <w:tc>
          <w:tcPr>
            <w:tcW w:w="0" w:type="dxa"/>
            <w:vAlign w:val="bottom"/>
          </w:tcPr>
          <w:p>
            <w:pPr>
              <w:spacing w:after="0"/>
              <w:rPr>
                <w:sz w:val="1"/>
                <w:szCs w:val="1"/>
                <w:color w:val="auto"/>
              </w:rPr>
            </w:pPr>
          </w:p>
        </w:tc>
      </w:tr>
      <w:tr>
        <w:trPr>
          <w:trHeight w:val="209"/>
        </w:trPr>
        <w:tc>
          <w:tcPr>
            <w:tcW w:w="2120" w:type="dxa"/>
            <w:vAlign w:val="bottom"/>
            <w:shd w:val="clear" w:color="auto" w:fill="EDEDEE"/>
          </w:tcPr>
          <w:p>
            <w:pPr>
              <w:ind w:left="20"/>
              <w:spacing w:after="0"/>
              <w:rPr>
                <w:sz w:val="20"/>
                <w:szCs w:val="20"/>
                <w:color w:val="auto"/>
              </w:rPr>
            </w:pPr>
            <w:r>
              <w:rPr>
                <w:rFonts w:ascii="Arial" w:cs="Arial" w:eastAsia="Arial" w:hAnsi="Arial"/>
                <w:sz w:val="16"/>
                <w:szCs w:val="16"/>
                <w:color w:val="auto"/>
              </w:rPr>
              <w:t>Fed Funds Effective Rate</w:t>
            </w:r>
          </w:p>
        </w:tc>
        <w:tc>
          <w:tcPr>
            <w:tcW w:w="2040" w:type="dxa"/>
            <w:vAlign w:val="bottom"/>
            <w:shd w:val="clear" w:color="auto" w:fill="EDEDEE"/>
          </w:tcPr>
          <w:p>
            <w:pPr>
              <w:jc w:val="center"/>
              <w:spacing w:after="0"/>
              <w:rPr>
                <w:sz w:val="20"/>
                <w:szCs w:val="20"/>
                <w:color w:val="auto"/>
              </w:rPr>
            </w:pPr>
            <w:r>
              <w:rPr>
                <w:rFonts w:ascii="Arial" w:cs="Arial" w:eastAsia="Arial" w:hAnsi="Arial"/>
                <w:sz w:val="16"/>
                <w:szCs w:val="16"/>
                <w:color w:val="auto"/>
              </w:rPr>
              <w:t>daily/weekly/monthly</w:t>
            </w:r>
          </w:p>
        </w:tc>
        <w:tc>
          <w:tcPr>
            <w:tcW w:w="20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413.6</w:t>
            </w:r>
          </w:p>
        </w:tc>
        <w:tc>
          <w:tcPr>
            <w:tcW w:w="2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(413.6)</w:t>
            </w:r>
          </w:p>
        </w:tc>
        <w:tc>
          <w:tcPr>
            <w:tcW w:w="0" w:type="dxa"/>
            <w:vAlign w:val="bottom"/>
          </w:tcPr>
          <w:p>
            <w:pPr>
              <w:spacing w:after="0"/>
              <w:rPr>
                <w:sz w:val="1"/>
                <w:szCs w:val="1"/>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6"/>
                <w:szCs w:val="16"/>
                <w:color w:val="auto"/>
              </w:rPr>
              <w:t>SOFR Rate</w:t>
            </w:r>
          </w:p>
        </w:tc>
        <w:tc>
          <w:tcPr>
            <w:tcW w:w="2040" w:type="dxa"/>
            <w:vAlign w:val="bottom"/>
          </w:tcPr>
          <w:p>
            <w:pPr>
              <w:jc w:val="center"/>
              <w:spacing w:after="0"/>
              <w:rPr>
                <w:sz w:val="20"/>
                <w:szCs w:val="20"/>
                <w:color w:val="auto"/>
              </w:rPr>
            </w:pPr>
            <w:r>
              <w:rPr>
                <w:rFonts w:ascii="Arial" w:cs="Arial" w:eastAsia="Arial" w:hAnsi="Arial"/>
                <w:sz w:val="16"/>
                <w:szCs w:val="16"/>
                <w:color w:val="auto"/>
              </w:rPr>
              <w:t>daily/weekly/monthly</w:t>
            </w:r>
          </w:p>
        </w:tc>
        <w:tc>
          <w:tcPr>
            <w:tcW w:w="20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5,141.9</w:t>
            </w:r>
          </w:p>
        </w:tc>
        <w:tc>
          <w:tcPr>
            <w:tcW w:w="24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4,722.0</w:t>
            </w: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419.9</w:t>
            </w:r>
          </w:p>
        </w:tc>
        <w:tc>
          <w:tcPr>
            <w:tcW w:w="0" w:type="dxa"/>
            <w:vAlign w:val="bottom"/>
          </w:tcPr>
          <w:p>
            <w:pPr>
              <w:spacing w:after="0"/>
              <w:rPr>
                <w:sz w:val="1"/>
                <w:szCs w:val="1"/>
                <w:color w:val="auto"/>
              </w:rPr>
            </w:pPr>
          </w:p>
        </w:tc>
      </w:tr>
      <w:tr>
        <w:trPr>
          <w:trHeight w:val="217"/>
        </w:trPr>
        <w:tc>
          <w:tcPr>
            <w:tcW w:w="2120" w:type="dxa"/>
            <w:vAlign w:val="bottom"/>
            <w:shd w:val="clear" w:color="auto" w:fill="EDEDEE"/>
          </w:tcPr>
          <w:p>
            <w:pPr>
              <w:ind w:left="20"/>
              <w:spacing w:after="0"/>
              <w:rPr>
                <w:sz w:val="20"/>
                <w:szCs w:val="20"/>
                <w:color w:val="auto"/>
              </w:rPr>
            </w:pPr>
            <w:r>
              <w:rPr>
                <w:rFonts w:ascii="Arial" w:cs="Arial" w:eastAsia="Arial" w:hAnsi="Arial"/>
                <w:sz w:val="16"/>
                <w:szCs w:val="16"/>
                <w:color w:val="auto"/>
              </w:rPr>
              <w:t>3-month SOFR</w:t>
            </w:r>
          </w:p>
        </w:tc>
        <w:tc>
          <w:tcPr>
            <w:tcW w:w="2040" w:type="dxa"/>
            <w:vAlign w:val="bottom"/>
            <w:shd w:val="clear" w:color="auto" w:fill="EDEDEE"/>
          </w:tcPr>
          <w:p>
            <w:pPr>
              <w:jc w:val="center"/>
              <w:spacing w:after="0"/>
              <w:rPr>
                <w:sz w:val="20"/>
                <w:szCs w:val="20"/>
                <w:color w:val="auto"/>
              </w:rPr>
            </w:pPr>
            <w:r>
              <w:rPr>
                <w:rFonts w:ascii="Arial" w:cs="Arial" w:eastAsia="Arial" w:hAnsi="Arial"/>
                <w:sz w:val="16"/>
                <w:szCs w:val="16"/>
                <w:color w:val="auto"/>
                <w:w w:val="99"/>
              </w:rPr>
              <w:t>quarterly</w:t>
            </w:r>
          </w:p>
        </w:tc>
        <w:tc>
          <w:tcPr>
            <w:tcW w:w="200" w:type="dxa"/>
            <w:vAlign w:val="bottom"/>
            <w:shd w:val="clear" w:color="auto" w:fill="EDEDEE"/>
          </w:tcPr>
          <w:p>
            <w:pPr>
              <w:spacing w:after="0"/>
              <w:rPr>
                <w:sz w:val="18"/>
                <w:szCs w:val="18"/>
                <w:color w:val="auto"/>
              </w:rPr>
            </w:pPr>
          </w:p>
        </w:tc>
        <w:tc>
          <w:tcPr>
            <w:tcW w:w="92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DEDEE"/>
          </w:tcPr>
          <w:p>
            <w:pPr>
              <w:spacing w:after="0"/>
              <w:rPr>
                <w:sz w:val="18"/>
                <w:szCs w:val="18"/>
                <w:color w:val="auto"/>
              </w:rPr>
            </w:pPr>
          </w:p>
        </w:tc>
        <w:tc>
          <w:tcPr>
            <w:tcW w:w="9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251.1</w:t>
            </w:r>
          </w:p>
        </w:tc>
        <w:tc>
          <w:tcPr>
            <w:tcW w:w="280" w:type="dxa"/>
            <w:vAlign w:val="bottom"/>
            <w:shd w:val="clear" w:color="auto" w:fill="EDEDEE"/>
          </w:tcPr>
          <w:p>
            <w:pPr>
              <w:spacing w:after="0"/>
              <w:rPr>
                <w:sz w:val="18"/>
                <w:szCs w:val="18"/>
                <w:color w:val="auto"/>
              </w:rPr>
            </w:pPr>
          </w:p>
        </w:tc>
        <w:tc>
          <w:tcPr>
            <w:tcW w:w="9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(251.1)</w:t>
            </w:r>
          </w:p>
        </w:tc>
        <w:tc>
          <w:tcPr>
            <w:tcW w:w="0" w:type="dxa"/>
            <w:vAlign w:val="bottom"/>
          </w:tcPr>
          <w:p>
            <w:pPr>
              <w:spacing w:after="0"/>
              <w:rPr>
                <w:sz w:val="1"/>
                <w:szCs w:val="1"/>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6"/>
                <w:szCs w:val="16"/>
                <w:color w:val="auto"/>
              </w:rPr>
              <w:t>3-month Treasury bill</w:t>
            </w:r>
          </w:p>
        </w:tc>
        <w:tc>
          <w:tcPr>
            <w:tcW w:w="2040" w:type="dxa"/>
            <w:vAlign w:val="bottom"/>
          </w:tcPr>
          <w:p>
            <w:pPr>
              <w:jc w:val="center"/>
              <w:spacing w:after="0"/>
              <w:rPr>
                <w:sz w:val="20"/>
                <w:szCs w:val="20"/>
                <w:color w:val="auto"/>
              </w:rPr>
            </w:pPr>
            <w:r>
              <w:rPr>
                <w:rFonts w:ascii="Arial" w:cs="Arial" w:eastAsia="Arial" w:hAnsi="Arial"/>
                <w:sz w:val="16"/>
                <w:szCs w:val="16"/>
                <w:color w:val="auto"/>
              </w:rPr>
              <w:t>weekly</w:t>
            </w:r>
          </w:p>
        </w:tc>
        <w:tc>
          <w:tcPr>
            <w:tcW w:w="20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120" w:type="dxa"/>
            <w:vAlign w:val="bottom"/>
            <w:shd w:val="clear" w:color="auto" w:fill="EDEDEE"/>
          </w:tcPr>
          <w:p>
            <w:pPr>
              <w:ind w:left="20"/>
              <w:spacing w:after="0"/>
              <w:rPr>
                <w:sz w:val="20"/>
                <w:szCs w:val="20"/>
                <w:color w:val="auto"/>
              </w:rPr>
            </w:pPr>
            <w:r>
              <w:rPr>
                <w:rFonts w:ascii="Arial" w:cs="Arial" w:eastAsia="Arial" w:hAnsi="Arial"/>
                <w:sz w:val="16"/>
                <w:szCs w:val="16"/>
                <w:color w:val="auto"/>
              </w:rPr>
              <w:t>Prime</w:t>
            </w:r>
          </w:p>
        </w:tc>
        <w:tc>
          <w:tcPr>
            <w:tcW w:w="2040" w:type="dxa"/>
            <w:vAlign w:val="bottom"/>
            <w:shd w:val="clear" w:color="auto" w:fill="EDEDEE"/>
          </w:tcPr>
          <w:p>
            <w:pPr>
              <w:jc w:val="center"/>
              <w:spacing w:after="0"/>
              <w:rPr>
                <w:sz w:val="20"/>
                <w:szCs w:val="20"/>
                <w:color w:val="auto"/>
              </w:rPr>
            </w:pPr>
            <w:r>
              <w:rPr>
                <w:rFonts w:ascii="Arial" w:cs="Arial" w:eastAsia="Arial" w:hAnsi="Arial"/>
                <w:sz w:val="16"/>
                <w:szCs w:val="16"/>
                <w:color w:val="auto"/>
              </w:rPr>
              <w:t>monthly</w:t>
            </w:r>
          </w:p>
        </w:tc>
        <w:tc>
          <w:tcPr>
            <w:tcW w:w="200" w:type="dxa"/>
            <w:vAlign w:val="bottom"/>
            <w:shd w:val="clear" w:color="auto" w:fill="EDEDEE"/>
          </w:tcPr>
          <w:p>
            <w:pPr>
              <w:spacing w:after="0"/>
              <w:rPr>
                <w:sz w:val="18"/>
                <w:szCs w:val="18"/>
                <w:color w:val="auto"/>
              </w:rPr>
            </w:pPr>
          </w:p>
        </w:tc>
        <w:tc>
          <w:tcPr>
            <w:tcW w:w="92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0.3</w:t>
            </w:r>
          </w:p>
        </w:tc>
        <w:tc>
          <w:tcPr>
            <w:tcW w:w="240" w:type="dxa"/>
            <w:vAlign w:val="bottom"/>
            <w:shd w:val="clear" w:color="auto" w:fill="EDEDEE"/>
          </w:tcPr>
          <w:p>
            <w:pPr>
              <w:spacing w:after="0"/>
              <w:rPr>
                <w:sz w:val="18"/>
                <w:szCs w:val="18"/>
                <w:color w:val="auto"/>
              </w:rPr>
            </w:pPr>
          </w:p>
        </w:tc>
        <w:tc>
          <w:tcPr>
            <w:tcW w:w="980" w:type="dxa"/>
            <w:vAlign w:val="bottom"/>
            <w:shd w:val="clear" w:color="auto" w:fill="EDEDEE"/>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EDEDEE"/>
          </w:tcPr>
          <w:p>
            <w:pPr>
              <w:spacing w:after="0"/>
              <w:rPr>
                <w:sz w:val="18"/>
                <w:szCs w:val="18"/>
                <w:color w:val="auto"/>
              </w:rPr>
            </w:pPr>
          </w:p>
        </w:tc>
        <w:tc>
          <w:tcPr>
            <w:tcW w:w="900" w:type="dxa"/>
            <w:vAlign w:val="bottom"/>
            <w:shd w:val="clear" w:color="auto" w:fill="EDEDEE"/>
          </w:tcPr>
          <w:p>
            <w:pPr>
              <w:jc w:val="right"/>
              <w:ind w:right="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8"/>
        </w:trPr>
        <w:tc>
          <w:tcPr>
            <w:tcW w:w="2120" w:type="dxa"/>
            <w:vAlign w:val="bottom"/>
          </w:tcPr>
          <w:p>
            <w:pPr>
              <w:ind w:left="20"/>
              <w:spacing w:after="0"/>
              <w:rPr>
                <w:sz w:val="20"/>
                <w:szCs w:val="20"/>
                <w:color w:val="auto"/>
              </w:rPr>
            </w:pPr>
            <w:r>
              <w:rPr>
                <w:rFonts w:ascii="Arial" w:cs="Arial" w:eastAsia="Arial" w:hAnsi="Arial"/>
                <w:sz w:val="16"/>
                <w:szCs w:val="16"/>
                <w:color w:val="auto"/>
              </w:rPr>
              <w:t>Non-Discrete reset</w:t>
            </w:r>
            <w:r>
              <w:rPr>
                <w:rFonts w:ascii="Arial" w:cs="Arial" w:eastAsia="Arial" w:hAnsi="Arial"/>
                <w:sz w:val="21"/>
                <w:szCs w:val="21"/>
                <w:color w:val="auto"/>
                <w:vertAlign w:val="superscript"/>
              </w:rPr>
              <w:t>(2)</w:t>
            </w:r>
          </w:p>
        </w:tc>
        <w:tc>
          <w:tcPr>
            <w:tcW w:w="2040" w:type="dxa"/>
            <w:vAlign w:val="bottom"/>
            <w:vMerge w:val="restart"/>
          </w:tcPr>
          <w:p>
            <w:pPr>
              <w:jc w:val="center"/>
              <w:spacing w:after="0"/>
              <w:rPr>
                <w:sz w:val="20"/>
                <w:szCs w:val="20"/>
                <w:color w:val="auto"/>
              </w:rPr>
            </w:pPr>
            <w:r>
              <w:rPr>
                <w:rFonts w:ascii="Arial" w:cs="Arial" w:eastAsia="Arial" w:hAnsi="Arial"/>
                <w:sz w:val="16"/>
                <w:szCs w:val="16"/>
                <w:color w:val="auto"/>
                <w:w w:val="99"/>
              </w:rPr>
              <w:t>daily/weekly</w:t>
            </w:r>
          </w:p>
        </w:tc>
        <w:tc>
          <w:tcPr>
            <w:tcW w:w="200" w:type="dxa"/>
            <w:vAlign w:val="bottom"/>
          </w:tcPr>
          <w:p>
            <w:pPr>
              <w:spacing w:after="0"/>
              <w:rPr>
                <w:sz w:val="24"/>
                <w:szCs w:val="24"/>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color w:val="auto"/>
              </w:rPr>
              <w:t>3,919.9</w:t>
            </w:r>
          </w:p>
        </w:tc>
        <w:tc>
          <w:tcPr>
            <w:tcW w:w="240" w:type="dxa"/>
            <w:vAlign w:val="bottom"/>
          </w:tcPr>
          <w:p>
            <w:pPr>
              <w:spacing w:after="0"/>
              <w:rPr>
                <w:sz w:val="24"/>
                <w:szCs w:val="24"/>
                <w:color w:val="auto"/>
              </w:rPr>
            </w:pPr>
          </w:p>
        </w:tc>
        <w:tc>
          <w:tcPr>
            <w:tcW w:w="980" w:type="dxa"/>
            <w:vAlign w:val="bottom"/>
            <w:vMerge w:val="restart"/>
          </w:tcPr>
          <w:p>
            <w:pPr>
              <w:jc w:val="right"/>
              <w:ind w:right="20"/>
              <w:spacing w:after="0"/>
              <w:rPr>
                <w:sz w:val="20"/>
                <w:szCs w:val="20"/>
                <w:color w:val="auto"/>
              </w:rPr>
            </w:pPr>
            <w:r>
              <w:rPr>
                <w:rFonts w:ascii="Arial" w:cs="Arial" w:eastAsia="Arial" w:hAnsi="Arial"/>
                <w:sz w:val="16"/>
                <w:szCs w:val="16"/>
                <w:color w:val="auto"/>
              </w:rPr>
              <w:t>3,687.1</w:t>
            </w:r>
          </w:p>
        </w:tc>
        <w:tc>
          <w:tcPr>
            <w:tcW w:w="280" w:type="dxa"/>
            <w:vAlign w:val="bottom"/>
          </w:tcPr>
          <w:p>
            <w:pPr>
              <w:spacing w:after="0"/>
              <w:rPr>
                <w:sz w:val="24"/>
                <w:szCs w:val="24"/>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color w:val="auto"/>
              </w:rPr>
              <w:t>232.8</w:t>
            </w:r>
          </w:p>
        </w:tc>
        <w:tc>
          <w:tcPr>
            <w:tcW w:w="0" w:type="dxa"/>
            <w:vAlign w:val="bottom"/>
          </w:tcPr>
          <w:p>
            <w:pPr>
              <w:spacing w:after="0"/>
              <w:rPr>
                <w:sz w:val="1"/>
                <w:szCs w:val="1"/>
                <w:color w:val="auto"/>
              </w:rPr>
            </w:pPr>
          </w:p>
        </w:tc>
      </w:tr>
      <w:tr>
        <w:trPr>
          <w:trHeight w:val="53"/>
        </w:trPr>
        <w:tc>
          <w:tcPr>
            <w:tcW w:w="212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2"/>
        </w:trPr>
        <w:tc>
          <w:tcPr>
            <w:tcW w:w="2120" w:type="dxa"/>
            <w:vAlign w:val="bottom"/>
            <w:tcBorders>
              <w:bottom w:val="single" w:sz="8" w:color="EDEDEE"/>
            </w:tcBorders>
            <w:shd w:val="clear" w:color="auto" w:fill="EDEDEE"/>
          </w:tcPr>
          <w:p>
            <w:pPr>
              <w:ind w:left="20"/>
              <w:spacing w:after="0"/>
              <w:rPr>
                <w:sz w:val="20"/>
                <w:szCs w:val="20"/>
                <w:color w:val="auto"/>
              </w:rPr>
            </w:pPr>
            <w:r>
              <w:rPr>
                <w:rFonts w:ascii="Arial" w:cs="Arial" w:eastAsia="Arial" w:hAnsi="Arial"/>
                <w:sz w:val="16"/>
                <w:szCs w:val="16"/>
                <w:color w:val="auto"/>
              </w:rPr>
              <w:t>Fixed-Rate</w:t>
            </w:r>
            <w:r>
              <w:rPr>
                <w:rFonts w:ascii="Arial" w:cs="Arial" w:eastAsia="Arial" w:hAnsi="Arial"/>
                <w:sz w:val="21"/>
                <w:szCs w:val="21"/>
                <w:color w:val="auto"/>
                <w:vertAlign w:val="superscript"/>
              </w:rPr>
              <w:t>(3)</w:t>
            </w:r>
          </w:p>
        </w:tc>
        <w:tc>
          <w:tcPr>
            <w:tcW w:w="2040" w:type="dxa"/>
            <w:vAlign w:val="bottom"/>
            <w:tcBorders>
              <w:bottom w:val="single" w:sz="8" w:color="EDEDEE"/>
            </w:tcBorders>
            <w:shd w:val="clear" w:color="auto" w:fill="EDEDEE"/>
          </w:tcPr>
          <w:p>
            <w:pPr>
              <w:spacing w:after="0"/>
              <w:rPr>
                <w:sz w:val="24"/>
                <w:szCs w:val="24"/>
                <w:color w:val="auto"/>
              </w:rPr>
            </w:pPr>
          </w:p>
        </w:tc>
        <w:tc>
          <w:tcPr>
            <w:tcW w:w="200" w:type="dxa"/>
            <w:vAlign w:val="bottom"/>
            <w:tcBorders>
              <w:bottom w:val="single" w:sz="8" w:color="EDEDEE"/>
            </w:tcBorders>
            <w:shd w:val="clear" w:color="auto" w:fill="EDEDEE"/>
          </w:tcPr>
          <w:p>
            <w:pPr>
              <w:spacing w:after="0"/>
              <w:rPr>
                <w:sz w:val="24"/>
                <w:szCs w:val="24"/>
                <w:color w:val="auto"/>
              </w:rPr>
            </w:pPr>
          </w:p>
        </w:tc>
        <w:tc>
          <w:tcPr>
            <w:tcW w:w="920" w:type="dxa"/>
            <w:vAlign w:val="bottom"/>
            <w:tcBorders>
              <w:bottom w:val="single" w:sz="8" w:color="EDEDEE"/>
            </w:tcBorders>
            <w:shd w:val="clear" w:color="auto" w:fill="EDEDEE"/>
          </w:tcPr>
          <w:p>
            <w:pPr>
              <w:jc w:val="right"/>
              <w:ind w:right="20"/>
              <w:spacing w:after="0"/>
              <w:rPr>
                <w:sz w:val="20"/>
                <w:szCs w:val="20"/>
                <w:color w:val="auto"/>
              </w:rPr>
            </w:pPr>
            <w:r>
              <w:rPr>
                <w:rFonts w:ascii="Arial" w:cs="Arial" w:eastAsia="Arial" w:hAnsi="Arial"/>
                <w:sz w:val="16"/>
                <w:szCs w:val="16"/>
                <w:color w:val="auto"/>
              </w:rPr>
              <w:t>19,837.1</w:t>
            </w:r>
          </w:p>
        </w:tc>
        <w:tc>
          <w:tcPr>
            <w:tcW w:w="240" w:type="dxa"/>
            <w:vAlign w:val="bottom"/>
            <w:tcBorders>
              <w:bottom w:val="single" w:sz="8" w:color="EDEDEE"/>
            </w:tcBorders>
            <w:shd w:val="clear" w:color="auto" w:fill="EDEDEE"/>
          </w:tcPr>
          <w:p>
            <w:pPr>
              <w:spacing w:after="0"/>
              <w:rPr>
                <w:sz w:val="24"/>
                <w:szCs w:val="24"/>
                <w:color w:val="auto"/>
              </w:rPr>
            </w:pPr>
          </w:p>
        </w:tc>
        <w:tc>
          <w:tcPr>
            <w:tcW w:w="980" w:type="dxa"/>
            <w:vAlign w:val="bottom"/>
            <w:tcBorders>
              <w:bottom w:val="single" w:sz="8" w:color="EDEDEE"/>
            </w:tcBorders>
            <w:shd w:val="clear" w:color="auto" w:fill="EDEDEE"/>
          </w:tcPr>
          <w:p>
            <w:pPr>
              <w:jc w:val="right"/>
              <w:ind w:right="20"/>
              <w:spacing w:after="0"/>
              <w:rPr>
                <w:sz w:val="20"/>
                <w:szCs w:val="20"/>
                <w:color w:val="auto"/>
              </w:rPr>
            </w:pPr>
            <w:r>
              <w:rPr>
                <w:rFonts w:ascii="Arial" w:cs="Arial" w:eastAsia="Arial" w:hAnsi="Arial"/>
                <w:sz w:val="16"/>
                <w:szCs w:val="16"/>
                <w:color w:val="auto"/>
              </w:rPr>
              <w:t>19,825.4</w:t>
            </w:r>
          </w:p>
        </w:tc>
        <w:tc>
          <w:tcPr>
            <w:tcW w:w="280" w:type="dxa"/>
            <w:vAlign w:val="bottom"/>
            <w:tcBorders>
              <w:bottom w:val="single" w:sz="8" w:color="EDEDEE"/>
            </w:tcBorders>
            <w:shd w:val="clear" w:color="auto" w:fill="EDEDEE"/>
          </w:tcPr>
          <w:p>
            <w:pPr>
              <w:spacing w:after="0"/>
              <w:rPr>
                <w:sz w:val="24"/>
                <w:szCs w:val="24"/>
                <w:color w:val="auto"/>
              </w:rPr>
            </w:pPr>
          </w:p>
        </w:tc>
        <w:tc>
          <w:tcPr>
            <w:tcW w:w="900" w:type="dxa"/>
            <w:vAlign w:val="bottom"/>
            <w:tcBorders>
              <w:bottom w:val="single" w:sz="8" w:color="EDEDEE"/>
            </w:tcBorders>
            <w:shd w:val="clear" w:color="auto" w:fill="EDEDEE"/>
          </w:tcPr>
          <w:p>
            <w:pPr>
              <w:jc w:val="right"/>
              <w:ind w:right="1"/>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color w:val="auto"/>
              </w:rPr>
              <w:t>Total</w:t>
            </w:r>
          </w:p>
        </w:tc>
        <w:tc>
          <w:tcPr>
            <w:tcW w:w="20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28,899.2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28,899.2</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100" w:hanging="310"/>
        <w:spacing w:after="0"/>
        <w:tabs>
          <w:tab w:leader="none" w:pos="2100" w:val="left"/>
        </w:tabs>
        <w:numPr>
          <w:ilvl w:val="0"/>
          <w:numId w:val="70"/>
        </w:numPr>
        <w:rPr>
          <w:rFonts w:ascii="Arial" w:cs="Arial" w:eastAsia="Arial" w:hAnsi="Arial"/>
          <w:sz w:val="9"/>
          <w:szCs w:val="9"/>
          <w:color w:val="auto"/>
        </w:rPr>
      </w:pPr>
      <w:r>
        <w:rPr>
          <w:rFonts w:ascii="Arial" w:cs="Arial" w:eastAsia="Arial" w:hAnsi="Arial"/>
          <w:sz w:val="14"/>
          <w:szCs w:val="14"/>
          <w:color w:val="auto"/>
        </w:rPr>
        <w:t>Funding (by index) includes the impact of all derivatives that qualify as effective hedges.</w:t>
      </w:r>
    </w:p>
    <w:p>
      <w:pPr>
        <w:spacing w:after="0" w:line="95" w:lineRule="exact"/>
        <w:rPr>
          <w:rFonts w:ascii="Arial" w:cs="Arial" w:eastAsia="Arial" w:hAnsi="Arial"/>
          <w:sz w:val="9"/>
          <w:szCs w:val="9"/>
          <w:color w:val="auto"/>
        </w:rPr>
      </w:pPr>
    </w:p>
    <w:p>
      <w:pPr>
        <w:ind w:left="2080" w:right="1420" w:hanging="290"/>
        <w:spacing w:after="0" w:line="231" w:lineRule="auto"/>
        <w:tabs>
          <w:tab w:leader="none" w:pos="2103"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Assets include restricted and unrestricted cash equivalents and other overnight type instruments. Funding includes liquid retail deposits and the obligation to return cash collateral held related to derivatives exposures.</w:t>
      </w:r>
    </w:p>
    <w:p>
      <w:pPr>
        <w:spacing w:after="0" w:line="66" w:lineRule="exact"/>
        <w:rPr>
          <w:rFonts w:ascii="Arial" w:cs="Arial" w:eastAsia="Arial" w:hAnsi="Arial"/>
          <w:sz w:val="19"/>
          <w:szCs w:val="19"/>
          <w:color w:val="auto"/>
          <w:vertAlign w:val="superscript"/>
        </w:rPr>
      </w:pPr>
    </w:p>
    <w:p>
      <w:pPr>
        <w:ind w:left="2080" w:right="1160" w:hanging="290"/>
        <w:spacing w:after="0" w:line="231" w:lineRule="auto"/>
        <w:tabs>
          <w:tab w:leader="none" w:pos="2103"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Assets include receivables and other assets (including premiums and reserves). Funding includes unswapped time deposits, liquid MMDAs swapped to fixed-rates, and stockholders' equity.</w:t>
      </w:r>
    </w:p>
    <w:p>
      <w:pPr>
        <w:spacing w:after="0" w:line="287"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The “Funding Gap” in the above table shows primarily mismatches in the Fed Funds Effective Rate, SOFR rate, 3-month SOFR, Non-Discrete Reset, and Fixed-Rate categories. Changes in the Fed Funds Effective Rate, the Non-Discrete Reset, and the daily, weekly, and monthly SOFR, and 3-month SOFR categories are generally quite highly correlated, and should offset each other effectively. The funding in the fixed-rate bucket includes $2.1 billion of equity and $0.3 billion of non-interest bearing liabilities. We consider the overall repricing risk to be low.</w:t>
      </w:r>
    </w:p>
    <w:p>
      <w:pPr>
        <w:spacing w:after="0" w:line="133"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We use interest rate swaps and other derivatives to achieve our risk management objectives. Our asset liability management strategy is to match assets with debt (in combination with derivatives) that have the same underlying index and reset frequency or have interest rate characteristics that we believe are highly correlated. The use of funding with index types and reset frequencies that are different from our assets exposes us to interest rate risk in the form of basis and repricing risk. This could result in our cost of funds not moving in the same direction or with the same magnitude as the yield on our assets. While we believe this risk is low, as all of these indices are short-term with rate movements that are highly correlated over a long period of time, market disruptions (which have occurred in recent years) can lead to a temporary divergence between indices, resulting in a negative impact to our earnings.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134F82"/>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9" w:right="3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Weighted Average Life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weighted average lives of our earning assets and liabilities at March 31, 2025.</w:t>
      </w:r>
    </w:p>
    <w:p>
      <w:pPr>
        <w:spacing w:after="0" w:line="297" w:lineRule="exact"/>
        <w:rPr>
          <w:sz w:val="20"/>
          <w:szCs w:val="20"/>
          <w:color w:val="auto"/>
        </w:rPr>
      </w:pPr>
    </w:p>
    <w:tbl>
      <w:tblPr>
        <w:tblLayout w:type="fixed"/>
        <w:tblInd w:w="3660" w:type="dxa"/>
        <w:tblCellMar>
          <w:top w:w="0" w:type="dxa"/>
          <w:left w:w="0" w:type="dxa"/>
          <w:bottom w:w="0" w:type="dxa"/>
          <w:right w:w="0" w:type="dxa"/>
        </w:tblCellMar>
      </w:tblPr>
      <w:tr>
        <w:trPr>
          <w:trHeight w:val="190"/>
        </w:trPr>
        <w:tc>
          <w:tcPr>
            <w:tcW w:w="2920" w:type="dxa"/>
            <w:vAlign w:val="bottom"/>
          </w:tcPr>
          <w:p>
            <w:pPr>
              <w:spacing w:after="0"/>
              <w:rPr>
                <w:sz w:val="20"/>
                <w:szCs w:val="20"/>
                <w:color w:val="auto"/>
              </w:rPr>
            </w:pPr>
            <w:r>
              <w:rPr>
                <w:rFonts w:ascii="Arial" w:cs="Arial" w:eastAsia="Arial" w:hAnsi="Arial"/>
                <w:sz w:val="14"/>
                <w:szCs w:val="14"/>
                <w:b w:val="1"/>
                <w:bCs w:val="1"/>
                <w:color w:val="144F82"/>
              </w:rPr>
              <w:t>As of March 31, 2025</w:t>
            </w: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144F82"/>
              </w:rPr>
              <w:t>Weighted</w:t>
            </w:r>
          </w:p>
        </w:tc>
      </w:tr>
      <w:tr>
        <w:trPr>
          <w:trHeight w:val="189"/>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144F82"/>
              </w:rPr>
              <w:t>(averages in years)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144F82"/>
              </w:rPr>
              <w:t>Average Life</w:t>
            </w:r>
          </w:p>
        </w:tc>
      </w:tr>
      <w:tr>
        <w:trPr>
          <w:trHeight w:val="209"/>
        </w:trPr>
        <w:tc>
          <w:tcPr>
            <w:tcW w:w="2920" w:type="dxa"/>
            <w:vAlign w:val="bottom"/>
            <w:shd w:val="clear" w:color="auto" w:fill="EDEDEE"/>
          </w:tcPr>
          <w:p>
            <w:pPr>
              <w:spacing w:after="0"/>
              <w:rPr>
                <w:sz w:val="20"/>
                <w:szCs w:val="20"/>
                <w:color w:val="auto"/>
              </w:rPr>
            </w:pPr>
            <w:r>
              <w:rPr>
                <w:rFonts w:ascii="Arial" w:cs="Arial" w:eastAsia="Arial" w:hAnsi="Arial"/>
                <w:sz w:val="16"/>
                <w:szCs w:val="16"/>
                <w:b w:val="1"/>
                <w:bCs w:val="1"/>
                <w:color w:val="144F82"/>
              </w:rPr>
              <w:t>Earning assets</w:t>
            </w:r>
          </w:p>
        </w:tc>
        <w:tc>
          <w:tcPr>
            <w:tcW w:w="1060" w:type="dxa"/>
            <w:vAlign w:val="bottom"/>
            <w:shd w:val="clear" w:color="auto" w:fill="EDEDEE"/>
          </w:tcPr>
          <w:p>
            <w:pPr>
              <w:spacing w:after="0"/>
              <w:rPr>
                <w:sz w:val="18"/>
                <w:szCs w:val="18"/>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6"/>
                <w:szCs w:val="16"/>
                <w:color w:val="auto"/>
              </w:rPr>
              <w:t>Private Education Loans</w:t>
            </w:r>
          </w:p>
        </w:tc>
        <w:tc>
          <w:tcPr>
            <w:tcW w:w="1060" w:type="dxa"/>
            <w:vAlign w:val="bottom"/>
          </w:tcPr>
          <w:p>
            <w:pPr>
              <w:jc w:val="right"/>
              <w:spacing w:after="0"/>
              <w:rPr>
                <w:sz w:val="20"/>
                <w:szCs w:val="20"/>
                <w:color w:val="auto"/>
              </w:rPr>
            </w:pPr>
            <w:r>
              <w:rPr>
                <w:rFonts w:ascii="Arial" w:cs="Arial" w:eastAsia="Arial" w:hAnsi="Arial"/>
                <w:sz w:val="16"/>
                <w:szCs w:val="16"/>
                <w:color w:val="auto"/>
              </w:rPr>
              <w:t>5.62</w:t>
            </w:r>
          </w:p>
        </w:tc>
      </w:tr>
      <w:tr>
        <w:trPr>
          <w:trHeight w:val="216"/>
        </w:trPr>
        <w:tc>
          <w:tcPr>
            <w:tcW w:w="2920" w:type="dxa"/>
            <w:vAlign w:val="bottom"/>
            <w:shd w:val="clear" w:color="auto" w:fill="EDEDEE"/>
          </w:tcPr>
          <w:p>
            <w:pPr>
              <w:spacing w:after="0"/>
              <w:rPr>
                <w:sz w:val="20"/>
                <w:szCs w:val="20"/>
                <w:color w:val="auto"/>
              </w:rPr>
            </w:pPr>
            <w:r>
              <w:rPr>
                <w:rFonts w:ascii="Arial" w:cs="Arial" w:eastAsia="Arial" w:hAnsi="Arial"/>
                <w:sz w:val="16"/>
                <w:szCs w:val="16"/>
                <w:color w:val="auto"/>
              </w:rPr>
              <w:t>Cash and investments</w:t>
            </w:r>
          </w:p>
        </w:tc>
        <w:tc>
          <w:tcPr>
            <w:tcW w:w="10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1.52</w:t>
            </w:r>
          </w:p>
        </w:tc>
      </w:tr>
      <w:tr>
        <w:trPr>
          <w:trHeight w:val="210"/>
        </w:trPr>
        <w:tc>
          <w:tcPr>
            <w:tcW w:w="2920" w:type="dxa"/>
            <w:vAlign w:val="bottom"/>
          </w:tcPr>
          <w:p>
            <w:pPr>
              <w:spacing w:after="0"/>
              <w:rPr>
                <w:sz w:val="20"/>
                <w:szCs w:val="20"/>
                <w:color w:val="auto"/>
              </w:rPr>
            </w:pPr>
            <w:r>
              <w:rPr>
                <w:rFonts w:ascii="Arial" w:cs="Arial" w:eastAsia="Arial" w:hAnsi="Arial"/>
                <w:sz w:val="16"/>
                <w:szCs w:val="16"/>
                <w:color w:val="auto"/>
              </w:rPr>
              <w:t>Total earning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r>
      <w:tr>
        <w:trPr>
          <w:trHeight w:val="20"/>
        </w:trPr>
        <w:tc>
          <w:tcPr>
            <w:tcW w:w="2920" w:type="dxa"/>
            <w:vAlign w:val="bottom"/>
            <w:tcBorders>
              <w:bottom w:val="single" w:sz="8" w:color="EDEDEE"/>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2920" w:type="dxa"/>
            <w:vAlign w:val="bottom"/>
            <w:shd w:val="clear" w:color="auto" w:fill="EDEDEE"/>
          </w:tcPr>
          <w:p>
            <w:pPr>
              <w:spacing w:after="0"/>
              <w:rPr>
                <w:sz w:val="15"/>
                <w:szCs w:val="15"/>
                <w:color w:val="auto"/>
              </w:rPr>
            </w:pPr>
          </w:p>
        </w:tc>
        <w:tc>
          <w:tcPr>
            <w:tcW w:w="1060" w:type="dxa"/>
            <w:vAlign w:val="bottom"/>
            <w:shd w:val="clear" w:color="auto" w:fill="EDEDEE"/>
          </w:tcPr>
          <w:p>
            <w:pPr>
              <w:spacing w:after="0"/>
              <w:rPr>
                <w:sz w:val="15"/>
                <w:szCs w:val="15"/>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6"/>
                <w:szCs w:val="16"/>
                <w:b w:val="1"/>
                <w:bCs w:val="1"/>
                <w:color w:val="144F82"/>
              </w:rPr>
              <w:t>Deposits</w:t>
            </w:r>
          </w:p>
        </w:tc>
        <w:tc>
          <w:tcPr>
            <w:tcW w:w="1060" w:type="dxa"/>
            <w:vAlign w:val="bottom"/>
          </w:tcPr>
          <w:p>
            <w:pPr>
              <w:spacing w:after="0"/>
              <w:rPr>
                <w:sz w:val="18"/>
                <w:szCs w:val="18"/>
                <w:color w:val="auto"/>
              </w:rPr>
            </w:pPr>
          </w:p>
        </w:tc>
      </w:tr>
      <w:tr>
        <w:trPr>
          <w:trHeight w:val="216"/>
        </w:trPr>
        <w:tc>
          <w:tcPr>
            <w:tcW w:w="2920" w:type="dxa"/>
            <w:vAlign w:val="bottom"/>
            <w:shd w:val="clear" w:color="auto" w:fill="EDEDEE"/>
          </w:tcPr>
          <w:p>
            <w:pPr>
              <w:spacing w:after="0"/>
              <w:rPr>
                <w:sz w:val="20"/>
                <w:szCs w:val="20"/>
                <w:color w:val="auto"/>
              </w:rPr>
            </w:pPr>
            <w:r>
              <w:rPr>
                <w:rFonts w:ascii="Arial" w:cs="Arial" w:eastAsia="Arial" w:hAnsi="Arial"/>
                <w:sz w:val="16"/>
                <w:szCs w:val="16"/>
                <w:color w:val="auto"/>
              </w:rPr>
              <w:t>Short-term deposits</w:t>
            </w:r>
          </w:p>
        </w:tc>
        <w:tc>
          <w:tcPr>
            <w:tcW w:w="10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0.57</w:t>
            </w:r>
          </w:p>
        </w:tc>
      </w:tr>
      <w:tr>
        <w:trPr>
          <w:trHeight w:val="215"/>
        </w:trPr>
        <w:tc>
          <w:tcPr>
            <w:tcW w:w="2920" w:type="dxa"/>
            <w:vAlign w:val="bottom"/>
            <w:tcBorders>
              <w:bottom w:val="single" w:sz="8" w:color="EDEDEE"/>
            </w:tcBorders>
          </w:tcPr>
          <w:p>
            <w:pPr>
              <w:spacing w:after="0"/>
              <w:rPr>
                <w:sz w:val="20"/>
                <w:szCs w:val="20"/>
                <w:color w:val="auto"/>
              </w:rPr>
            </w:pPr>
            <w:r>
              <w:rPr>
                <w:rFonts w:ascii="Arial" w:cs="Arial" w:eastAsia="Arial" w:hAnsi="Arial"/>
                <w:sz w:val="16"/>
                <w:szCs w:val="16"/>
                <w:color w:val="auto"/>
              </w:rPr>
              <w:t>Long-term deposits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r>
      <w:tr>
        <w:trPr>
          <w:trHeight w:val="235"/>
        </w:trPr>
        <w:tc>
          <w:tcPr>
            <w:tcW w:w="292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color w:val="auto"/>
              </w:rPr>
              <w:t>Total deposits</w:t>
            </w:r>
          </w:p>
        </w:tc>
        <w:tc>
          <w:tcPr>
            <w:tcW w:w="10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0.85</w:t>
            </w:r>
          </w:p>
        </w:tc>
      </w:tr>
      <w:tr>
        <w:trPr>
          <w:trHeight w:val="20"/>
        </w:trPr>
        <w:tc>
          <w:tcPr>
            <w:tcW w:w="2920" w:type="dxa"/>
            <w:vAlign w:val="bottom"/>
            <w:tcBorders>
              <w:top w:val="single" w:sz="8" w:color="EDEDEE"/>
            </w:tcBorders>
          </w:tcPr>
          <w:p>
            <w:pPr>
              <w:spacing w:after="0" w:line="20" w:lineRule="exact"/>
              <w:rPr>
                <w:sz w:val="1"/>
                <w:szCs w:val="1"/>
                <w:color w:val="auto"/>
              </w:rPr>
            </w:pPr>
          </w:p>
        </w:tc>
        <w:tc>
          <w:tcPr>
            <w:tcW w:w="1060" w:type="dxa"/>
            <w:vAlign w:val="bottom"/>
            <w:tcBorders>
              <w:top w:val="single" w:sz="8" w:color="EDEDEE"/>
              <w:bottom w:val="single" w:sz="8" w:color="auto"/>
            </w:tcBorders>
          </w:tcPr>
          <w:p>
            <w:pPr>
              <w:spacing w:after="0" w:line="20" w:lineRule="exact"/>
              <w:rPr>
                <w:sz w:val="1"/>
                <w:szCs w:val="1"/>
                <w:color w:val="auto"/>
              </w:rPr>
            </w:pPr>
          </w:p>
        </w:tc>
      </w:tr>
      <w:tr>
        <w:trPr>
          <w:trHeight w:val="163"/>
        </w:trPr>
        <w:tc>
          <w:tcPr>
            <w:tcW w:w="2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2920" w:type="dxa"/>
            <w:vAlign w:val="bottom"/>
            <w:shd w:val="clear" w:color="auto" w:fill="EDEDEE"/>
          </w:tcPr>
          <w:p>
            <w:pPr>
              <w:spacing w:after="0"/>
              <w:rPr>
                <w:sz w:val="20"/>
                <w:szCs w:val="20"/>
                <w:color w:val="auto"/>
              </w:rPr>
            </w:pPr>
            <w:r>
              <w:rPr>
                <w:rFonts w:ascii="Arial" w:cs="Arial" w:eastAsia="Arial" w:hAnsi="Arial"/>
                <w:sz w:val="16"/>
                <w:szCs w:val="16"/>
                <w:b w:val="1"/>
                <w:bCs w:val="1"/>
                <w:color w:val="144F82"/>
              </w:rPr>
              <w:t>Borrowings</w:t>
            </w:r>
          </w:p>
        </w:tc>
        <w:tc>
          <w:tcPr>
            <w:tcW w:w="1060" w:type="dxa"/>
            <w:vAlign w:val="bottom"/>
            <w:shd w:val="clear" w:color="auto" w:fill="EDEDEE"/>
          </w:tcPr>
          <w:p>
            <w:pPr>
              <w:spacing w:after="0"/>
              <w:rPr>
                <w:sz w:val="18"/>
                <w:szCs w:val="18"/>
                <w:color w:val="auto"/>
              </w:rPr>
            </w:pPr>
          </w:p>
        </w:tc>
      </w:tr>
      <w:tr>
        <w:trPr>
          <w:trHeight w:val="215"/>
        </w:trPr>
        <w:tc>
          <w:tcPr>
            <w:tcW w:w="2920" w:type="dxa"/>
            <w:vAlign w:val="bottom"/>
            <w:tcBorders>
              <w:bottom w:val="single" w:sz="8" w:color="EDEDEE"/>
            </w:tcBorders>
          </w:tcPr>
          <w:p>
            <w:pPr>
              <w:spacing w:after="0"/>
              <w:rPr>
                <w:sz w:val="20"/>
                <w:szCs w:val="20"/>
                <w:color w:val="auto"/>
              </w:rPr>
            </w:pPr>
            <w:r>
              <w:rPr>
                <w:rFonts w:ascii="Arial" w:cs="Arial" w:eastAsia="Arial" w:hAnsi="Arial"/>
                <w:sz w:val="16"/>
                <w:szCs w:val="16"/>
                <w:color w:val="auto"/>
              </w:rPr>
              <w:t>Long-term borrowings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r>
      <w:tr>
        <w:trPr>
          <w:trHeight w:val="235"/>
        </w:trPr>
        <w:tc>
          <w:tcPr>
            <w:tcW w:w="292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color w:val="auto"/>
              </w:rPr>
              <w:t>Total borrowings</w:t>
            </w:r>
          </w:p>
        </w:tc>
        <w:tc>
          <w:tcPr>
            <w:tcW w:w="10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3.83</w:t>
            </w:r>
          </w:p>
        </w:tc>
      </w:tr>
      <w:tr>
        <w:trPr>
          <w:trHeight w:val="20"/>
        </w:trPr>
        <w:tc>
          <w:tcPr>
            <w:tcW w:w="2920" w:type="dxa"/>
            <w:vAlign w:val="bottom"/>
            <w:tcBorders>
              <w:top w:val="single" w:sz="8" w:color="EDEDEE"/>
            </w:tcBorders>
          </w:tcPr>
          <w:p>
            <w:pPr>
              <w:spacing w:after="0" w:line="20" w:lineRule="exact"/>
              <w:rPr>
                <w:sz w:val="1"/>
                <w:szCs w:val="1"/>
                <w:color w:val="auto"/>
              </w:rPr>
            </w:pPr>
          </w:p>
        </w:tc>
        <w:tc>
          <w:tcPr>
            <w:tcW w:w="1060" w:type="dxa"/>
            <w:vAlign w:val="bottom"/>
            <w:tcBorders>
              <w:top w:val="single" w:sz="8" w:color="EDEDEE"/>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144F82"/>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77" w:name="page78"/>
    <w:bookmarkEnd w:id="77"/>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144F82"/>
        </w:rPr>
        <w:t>Item 4.</w:t>
        <w:tab/>
        <w:t>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88"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Securities Exchange Act of 1934, as amended (the “Exchange Act”)) as of March 31, 2025. Based on this evaluation, our principal executive officer and principal financial officer concluded that, as of March 31, 2025, our disclosure controls and procedures were effective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88"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quarter ended March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134F82"/>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78" w:name="page79"/>
    <w:bookmarkEnd w:id="78"/>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144F82"/>
        </w:rPr>
        <w:t>Item 1.</w:t>
      </w:r>
      <w:r>
        <w:rPr>
          <w:sz w:val="20"/>
          <w:szCs w:val="20"/>
          <w:color w:val="auto"/>
        </w:rPr>
        <w:tab/>
      </w:r>
      <w:r>
        <w:rPr>
          <w:rFonts w:ascii="Arial" w:cs="Arial" w:eastAsia="Arial" w:hAnsi="Arial"/>
          <w:sz w:val="17"/>
          <w:szCs w:val="17"/>
          <w:b w:val="1"/>
          <w:bCs w:val="1"/>
          <w:color w:val="144F82"/>
        </w:rPr>
        <w:t>Legal Proceedings</w:t>
      </w:r>
    </w:p>
    <w:p>
      <w:pPr>
        <w:spacing w:after="0" w:line="90"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The information required by this item is set forth in the “Commitments, Contingencies and Guarantees” discussion in Note 13 of this Form 10-Q, which discussion is incorporated herein by reference in response to this Item.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44F82"/>
        </w:rPr>
        <w:t>Item 1A. Risk Factors</w:t>
      </w:r>
    </w:p>
    <w:p>
      <w:pPr>
        <w:spacing w:after="0" w:line="63"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Our business activities involve a variety of risks. Readers should carefully consider the risk factors disclosed in Part I, Item 1A. “Risk Factors” of our 2024 Form 10-K.</w:t>
      </w:r>
    </w:p>
    <w:p>
      <w:pPr>
        <w:spacing w:after="0" w:line="2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144F82"/>
        </w:rPr>
        <w:t>Item 2.</w:t>
      </w:r>
      <w:r>
        <w:rPr>
          <w:sz w:val="20"/>
          <w:szCs w:val="20"/>
          <w:color w:val="auto"/>
        </w:rPr>
        <w:tab/>
      </w:r>
      <w:r>
        <w:rPr>
          <w:rFonts w:ascii="Arial" w:cs="Arial" w:eastAsia="Arial" w:hAnsi="Arial"/>
          <w:sz w:val="17"/>
          <w:szCs w:val="17"/>
          <w:b w:val="1"/>
          <w:bCs w:val="1"/>
          <w:color w:val="144F82"/>
        </w:rPr>
        <w:t>Unregistered Sales of Equity Securities and Use of Proceeds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6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table provides information relating to our purchase of shares of our common stock in the three months ended March 31, 2025.</w:t>
      </w:r>
    </w:p>
    <w:p>
      <w:pPr>
        <w:spacing w:after="0" w:line="17" w:lineRule="exact"/>
        <w:rPr>
          <w:sz w:val="20"/>
          <w:szCs w:val="20"/>
          <w:color w:val="auto"/>
        </w:rPr>
      </w:pPr>
    </w:p>
    <w:tbl>
      <w:tblPr>
        <w:tblLayout w:type="fixed"/>
        <w:tblInd w:w="880" w:type="dxa"/>
        <w:tblCellMar>
          <w:top w:w="0" w:type="dxa"/>
          <w:left w:w="0" w:type="dxa"/>
          <w:bottom w:w="0" w:type="dxa"/>
          <w:right w:w="0" w:type="dxa"/>
        </w:tblCellMar>
      </w:tblPr>
      <w:tr>
        <w:trPr>
          <w:trHeight w:val="166"/>
        </w:trPr>
        <w:tc>
          <w:tcPr>
            <w:tcW w:w="3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center"/>
              <w:ind w:right="106"/>
              <w:spacing w:after="0"/>
              <w:rPr>
                <w:sz w:val="20"/>
                <w:szCs w:val="20"/>
                <w:color w:val="auto"/>
              </w:rPr>
            </w:pPr>
            <w:r>
              <w:rPr>
                <w:rFonts w:ascii="Arial" w:cs="Arial" w:eastAsia="Arial" w:hAnsi="Arial"/>
                <w:sz w:val="14"/>
                <w:szCs w:val="14"/>
                <w:b w:val="1"/>
                <w:bCs w:val="1"/>
                <w:color w:val="144F82"/>
              </w:rPr>
              <w:t>Approximate Dollar</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tcPr>
          <w:p>
            <w:pPr>
              <w:jc w:val="center"/>
              <w:ind w:right="106"/>
              <w:spacing w:after="0" w:line="145" w:lineRule="exact"/>
              <w:rPr>
                <w:sz w:val="20"/>
                <w:szCs w:val="20"/>
                <w:color w:val="auto"/>
              </w:rPr>
            </w:pPr>
            <w:r>
              <w:rPr>
                <w:rFonts w:ascii="Arial" w:cs="Arial" w:eastAsia="Arial" w:hAnsi="Arial"/>
                <w:sz w:val="14"/>
                <w:szCs w:val="14"/>
                <w:b w:val="1"/>
                <w:bCs w:val="1"/>
                <w:color w:val="144F82"/>
                <w:w w:val="96"/>
              </w:rPr>
              <w:t>Value</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144F82"/>
              </w:rPr>
              <w:t>Total Number of</w:t>
            </w:r>
          </w:p>
        </w:tc>
        <w:tc>
          <w:tcPr>
            <w:tcW w:w="480" w:type="dxa"/>
            <w:vAlign w:val="bottom"/>
          </w:tcPr>
          <w:p>
            <w:pPr>
              <w:spacing w:after="0"/>
              <w:rPr>
                <w:sz w:val="12"/>
                <w:szCs w:val="12"/>
                <w:color w:val="auto"/>
              </w:rPr>
            </w:pPr>
          </w:p>
        </w:tc>
        <w:tc>
          <w:tcPr>
            <w:tcW w:w="1700" w:type="dxa"/>
            <w:vAlign w:val="bottom"/>
          </w:tcPr>
          <w:p>
            <w:pPr>
              <w:jc w:val="center"/>
              <w:ind w:right="106"/>
              <w:spacing w:after="0" w:line="139" w:lineRule="exact"/>
              <w:rPr>
                <w:sz w:val="20"/>
                <w:szCs w:val="20"/>
                <w:color w:val="auto"/>
              </w:rPr>
            </w:pPr>
            <w:r>
              <w:rPr>
                <w:rFonts w:ascii="Arial" w:cs="Arial" w:eastAsia="Arial" w:hAnsi="Arial"/>
                <w:sz w:val="14"/>
                <w:szCs w:val="14"/>
                <w:b w:val="1"/>
                <w:bCs w:val="1"/>
                <w:color w:val="144F82"/>
              </w:rPr>
              <w:t>of Shares That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144F82"/>
              </w:rPr>
              <w:t>May Yet Be</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40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144F82"/>
                <w:w w:val="99"/>
              </w:rPr>
              <w:t>Total Number</w:t>
            </w:r>
          </w:p>
        </w:tc>
        <w:tc>
          <w:tcPr>
            <w:tcW w:w="320" w:type="dxa"/>
            <w:vAlign w:val="bottom"/>
          </w:tcPr>
          <w:p>
            <w:pPr>
              <w:spacing w:after="0"/>
              <w:rPr>
                <w:sz w:val="12"/>
                <w:szCs w:val="12"/>
                <w:color w:val="auto"/>
              </w:rPr>
            </w:pPr>
          </w:p>
        </w:tc>
        <w:tc>
          <w:tcPr>
            <w:tcW w:w="1300" w:type="dxa"/>
            <w:vAlign w:val="bottom"/>
            <w:vMerge w:val="restart"/>
          </w:tcPr>
          <w:p>
            <w:pPr>
              <w:jc w:val="center"/>
              <w:ind w:right="183"/>
              <w:spacing w:after="0"/>
              <w:rPr>
                <w:sz w:val="20"/>
                <w:szCs w:val="20"/>
                <w:color w:val="auto"/>
              </w:rPr>
            </w:pPr>
            <w:r>
              <w:rPr>
                <w:rFonts w:ascii="Arial" w:cs="Arial" w:eastAsia="Arial" w:hAnsi="Arial"/>
                <w:sz w:val="14"/>
                <w:szCs w:val="14"/>
                <w:b w:val="1"/>
                <w:bCs w:val="1"/>
                <w:color w:val="144F82"/>
              </w:rPr>
              <w:t>Average Price</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144F82"/>
              </w:rPr>
              <w:t>Shares Purchased</w:t>
            </w:r>
          </w:p>
        </w:tc>
        <w:tc>
          <w:tcPr>
            <w:tcW w:w="480" w:type="dxa"/>
            <w:vAlign w:val="bottom"/>
          </w:tcPr>
          <w:p>
            <w:pPr>
              <w:spacing w:after="0"/>
              <w:rPr>
                <w:sz w:val="12"/>
                <w:szCs w:val="12"/>
                <w:color w:val="auto"/>
              </w:rPr>
            </w:pPr>
          </w:p>
        </w:tc>
        <w:tc>
          <w:tcPr>
            <w:tcW w:w="1700" w:type="dxa"/>
            <w:vAlign w:val="bottom"/>
          </w:tcPr>
          <w:p>
            <w:pPr>
              <w:jc w:val="center"/>
              <w:ind w:right="106"/>
              <w:spacing w:after="0" w:line="145" w:lineRule="exact"/>
              <w:rPr>
                <w:sz w:val="20"/>
                <w:szCs w:val="20"/>
                <w:color w:val="auto"/>
              </w:rPr>
            </w:pPr>
            <w:r>
              <w:rPr>
                <w:rFonts w:ascii="Arial" w:cs="Arial" w:eastAsia="Arial" w:hAnsi="Arial"/>
                <w:sz w:val="14"/>
                <w:szCs w:val="14"/>
                <w:b w:val="1"/>
                <w:bCs w:val="1"/>
                <w:color w:val="144F82"/>
              </w:rPr>
              <w:t>Purchased Under</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Arial" w:cs="Arial" w:eastAsia="Arial" w:hAnsi="Arial"/>
                <w:sz w:val="13"/>
                <w:szCs w:val="13"/>
                <w:b w:val="1"/>
                <w:bCs w:val="1"/>
                <w:color w:val="144F82"/>
              </w:rPr>
              <w:t>(Dollars in thousands,</w:t>
            </w:r>
          </w:p>
        </w:tc>
        <w:tc>
          <w:tcPr>
            <w:tcW w:w="1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144F82"/>
              </w:rPr>
              <w:t>as Part of Publicly</w:t>
            </w:r>
          </w:p>
        </w:tc>
        <w:tc>
          <w:tcPr>
            <w:tcW w:w="480" w:type="dxa"/>
            <w:vAlign w:val="bottom"/>
          </w:tcPr>
          <w:p>
            <w:pPr>
              <w:spacing w:after="0"/>
              <w:rPr>
                <w:sz w:val="12"/>
                <w:szCs w:val="12"/>
                <w:color w:val="auto"/>
              </w:rPr>
            </w:pPr>
          </w:p>
        </w:tc>
        <w:tc>
          <w:tcPr>
            <w:tcW w:w="170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144F82"/>
              </w:rPr>
              <w:t>Publicly Announced</w:t>
            </w:r>
          </w:p>
        </w:tc>
        <w:tc>
          <w:tcPr>
            <w:tcW w:w="0" w:type="dxa"/>
            <w:vAlign w:val="bottom"/>
          </w:tcPr>
          <w:p>
            <w:pPr>
              <w:spacing w:after="0"/>
              <w:rPr>
                <w:sz w:val="1"/>
                <w:szCs w:val="1"/>
                <w:color w:val="auto"/>
              </w:rPr>
            </w:pPr>
          </w:p>
        </w:tc>
      </w:tr>
      <w:tr>
        <w:trPr>
          <w:trHeight w:val="148"/>
        </w:trPr>
        <w:tc>
          <w:tcPr>
            <w:tcW w:w="3200" w:type="dxa"/>
            <w:vAlign w:val="bottom"/>
            <w:vMerge w:val="continue"/>
          </w:tcPr>
          <w:p>
            <w:pPr>
              <w:spacing w:after="0"/>
              <w:rPr>
                <w:sz w:val="12"/>
                <w:szCs w:val="12"/>
                <w:color w:val="auto"/>
              </w:rPr>
            </w:pPr>
          </w:p>
        </w:tc>
        <w:tc>
          <w:tcPr>
            <w:tcW w:w="14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144F82"/>
              </w:rPr>
              <w:t>of Shares</w:t>
            </w:r>
          </w:p>
        </w:tc>
        <w:tc>
          <w:tcPr>
            <w:tcW w:w="320" w:type="dxa"/>
            <w:vAlign w:val="bottom"/>
          </w:tcPr>
          <w:p>
            <w:pPr>
              <w:spacing w:after="0"/>
              <w:rPr>
                <w:sz w:val="12"/>
                <w:szCs w:val="12"/>
                <w:color w:val="auto"/>
              </w:rPr>
            </w:pPr>
          </w:p>
        </w:tc>
        <w:tc>
          <w:tcPr>
            <w:tcW w:w="130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144F82"/>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144F82"/>
              </w:rPr>
              <w:t>Announced Plans</w:t>
            </w:r>
          </w:p>
        </w:tc>
        <w:tc>
          <w:tcPr>
            <w:tcW w:w="480" w:type="dxa"/>
            <w:vAlign w:val="bottom"/>
          </w:tcPr>
          <w:p>
            <w:pPr>
              <w:spacing w:after="0"/>
              <w:rPr>
                <w:sz w:val="12"/>
                <w:szCs w:val="12"/>
                <w:color w:val="auto"/>
              </w:rPr>
            </w:pPr>
          </w:p>
        </w:tc>
        <w:tc>
          <w:tcPr>
            <w:tcW w:w="170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144F82"/>
              </w:rPr>
              <w:t>Plans or</w:t>
            </w:r>
          </w:p>
        </w:tc>
        <w:tc>
          <w:tcPr>
            <w:tcW w:w="0" w:type="dxa"/>
            <w:vAlign w:val="bottom"/>
          </w:tcPr>
          <w:p>
            <w:pPr>
              <w:spacing w:after="0"/>
              <w:rPr>
                <w:sz w:val="1"/>
                <w:szCs w:val="1"/>
                <w:color w:val="auto"/>
              </w:rPr>
            </w:pPr>
          </w:p>
        </w:tc>
      </w:tr>
      <w:tr>
        <w:trPr>
          <w:trHeight w:val="189"/>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144F82"/>
              </w:rPr>
              <w:t>except per share data)</w:t>
            </w:r>
          </w:p>
        </w:tc>
        <w:tc>
          <w:tcPr>
            <w:tcW w:w="14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144F82"/>
              </w:rPr>
              <w:t>Purchased</w:t>
            </w:r>
            <w:r>
              <w:rPr>
                <w:rFonts w:ascii="Arial" w:cs="Arial" w:eastAsia="Arial" w:hAnsi="Arial"/>
                <w:sz w:val="9"/>
                <w:szCs w:val="9"/>
                <w:b w:val="1"/>
                <w:bCs w:val="1"/>
                <w:color w:val="144F82"/>
              </w:rPr>
              <w:t>(1)</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144F82"/>
              </w:rPr>
              <w:t>Share</w:t>
            </w:r>
          </w:p>
        </w:tc>
        <w:tc>
          <w:tcPr>
            <w:tcW w:w="1580" w:type="dxa"/>
            <w:vAlign w:val="bottom"/>
            <w:tcBorders>
              <w:bottom w:val="single" w:sz="8" w:color="auto"/>
            </w:tcBorders>
          </w:tcPr>
          <w:p>
            <w:pPr>
              <w:jc w:val="right"/>
              <w:ind w:right="204"/>
              <w:spacing w:after="0" w:line="189" w:lineRule="exact"/>
              <w:rPr>
                <w:sz w:val="20"/>
                <w:szCs w:val="20"/>
                <w:color w:val="auto"/>
              </w:rPr>
            </w:pPr>
            <w:r>
              <w:rPr>
                <w:rFonts w:ascii="Arial" w:cs="Arial" w:eastAsia="Arial" w:hAnsi="Arial"/>
                <w:sz w:val="14"/>
                <w:szCs w:val="14"/>
                <w:b w:val="1"/>
                <w:bCs w:val="1"/>
                <w:color w:val="144F82"/>
              </w:rPr>
              <w:t>or Programs</w:t>
            </w:r>
            <w:r>
              <w:rPr>
                <w:rFonts w:ascii="Arial" w:cs="Arial" w:eastAsia="Arial" w:hAnsi="Arial"/>
                <w:sz w:val="18"/>
                <w:szCs w:val="18"/>
                <w:b w:val="1"/>
                <w:bCs w:val="1"/>
                <w:color w:val="144F82"/>
                <w:vertAlign w:val="superscript"/>
              </w:rPr>
              <w:t>(2)(3)</w:t>
            </w: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06"/>
              <w:spacing w:after="0" w:line="189" w:lineRule="exact"/>
              <w:rPr>
                <w:sz w:val="20"/>
                <w:szCs w:val="20"/>
                <w:color w:val="auto"/>
              </w:rPr>
            </w:pPr>
            <w:r>
              <w:rPr>
                <w:rFonts w:ascii="Arial" w:cs="Arial" w:eastAsia="Arial" w:hAnsi="Arial"/>
                <w:sz w:val="14"/>
                <w:szCs w:val="14"/>
                <w:b w:val="1"/>
                <w:bCs w:val="1"/>
                <w:color w:val="144F82"/>
                <w:w w:val="99"/>
              </w:rPr>
              <w:t>Programs</w:t>
            </w:r>
            <w:r>
              <w:rPr>
                <w:rFonts w:ascii="Arial" w:cs="Arial" w:eastAsia="Arial" w:hAnsi="Arial"/>
                <w:sz w:val="18"/>
                <w:szCs w:val="18"/>
                <w:b w:val="1"/>
                <w:bCs w:val="1"/>
                <w:color w:val="144F82"/>
                <w:w w:val="99"/>
                <w:vertAlign w:val="superscript"/>
              </w:rPr>
              <w:t>(2)</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b w:val="1"/>
                <w:bCs w:val="1"/>
                <w:color w:val="144F82"/>
              </w:rPr>
              <w:t>Period:</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EDEDEE"/>
          </w:tcPr>
          <w:p>
            <w:pPr>
              <w:ind w:left="20"/>
              <w:spacing w:after="0"/>
              <w:rPr>
                <w:sz w:val="20"/>
                <w:szCs w:val="20"/>
                <w:color w:val="auto"/>
              </w:rPr>
            </w:pPr>
            <w:r>
              <w:rPr>
                <w:rFonts w:ascii="Arial" w:cs="Arial" w:eastAsia="Arial" w:hAnsi="Arial"/>
                <w:sz w:val="16"/>
                <w:szCs w:val="16"/>
                <w:color w:val="auto"/>
              </w:rPr>
              <w:t>January 1 - January 31, 2025</w:t>
            </w:r>
          </w:p>
        </w:tc>
        <w:tc>
          <w:tcPr>
            <w:tcW w:w="1400" w:type="dxa"/>
            <w:vAlign w:val="bottom"/>
            <w:shd w:val="clear" w:color="auto" w:fill="EDEDEE"/>
          </w:tcPr>
          <w:p>
            <w:pPr>
              <w:jc w:val="right"/>
              <w:ind w:right="123"/>
              <w:spacing w:after="0"/>
              <w:rPr>
                <w:sz w:val="20"/>
                <w:szCs w:val="20"/>
                <w:color w:val="auto"/>
              </w:rPr>
            </w:pPr>
            <w:r>
              <w:rPr>
                <w:rFonts w:ascii="Arial" w:cs="Arial" w:eastAsia="Arial" w:hAnsi="Arial"/>
                <w:sz w:val="16"/>
                <w:szCs w:val="16"/>
                <w:color w:val="auto"/>
              </w:rPr>
              <w:t>7,645</w:t>
            </w:r>
          </w:p>
        </w:tc>
        <w:tc>
          <w:tcPr>
            <w:tcW w:w="3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DEDEE"/>
          </w:tcPr>
          <w:p>
            <w:pPr>
              <w:jc w:val="right"/>
              <w:ind w:right="103"/>
              <w:spacing w:after="0"/>
              <w:rPr>
                <w:sz w:val="20"/>
                <w:szCs w:val="20"/>
                <w:color w:val="auto"/>
              </w:rPr>
            </w:pPr>
            <w:r>
              <w:rPr>
                <w:rFonts w:ascii="Arial" w:cs="Arial" w:eastAsia="Arial" w:hAnsi="Arial"/>
                <w:sz w:val="16"/>
                <w:szCs w:val="16"/>
                <w:color w:val="auto"/>
              </w:rPr>
              <w:t>28.35</w:t>
            </w:r>
          </w:p>
        </w:tc>
        <w:tc>
          <w:tcPr>
            <w:tcW w:w="15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DEDEE"/>
          </w:tcPr>
          <w:p>
            <w:pPr>
              <w:jc w:val="right"/>
              <w:ind w:right="6"/>
              <w:spacing w:after="0"/>
              <w:rPr>
                <w:sz w:val="20"/>
                <w:szCs w:val="20"/>
                <w:color w:val="auto"/>
              </w:rPr>
            </w:pPr>
            <w:r>
              <w:rPr>
                <w:rFonts w:ascii="Arial" w:cs="Arial" w:eastAsia="Arial" w:hAnsi="Arial"/>
                <w:sz w:val="16"/>
                <w:szCs w:val="16"/>
                <w:color w:val="auto"/>
              </w:rPr>
              <w:t>402,000</w:t>
            </w:r>
          </w:p>
        </w:tc>
        <w:tc>
          <w:tcPr>
            <w:tcW w:w="0" w:type="dxa"/>
            <w:vAlign w:val="bottom"/>
          </w:tcPr>
          <w:p>
            <w:pPr>
              <w:spacing w:after="0"/>
              <w:rPr>
                <w:sz w:val="1"/>
                <w:szCs w:val="1"/>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February 1 - February 28, 2025</w:t>
            </w: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1,123,800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31.14</w:t>
            </w:r>
          </w:p>
        </w:tc>
        <w:tc>
          <w:tcPr>
            <w:tcW w:w="1580" w:type="dxa"/>
            <w:vAlign w:val="bottom"/>
          </w:tcPr>
          <w:p>
            <w:pPr>
              <w:jc w:val="right"/>
              <w:spacing w:after="0"/>
              <w:rPr>
                <w:sz w:val="20"/>
                <w:szCs w:val="20"/>
                <w:color w:val="auto"/>
              </w:rPr>
            </w:pPr>
            <w:r>
              <w:rPr>
                <w:rFonts w:ascii="Arial" w:cs="Arial" w:eastAsia="Arial" w:hAnsi="Arial"/>
                <w:sz w:val="16"/>
                <w:szCs w:val="16"/>
                <w:color w:val="auto"/>
              </w:rPr>
              <w:t>337,782</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6"/>
              <w:spacing w:after="0"/>
              <w:rPr>
                <w:sz w:val="20"/>
                <w:szCs w:val="20"/>
                <w:color w:val="auto"/>
              </w:rPr>
            </w:pPr>
            <w:r>
              <w:rPr>
                <w:rFonts w:ascii="Arial" w:cs="Arial" w:eastAsia="Arial" w:hAnsi="Arial"/>
                <w:sz w:val="16"/>
                <w:szCs w:val="16"/>
                <w:color w:val="auto"/>
              </w:rPr>
              <w:t>392,000</w:t>
            </w:r>
          </w:p>
        </w:tc>
        <w:tc>
          <w:tcPr>
            <w:tcW w:w="0" w:type="dxa"/>
            <w:vAlign w:val="bottom"/>
          </w:tcPr>
          <w:p>
            <w:pPr>
              <w:spacing w:after="0"/>
              <w:rPr>
                <w:sz w:val="1"/>
                <w:szCs w:val="1"/>
                <w:color w:val="auto"/>
              </w:rPr>
            </w:pPr>
          </w:p>
        </w:tc>
      </w:tr>
      <w:tr>
        <w:trPr>
          <w:trHeight w:val="216"/>
        </w:trPr>
        <w:tc>
          <w:tcPr>
            <w:tcW w:w="3200" w:type="dxa"/>
            <w:vAlign w:val="bottom"/>
            <w:shd w:val="clear" w:color="auto" w:fill="EDEDEE"/>
          </w:tcPr>
          <w:p>
            <w:pPr>
              <w:ind w:left="20"/>
              <w:spacing w:after="0"/>
              <w:rPr>
                <w:sz w:val="20"/>
                <w:szCs w:val="20"/>
                <w:color w:val="auto"/>
              </w:rPr>
            </w:pPr>
            <w:r>
              <w:rPr>
                <w:rFonts w:ascii="Arial" w:cs="Arial" w:eastAsia="Arial" w:hAnsi="Arial"/>
                <w:sz w:val="16"/>
                <w:szCs w:val="16"/>
                <w:color w:val="auto"/>
              </w:rPr>
              <w:t>March 1 - March 31, 2025</w:t>
            </w:r>
          </w:p>
        </w:tc>
        <w:tc>
          <w:tcPr>
            <w:tcW w:w="1400" w:type="dxa"/>
            <w:vAlign w:val="bottom"/>
            <w:tcBorders>
              <w:bottom w:val="single" w:sz="8" w:color="auto"/>
            </w:tcBorders>
            <w:shd w:val="clear" w:color="auto" w:fill="EDEDEE"/>
          </w:tcPr>
          <w:p>
            <w:pPr>
              <w:jc w:val="right"/>
              <w:ind w:right="123"/>
              <w:spacing w:after="0"/>
              <w:rPr>
                <w:sz w:val="20"/>
                <w:szCs w:val="20"/>
                <w:color w:val="auto"/>
              </w:rPr>
            </w:pPr>
            <w:r>
              <w:rPr>
                <w:rFonts w:ascii="Arial" w:cs="Arial" w:eastAsia="Arial" w:hAnsi="Arial"/>
                <w:sz w:val="16"/>
                <w:szCs w:val="16"/>
                <w:color w:val="auto"/>
              </w:rPr>
              <w:t>736,814</w:t>
            </w:r>
          </w:p>
        </w:tc>
        <w:tc>
          <w:tcPr>
            <w:tcW w:w="3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DEDEE"/>
          </w:tcPr>
          <w:p>
            <w:pPr>
              <w:jc w:val="right"/>
              <w:ind w:right="103"/>
              <w:spacing w:after="0"/>
              <w:rPr>
                <w:sz w:val="20"/>
                <w:szCs w:val="20"/>
                <w:color w:val="auto"/>
              </w:rPr>
            </w:pPr>
            <w:r>
              <w:rPr>
                <w:rFonts w:ascii="Arial" w:cs="Arial" w:eastAsia="Arial" w:hAnsi="Arial"/>
                <w:sz w:val="16"/>
                <w:szCs w:val="16"/>
                <w:color w:val="auto"/>
              </w:rPr>
              <w:t>29.19</w:t>
            </w:r>
          </w:p>
        </w:tc>
        <w:tc>
          <w:tcPr>
            <w:tcW w:w="15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6"/>
                <w:szCs w:val="16"/>
                <w:color w:val="auto"/>
              </w:rPr>
              <w:t>699,609</w:t>
            </w:r>
          </w:p>
        </w:tc>
        <w:tc>
          <w:tcPr>
            <w:tcW w:w="4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EDEDEE"/>
          </w:tcPr>
          <w:p>
            <w:pPr>
              <w:jc w:val="right"/>
              <w:ind w:right="6"/>
              <w:spacing w:after="0"/>
              <w:rPr>
                <w:sz w:val="20"/>
                <w:szCs w:val="20"/>
                <w:color w:val="auto"/>
              </w:rPr>
            </w:pPr>
            <w:r>
              <w:rPr>
                <w:rFonts w:ascii="Arial" w:cs="Arial" w:eastAsia="Arial" w:hAnsi="Arial"/>
                <w:sz w:val="16"/>
                <w:szCs w:val="16"/>
                <w:color w:val="auto"/>
              </w:rPr>
              <w:t>372,000</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b w:val="1"/>
                <w:bCs w:val="1"/>
                <w:color w:val="144F82"/>
              </w:rPr>
              <w:t>Total first-quarter 2025</w:t>
            </w:r>
          </w:p>
        </w:tc>
        <w:tc>
          <w:tcPr>
            <w:tcW w:w="14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1,868,259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30.36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1,037,391</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860" w:right="500" w:hanging="204"/>
        <w:spacing w:after="0" w:line="230" w:lineRule="auto"/>
        <w:tabs>
          <w:tab w:leader="none" w:pos="965" w:val="left"/>
        </w:tabs>
        <w:numPr>
          <w:ilvl w:val="0"/>
          <w:numId w:val="71"/>
        </w:numPr>
        <w:rPr>
          <w:rFonts w:ascii="Arial" w:cs="Arial" w:eastAsia="Arial" w:hAnsi="Arial"/>
          <w:sz w:val="16"/>
          <w:szCs w:val="16"/>
          <w:color w:val="auto"/>
          <w:vertAlign w:val="superscript"/>
        </w:rPr>
      </w:pPr>
      <w:r>
        <w:rPr>
          <w:rFonts w:ascii="Arial" w:cs="Arial" w:eastAsia="Arial" w:hAnsi="Arial"/>
          <w:sz w:val="13"/>
          <w:szCs w:val="13"/>
          <w:color w:val="auto"/>
        </w:rPr>
        <w:t>The total number of shares purchased includes: (i) shares purchased under the stock repurchase programs discussed herein, and (ii) 830,868 shares of our common stock tendered to us to satisfy the exercise price in connection with cashless exercises of stock options, and tax withholding obligations in connection with exercises of stock options and vesting of restricted stock, restricted stock units, performance stock units, and dividend equivalent units.</w:t>
      </w:r>
    </w:p>
    <w:p>
      <w:pPr>
        <w:spacing w:after="0" w:line="104" w:lineRule="exact"/>
        <w:rPr>
          <w:rFonts w:ascii="Arial" w:cs="Arial" w:eastAsia="Arial" w:hAnsi="Arial"/>
          <w:sz w:val="16"/>
          <w:szCs w:val="16"/>
          <w:color w:val="auto"/>
          <w:vertAlign w:val="superscript"/>
        </w:rPr>
      </w:pPr>
    </w:p>
    <w:p>
      <w:pPr>
        <w:ind w:left="860" w:right="80" w:hanging="204"/>
        <w:spacing w:after="0" w:line="223" w:lineRule="auto"/>
        <w:tabs>
          <w:tab w:leader="none" w:pos="913" w:val="left"/>
        </w:tabs>
        <w:numPr>
          <w:ilvl w:val="0"/>
          <w:numId w:val="71"/>
        </w:numPr>
        <w:rPr>
          <w:rFonts w:ascii="Arial" w:cs="Arial" w:eastAsia="Arial" w:hAnsi="Arial"/>
          <w:sz w:val="16"/>
          <w:szCs w:val="16"/>
          <w:color w:val="auto"/>
          <w:vertAlign w:val="superscript"/>
        </w:rPr>
      </w:pPr>
      <w:r>
        <w:rPr>
          <w:rFonts w:ascii="Arial" w:cs="Arial" w:eastAsia="Arial" w:hAnsi="Arial"/>
          <w:sz w:val="13"/>
          <w:szCs w:val="13"/>
          <w:color w:val="auto"/>
        </w:rPr>
        <w:t>As of March 31, 2025, we had $372 million in capacity remaining under the 2024 Share Repurchase Program. The 2024 Share Repurchase Program was announced on January 24, 2024, with an effective date of January 26, 2024, and expires on February 6, 2026. See Note 9, “Stockholders’ Equity” to our consolidated financial statements in this Form 10-Q for further discussion.</w:t>
      </w:r>
    </w:p>
    <w:p>
      <w:pPr>
        <w:spacing w:after="0" w:line="77" w:lineRule="exact"/>
        <w:rPr>
          <w:rFonts w:ascii="Arial" w:cs="Arial" w:eastAsia="Arial" w:hAnsi="Arial"/>
          <w:sz w:val="16"/>
          <w:szCs w:val="16"/>
          <w:color w:val="auto"/>
          <w:vertAlign w:val="superscript"/>
        </w:rPr>
      </w:pPr>
    </w:p>
    <w:p>
      <w:pPr>
        <w:ind w:left="860" w:right="320" w:hanging="204"/>
        <w:spacing w:after="0" w:line="226" w:lineRule="auto"/>
        <w:tabs>
          <w:tab w:leader="none" w:pos="848" w:val="left"/>
        </w:tabs>
        <w:numPr>
          <w:ilvl w:val="0"/>
          <w:numId w:val="71"/>
        </w:numPr>
        <w:rPr>
          <w:rFonts w:ascii="Arial" w:cs="Arial" w:eastAsia="Arial" w:hAnsi="Arial"/>
          <w:sz w:val="16"/>
          <w:szCs w:val="16"/>
          <w:color w:val="auto"/>
          <w:vertAlign w:val="superscript"/>
        </w:rPr>
      </w:pPr>
      <w:r>
        <w:rPr>
          <w:rFonts w:ascii="Arial" w:cs="Arial" w:eastAsia="Arial" w:hAnsi="Arial"/>
          <w:sz w:val="13"/>
          <w:szCs w:val="13"/>
          <w:color w:val="auto"/>
        </w:rPr>
        <w:t>In the first quarter of 2025, we repurchased 1.0 million shares under 10b5-1 trading plans. See Note 9, “Stockholders’ Equity” to our consolidated financial statements in this Form 10-Q for further discussion.</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closing price of our common stock on the NASDAQ Global Select Market on March 31, 2025 was $29.37.</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144F82"/>
        </w:rPr>
        <w:t>Item 3.</w:t>
      </w:r>
      <w:r>
        <w:rPr>
          <w:sz w:val="20"/>
          <w:szCs w:val="20"/>
          <w:color w:val="auto"/>
        </w:rPr>
        <w:tab/>
      </w:r>
      <w:r>
        <w:rPr>
          <w:rFonts w:ascii="Arial" w:cs="Arial" w:eastAsia="Arial" w:hAnsi="Arial"/>
          <w:sz w:val="17"/>
          <w:szCs w:val="17"/>
          <w:b w:val="1"/>
          <w:bCs w:val="1"/>
          <w:color w:val="144F82"/>
        </w:rPr>
        <w:t>Defaults Upon Senior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to report.</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144F82"/>
        </w:rPr>
        <w:t>Item 4.</w:t>
      </w:r>
      <w:r>
        <w:rPr>
          <w:sz w:val="20"/>
          <w:szCs w:val="20"/>
          <w:color w:val="auto"/>
        </w:rPr>
        <w:tab/>
      </w:r>
      <w:r>
        <w:rPr>
          <w:rFonts w:ascii="Arial" w:cs="Arial" w:eastAsia="Arial" w:hAnsi="Arial"/>
          <w:sz w:val="17"/>
          <w:szCs w:val="17"/>
          <w:b w:val="1"/>
          <w:bCs w:val="1"/>
          <w:color w:val="144F82"/>
        </w:rPr>
        <w:t>Mine Safety Disclosures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144F82"/>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5" w:right="519" w:bottom="1440" w:gutter="0" w:footer="0" w:header="0"/>
        </w:sectPr>
      </w:pPr>
    </w:p>
    <w:bookmarkStart w:id="79" w:name="page80"/>
    <w:bookmarkEnd w:id="79"/>
    <w:p>
      <w:pPr>
        <w:spacing w:after="0"/>
        <w:tabs>
          <w:tab w:leader="none" w:pos="760" w:val="left"/>
        </w:tabs>
        <w:rPr>
          <w:sz w:val="20"/>
          <w:szCs w:val="20"/>
          <w:color w:val="auto"/>
        </w:rPr>
      </w:pPr>
      <w:r>
        <w:rPr>
          <w:rFonts w:ascii="Arial" w:cs="Arial" w:eastAsia="Arial" w:hAnsi="Arial"/>
          <w:sz w:val="18"/>
          <w:szCs w:val="18"/>
          <w:b w:val="1"/>
          <w:bCs w:val="1"/>
          <w:color w:val="144F82"/>
        </w:rPr>
        <w:t>Item 5.</w:t>
      </w:r>
      <w:r>
        <w:rPr>
          <w:sz w:val="20"/>
          <w:szCs w:val="20"/>
          <w:color w:val="auto"/>
        </w:rPr>
        <w:tab/>
      </w:r>
      <w:r>
        <w:rPr>
          <w:rFonts w:ascii="Arial" w:cs="Arial" w:eastAsia="Arial" w:hAnsi="Arial"/>
          <w:sz w:val="17"/>
          <w:szCs w:val="17"/>
          <w:b w:val="1"/>
          <w:bCs w:val="1"/>
          <w:color w:val="144F82"/>
        </w:rPr>
        <w:t>Other Information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Insider Trading Arrangements</w:t>
      </w:r>
    </w:p>
    <w:p>
      <w:pPr>
        <w:spacing w:after="0" w:line="115"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In the first quarter of 2025, no director or officer (as defined in Rule 16a-1(f) promulgated under the Securities Exchange Act of 1934, as amended) of the Company adopted or terminated a “Rule 10b5-1 trading arrangement” or “non -Rule 10b5-1 trading arrangement” for the purchase or sale of securities of the Company, each within the meaning of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144F82"/>
        </w:rPr>
        <w:t>Item 6.</w:t>
      </w:r>
      <w:r>
        <w:rPr>
          <w:sz w:val="20"/>
          <w:szCs w:val="20"/>
          <w:color w:val="auto"/>
        </w:rPr>
        <w:tab/>
      </w:r>
      <w:r>
        <w:rPr>
          <w:rFonts w:ascii="Arial" w:cs="Arial" w:eastAsia="Arial" w:hAnsi="Arial"/>
          <w:sz w:val="17"/>
          <w:szCs w:val="17"/>
          <w:b w:val="1"/>
          <w:bCs w:val="1"/>
          <w:color w:val="144F82"/>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furnished or filed, as applicable:</w:t>
      </w:r>
    </w:p>
    <w:p>
      <w:pPr>
        <w:spacing w:after="0" w:line="158" w:lineRule="exact"/>
        <w:rPr>
          <w:sz w:val="20"/>
          <w:szCs w:val="20"/>
          <w:color w:val="auto"/>
        </w:rPr>
      </w:pPr>
    </w:p>
    <w:p>
      <w:pPr>
        <w:ind w:left="1100" w:right="540" w:hanging="285"/>
        <w:spacing w:after="0" w:line="234"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140">
        <w:r>
          <w:rPr>
            <w:rFonts w:ascii="Arial" w:cs="Arial" w:eastAsia="Arial" w:hAnsi="Arial"/>
            <w:sz w:val="17"/>
            <w:szCs w:val="17"/>
            <w:u w:val="single" w:color="auto"/>
            <w:color w:val="0000FF"/>
          </w:rPr>
          <w:t>Fourth Supplemental Indenture dated as of January 31, 2025, between SLM Corporation and Deutsche Bank National</w:t>
        </w:r>
      </w:hyperlink>
      <w:r>
        <w:rPr>
          <w:rFonts w:ascii="Arial" w:cs="Arial" w:eastAsia="Arial" w:hAnsi="Arial"/>
          <w:sz w:val="17"/>
          <w:szCs w:val="17"/>
          <w:color w:val="auto"/>
        </w:rPr>
        <w:t xml:space="preserve"> </w:t>
      </w:r>
      <w:hyperlink r:id="rId140">
        <w:r>
          <w:rPr>
            <w:rFonts w:ascii="Arial" w:cs="Arial" w:eastAsia="Arial" w:hAnsi="Arial"/>
            <w:sz w:val="17"/>
            <w:szCs w:val="17"/>
            <w:u w:val="single" w:color="auto"/>
            <w:color w:val="0000FF"/>
          </w:rPr>
          <w:t>Trust Company, as trustee (incorporated by reference to Exhibit 4.1 to the Company’s Current Report on Form 8-K filed</w:t>
        </w:r>
      </w:hyperlink>
    </w:p>
    <w:p>
      <w:pPr>
        <w:spacing w:after="0" w:line="1" w:lineRule="exact"/>
        <w:rPr>
          <w:sz w:val="20"/>
          <w:szCs w:val="20"/>
          <w:color w:val="auto"/>
        </w:rPr>
      </w:pPr>
    </w:p>
    <w:p>
      <w:pPr>
        <w:ind w:left="110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on January 31, 2025).</w:t>
        </w:r>
      </w:hyperlink>
    </w:p>
    <w:p>
      <w:pPr>
        <w:spacing w:after="0" w:line="59" w:lineRule="exact"/>
        <w:rPr>
          <w:sz w:val="20"/>
          <w:szCs w:val="20"/>
          <w:color w:val="auto"/>
        </w:rPr>
      </w:pPr>
    </w:p>
    <w:p>
      <w:pPr>
        <w:ind w:left="1100" w:right="600" w:hanging="285"/>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141">
        <w:r>
          <w:rPr>
            <w:rFonts w:ascii="Arial" w:cs="Arial" w:eastAsia="Arial" w:hAnsi="Arial"/>
            <w:sz w:val="18"/>
            <w:szCs w:val="18"/>
            <w:u w:val="single" w:color="auto"/>
            <w:color w:val="0000FF"/>
          </w:rPr>
          <w:t>Form of Senior Note due 2030 (incorporated by reference to Exhibit 4.2 to the Company’s Current Report on Form 8-K</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FF"/>
          </w:rPr>
          <w:t>filed on January 31, 2025).</w:t>
        </w:r>
      </w:hyperlink>
    </w:p>
    <w:p>
      <w:pPr>
        <w:spacing w:after="0" w:line="5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0000FF"/>
        </w:rPr>
        <w:t>Form of SLM Corporation 2021 Omnibus Incentive Plan, 2025 Restricted Stock Unit Term Sheet.</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0000FF"/>
        </w:rPr>
        <w:t>Form of SLM Corporation 2021 Omnibus Incentive Plan, 2025 Performance Stock Unit Term Sheet.</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Pursuant to Section 302 of the Sarbanes-Oxley Act of 2002.</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Pursuant to Section 302 of the Sarbanes-Oxley Act of 2002.</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Pursuant to 18 U.S.C. Section 1350, as Adopted Pursuant to Section 906 of the Sarbanes-Oxley Act of</w:t>
      </w:r>
    </w:p>
    <w:p>
      <w:pPr>
        <w:ind w:left="1100"/>
        <w:spacing w:after="0"/>
        <w:rPr>
          <w:sz w:val="20"/>
          <w:szCs w:val="20"/>
          <w:color w:val="auto"/>
        </w:rPr>
      </w:pPr>
      <w:r>
        <w:rPr>
          <w:rFonts w:ascii="Arial" w:cs="Arial" w:eastAsia="Arial" w:hAnsi="Arial"/>
          <w:sz w:val="18"/>
          <w:szCs w:val="18"/>
          <w:u w:val="single" w:color="auto"/>
          <w:color w:val="0000FF"/>
        </w:rPr>
        <w:t>2002.</w:t>
      </w:r>
    </w:p>
    <w:p>
      <w:pPr>
        <w:spacing w:after="0" w:line="5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0000FF"/>
        </w:rPr>
        <w:t>Certification Pursuant to 18 U.S.C. Section 1350, as Adopted Pursuant to Section 906 of the Sarbanes-Oxley Act of</w:t>
      </w:r>
    </w:p>
    <w:p>
      <w:pPr>
        <w:ind w:left="1100"/>
        <w:spacing w:after="0"/>
        <w:rPr>
          <w:sz w:val="20"/>
          <w:szCs w:val="20"/>
          <w:color w:val="auto"/>
        </w:rPr>
      </w:pPr>
      <w:r>
        <w:rPr>
          <w:rFonts w:ascii="Arial" w:cs="Arial" w:eastAsia="Arial" w:hAnsi="Arial"/>
          <w:sz w:val="18"/>
          <w:szCs w:val="18"/>
          <w:u w:val="single" w:color="auto"/>
          <w:color w:val="0000FF"/>
        </w:rPr>
        <w:t>2002.</w:t>
      </w:r>
    </w:p>
    <w:p>
      <w:pPr>
        <w:spacing w:after="0" w:line="72" w:lineRule="exact"/>
        <w:rPr>
          <w:sz w:val="20"/>
          <w:szCs w:val="20"/>
          <w:color w:val="auto"/>
        </w:rPr>
      </w:pPr>
    </w:p>
    <w:p>
      <w:pPr>
        <w:ind w:left="1100" w:right="620" w:hanging="685"/>
        <w:spacing w:after="0"/>
        <w:rPr>
          <w:sz w:val="20"/>
          <w:szCs w:val="20"/>
          <w:color w:val="auto"/>
        </w:rPr>
      </w:pPr>
      <w:r>
        <w:rPr>
          <w:rFonts w:ascii="Arial" w:cs="Arial" w:eastAsia="Arial" w:hAnsi="Arial"/>
          <w:sz w:val="18"/>
          <w:szCs w:val="18"/>
          <w:color w:val="auto"/>
        </w:rPr>
        <w:t>101.INS XBRL Instance Document - the instance document does not appear in the Interactive Data File because its XBRL tags are embedded within the Inline XBRL document.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101.SCH XBRL Taxonomy Extension Schema Document.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101.LAB XBRL Taxonomy Extension Label Linkbase Document.</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134F82"/>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80" w:name="page81"/>
    <w:bookmarkEnd w:id="80"/>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SLM CORPORATION</w:t>
      </w:r>
    </w:p>
    <w:p>
      <w:pPr>
        <w:ind w:left="5020"/>
        <w:spacing w:after="0"/>
        <w:rPr>
          <w:sz w:val="20"/>
          <w:szCs w:val="20"/>
          <w:color w:val="auto"/>
        </w:rPr>
      </w:pPr>
      <w:r>
        <w:rPr>
          <w:rFonts w:ascii="Arial" w:cs="Arial" w:eastAsia="Arial" w:hAnsi="Arial"/>
          <w:sz w:val="18"/>
          <w:szCs w:val="18"/>
          <w:color w:val="auto"/>
        </w:rPr>
        <w:t>(Registrant)</w:t>
      </w:r>
    </w:p>
    <w:p>
      <w:pPr>
        <w:spacing w:after="0" w:line="248" w:lineRule="exact"/>
        <w:rPr>
          <w:sz w:val="20"/>
          <w:szCs w:val="20"/>
          <w:color w:val="auto"/>
        </w:rPr>
      </w:pPr>
    </w:p>
    <w:p>
      <w:pPr>
        <w:ind w:left="502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PETER 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17780</wp:posOffset>
            </wp:positionV>
            <wp:extent cx="36258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Peter M. Graham</w:t>
      </w:r>
    </w:p>
    <w:p>
      <w:pPr>
        <w:ind w:left="5660"/>
        <w:spacing w:after="0" w:line="219" w:lineRule="auto"/>
        <w:rPr>
          <w:sz w:val="20"/>
          <w:szCs w:val="20"/>
          <w:color w:val="auto"/>
        </w:rPr>
      </w:pPr>
      <w:r>
        <w:rPr>
          <w:rFonts w:ascii="Arial" w:cs="Arial" w:eastAsia="Arial" w:hAnsi="Arial"/>
          <w:sz w:val="18"/>
          <w:szCs w:val="18"/>
          <w:color w:val="auto"/>
        </w:rPr>
        <w:t>Executive Vice President, Chief Financial Officer and</w:t>
      </w:r>
    </w:p>
    <w:p>
      <w:pPr>
        <w:ind w:left="5660"/>
        <w:spacing w:after="0" w:line="203" w:lineRule="auto"/>
        <w:rPr>
          <w:sz w:val="20"/>
          <w:szCs w:val="20"/>
          <w:color w:val="auto"/>
        </w:rPr>
      </w:pPr>
      <w:r>
        <w:rPr>
          <w:rFonts w:ascii="Arial" w:cs="Arial" w:eastAsia="Arial" w:hAnsi="Arial"/>
          <w:sz w:val="18"/>
          <w:szCs w:val="18"/>
          <w:color w:val="auto"/>
        </w:rPr>
        <w:t>Treasurer</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144F82"/>
        </w:rPr>
        <w:t>80</w:t>
      </w:r>
    </w:p>
    <w:p>
      <w:pPr>
        <w:sectPr>
          <w:pgSz w:w="11900" w:h="16838" w:orient="portrait"/>
          <w:cols w:equalWidth="0" w:num="1">
            <w:col w:w="10880"/>
          </w:cols>
          <w:pgMar w:left="320" w:top="1174" w:right="69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SLM Corporation 2021 Omnibus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2025 Restricted Stock Unit Term Sheet</w:t>
      </w:r>
    </w:p>
    <w:p>
      <w:pPr>
        <w:spacing w:after="0" w:line="236"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This Restricted Stock Unit Term Sheet (this “Agreement”) further describes the terms of the RSUs granted to Grantee on March 3, 2025 (the “Grant Date”) pursuant to the Restricted Stock Unit Grant Notice. The Restricted Stock Unit Grant Notice and the SLM Corporation 2021 Omnibus Incentive Plan (the “Plan”) are incorporated herein in their entirety.</w:t>
      </w:r>
    </w:p>
    <w:p>
      <w:pPr>
        <w:spacing w:after="0" w:line="146" w:lineRule="exact"/>
        <w:rPr>
          <w:sz w:val="20"/>
          <w:szCs w:val="20"/>
          <w:color w:val="auto"/>
        </w:rPr>
      </w:pPr>
    </w:p>
    <w:p>
      <w:pPr>
        <w:ind w:left="660" w:right="640" w:hanging="328"/>
        <w:spacing w:after="0" w:line="295" w:lineRule="auto"/>
        <w:tabs>
          <w:tab w:leader="none" w:pos="6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Unless vested earlier as set forth below, the Award will vest, and will be converted into shares of common stock, in one-third increments on each of the first, second, and third anniversary of the Grant Date.</w:t>
      </w:r>
    </w:p>
    <w:p>
      <w:pPr>
        <w:spacing w:after="0" w:line="108" w:lineRule="exact"/>
        <w:rPr>
          <w:rFonts w:ascii="Times New Roman" w:cs="Times New Roman" w:eastAsia="Times New Roman" w:hAnsi="Times New Roman"/>
          <w:sz w:val="21"/>
          <w:szCs w:val="21"/>
          <w:color w:val="auto"/>
        </w:rPr>
      </w:pPr>
    </w:p>
    <w:p>
      <w:pPr>
        <w:ind w:left="660" w:hanging="328"/>
        <w:spacing w:after="0" w:line="252"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Termination; Death; Disability</w:t>
      </w:r>
      <w:r>
        <w:rPr>
          <w:rFonts w:ascii="Times New Roman" w:cs="Times New Roman" w:eastAsia="Times New Roman" w:hAnsi="Times New Roman"/>
          <w:sz w:val="22"/>
          <w:szCs w:val="22"/>
          <w:color w:val="auto"/>
        </w:rPr>
        <w:t>. Except as provided below, if the Grantee voluntarily ceases to be an employee of SLM Corporation (the “Corporation”) (or one of its subsidiaries) for any reason (except as explicitly set forth below) or experiences a Termination of Employment For Cause (as defined below), he or she shall forfeit, for no consideration, any portion of the Award that has not vested as of the date of such termination of employment.</w:t>
      </w:r>
    </w:p>
    <w:p>
      <w:pPr>
        <w:spacing w:after="0" w:line="152" w:lineRule="exact"/>
        <w:rPr>
          <w:rFonts w:ascii="Times New Roman" w:cs="Times New Roman" w:eastAsia="Times New Roman" w:hAnsi="Times New Roman"/>
          <w:sz w:val="22"/>
          <w:szCs w:val="22"/>
          <w:color w:val="auto"/>
        </w:rPr>
      </w:pPr>
    </w:p>
    <w:p>
      <w:pPr>
        <w:ind w:left="660" w:right="20"/>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not previously vested, the Award will continue to vest, and will be converted into shares of common stock, on the original vesting terms and vesting dates set forth above in the event that (i) the Grantee’s employment is terminated by the Corporation for any reason other than due to a Termination of Employment For Cause; (ii) the Grantee voluntarily ceases to be an employee of the Corporation (or one of its subsidiaries) and meets the Corporation’s retirement eligibility requirements under the Corporation’s then-current retirement eligibility policy, which shall be determined by the Corporation in its sole discretion; or (iii) the Grantee (x) is an “Eligible Officer” eligible to participate in the SLM Corporation Amended and Restated Executive Severance Plan for Senior Officers (the “</w:t>
      </w:r>
      <w:r>
        <w:rPr>
          <w:rFonts w:ascii="Times New Roman" w:cs="Times New Roman" w:eastAsia="Times New Roman" w:hAnsi="Times New Roman"/>
          <w:sz w:val="21"/>
          <w:szCs w:val="21"/>
          <w:b w:val="1"/>
          <w:bCs w:val="1"/>
          <w:color w:val="auto"/>
        </w:rPr>
        <w:t>Executive Severance Plan</w:t>
      </w:r>
      <w:r>
        <w:rPr>
          <w:rFonts w:ascii="Times New Roman" w:cs="Times New Roman" w:eastAsia="Times New Roman" w:hAnsi="Times New Roman"/>
          <w:sz w:val="21"/>
          <w:szCs w:val="21"/>
          <w:color w:val="auto"/>
        </w:rPr>
        <w:t>”) and</w:t>
      </w:r>
    </w:p>
    <w:p>
      <w:pPr>
        <w:spacing w:after="0" w:line="1" w:lineRule="exact"/>
        <w:rPr>
          <w:rFonts w:ascii="Times New Roman" w:cs="Times New Roman" w:eastAsia="Times New Roman" w:hAnsi="Times New Roman"/>
          <w:sz w:val="22"/>
          <w:szCs w:val="22"/>
          <w:color w:val="auto"/>
        </w:rPr>
      </w:pPr>
    </w:p>
    <w:p>
      <w:pPr>
        <w:ind w:left="660" w:right="16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 terminates his or her employment under such circumstances that give rise to a Termination of Employment For Good Reason.</w:t>
      </w:r>
    </w:p>
    <w:p>
      <w:pPr>
        <w:spacing w:after="0" w:line="155"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21"/>
          <w:szCs w:val="21"/>
          <w:color w:val="auto"/>
        </w:rPr>
        <w:t>If not previously vested, the Award will vest, and will be converted into shares of common stock, upon death or Disability (provided that such Disability qualifies as a “disability” within the meaning of Treasury Regulation Section 1.409A-3(i)</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unvested portion of the Award shall be forfeited, upon a Termination of Employment For Cause, for no consideration.</w:t>
      </w:r>
    </w:p>
    <w:p>
      <w:pPr>
        <w:spacing w:after="0" w:line="191" w:lineRule="exact"/>
        <w:rPr>
          <w:sz w:val="20"/>
          <w:szCs w:val="20"/>
          <w:color w:val="auto"/>
        </w:rPr>
      </w:pPr>
    </w:p>
    <w:p>
      <w:pPr>
        <w:ind w:left="660" w:right="440"/>
        <w:spacing w:after="0" w:line="257" w:lineRule="auto"/>
        <w:rPr>
          <w:sz w:val="20"/>
          <w:szCs w:val="20"/>
          <w:color w:val="auto"/>
        </w:rPr>
      </w:pPr>
      <w:r>
        <w:rPr>
          <w:rFonts w:ascii="Times New Roman" w:cs="Times New Roman" w:eastAsia="Times New Roman" w:hAnsi="Times New Roman"/>
          <w:sz w:val="22"/>
          <w:szCs w:val="22"/>
          <w:color w:val="auto"/>
        </w:rPr>
        <w:t>Notwithstanding anything stated herein, in the Plan or in the SLM Corporation Change in Control Severance Plan for Senior Officers, the Award shall not be subject to the terms set forth in the SLM Corporation Change in Control Severance Plan for Senior Officers.</w:t>
      </w:r>
    </w:p>
    <w:p>
      <w:pPr>
        <w:spacing w:after="0" w:line="142"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of Employment For Cause</w:t>
      </w:r>
      <w:r>
        <w:rPr>
          <w:rFonts w:ascii="Times New Roman" w:cs="Times New Roman" w:eastAsia="Times New Roman" w:hAnsi="Times New Roman"/>
          <w:sz w:val="22"/>
          <w:szCs w:val="22"/>
          <w:color w:val="auto"/>
        </w:rPr>
        <w:t>” means a termination of a Grantee’s employment by the Corporation or any of its subsidiaries because (i) there has been a willful and continuing failure of the Grantee to perform substantially his or her duties and</w:t>
      </w:r>
    </w:p>
    <w:p>
      <w:pPr>
        <w:sectPr>
          <w:pgSz w:w="11900" w:h="16838" w:orient="portrait"/>
          <w:cols w:equalWidth="0" w:num="1">
            <w:col w:w="11240"/>
          </w:cols>
          <w:pgMar w:left="320" w:top="1404" w:right="339" w:bottom="1440" w:gutter="0" w:footer="0" w:header="0"/>
        </w:sectPr>
      </w:pPr>
    </w:p>
    <w:bookmarkStart w:id="82" w:name="page83"/>
    <w:bookmarkEnd w:id="82"/>
    <w:p>
      <w:pPr>
        <w:spacing w:after="0" w:line="158" w:lineRule="exact"/>
        <w:rPr>
          <w:sz w:val="20"/>
          <w:szCs w:val="20"/>
          <w:color w:val="auto"/>
        </w:rPr>
      </w:pPr>
    </w:p>
    <w:p>
      <w:pPr>
        <w:jc w:val="both"/>
        <w:ind w:left="320" w:right="180"/>
        <w:spacing w:after="0" w:line="263" w:lineRule="auto"/>
        <w:rPr>
          <w:sz w:val="20"/>
          <w:szCs w:val="20"/>
          <w:color w:val="auto"/>
        </w:rPr>
      </w:pPr>
      <w:r>
        <w:rPr>
          <w:rFonts w:ascii="Times New Roman" w:cs="Times New Roman" w:eastAsia="Times New Roman" w:hAnsi="Times New Roman"/>
          <w:sz w:val="22"/>
          <w:szCs w:val="22"/>
          <w:color w:val="auto"/>
        </w:rPr>
        <w:t>responsibilities (other than as a result of Grantee’s death or Disability) and, if such willful and continuing failure may be cured by the Grantee, that such failure has not been cured within ten (10) business days after written notice of such was given to the Grantee, or (ii) the Grantee has committed an act of Misconduct.</w:t>
      </w:r>
    </w:p>
    <w:p>
      <w:pPr>
        <w:spacing w:after="0" w:line="123" w:lineRule="exact"/>
        <w:rPr>
          <w:sz w:val="20"/>
          <w:szCs w:val="20"/>
          <w:color w:val="auto"/>
        </w:rPr>
      </w:pPr>
    </w:p>
    <w:p>
      <w:pPr>
        <w:ind w:left="320" w:right="4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Misconduct</w:t>
      </w:r>
      <w:r>
        <w:rPr>
          <w:rFonts w:ascii="Times New Roman" w:cs="Times New Roman" w:eastAsia="Times New Roman" w:hAnsi="Times New Roman"/>
          <w:sz w:val="21"/>
          <w:szCs w:val="21"/>
          <w:color w:val="auto"/>
        </w:rPr>
        <w:t xml:space="preserve">” means (a) commission of an act of embezzlement, fraud, dishonesty, misappropriation, nonpayment of any obligation owed to the Corporation or any of its subsidiaries, breach of fiduciary duty or deliberate disregard of the Corporation’s rules, including, but not limited to, the SLM Corporation Code of Business Conduct; (b) intentional wrongdoing, gross negligence or willful misconduct in the performance of the Grantee’s duties or otherwise in respect of the Corporation or any of its subsidiaries; (c) commission of, conviction of, plea of guilty to or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w:t>
      </w:r>
    </w:p>
    <w:p>
      <w:pPr>
        <w:spacing w:after="0" w:line="1" w:lineRule="exact"/>
        <w:rPr>
          <w:sz w:val="20"/>
          <w:szCs w:val="20"/>
          <w:color w:val="auto"/>
        </w:rPr>
      </w:pPr>
    </w:p>
    <w:p>
      <w:pPr>
        <w:ind w:left="320" w:right="300" w:hanging="4"/>
        <w:spacing w:after="0" w:line="247" w:lineRule="auto"/>
        <w:tabs>
          <w:tab w:leader="none" w:pos="57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felony crime or (ii) any other criminal offense involving moral turpitude, fraud or dishonesty; (d) an unauthorized disclosure of any confidential information or trade secrets; or (e) engaging in any conduct that would constitute unfair competition against the Corporation or any of its subsidiaries, or a violation of any restrictive covenant to which the Grantee is subject (including, but not limited to, those restrictive covenants set forth in this Agreement or the Grantee’s New Hire Attestations).</w:t>
      </w:r>
    </w:p>
    <w:p>
      <w:pPr>
        <w:spacing w:after="0" w:line="142" w:lineRule="exact"/>
        <w:rPr>
          <w:sz w:val="20"/>
          <w:szCs w:val="20"/>
          <w:color w:val="auto"/>
        </w:rPr>
      </w:pPr>
    </w:p>
    <w:p>
      <w:pPr>
        <w:ind w:left="320"/>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“Termination of Employment For Good Reason” </w:t>
      </w:r>
      <w:r>
        <w:rPr>
          <w:rFonts w:ascii="Times New Roman" w:cs="Times New Roman" w:eastAsia="Times New Roman" w:hAnsi="Times New Roman"/>
          <w:sz w:val="21"/>
          <w:szCs w:val="21"/>
          <w:color w:val="auto"/>
        </w:rPr>
        <w:t>means a termination of a Grantee’s employment by the Grantee due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(a) a material reduction in the position or responsibilities of the Grantee not including a change in title only; (b) a material reduction in the Grantee’s Base Salary (as defined in the Executive Severance Plan) or a material reduction in the Grantee’s compensation arrangements or benefits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variability in the value of stock-based compensation or in the compensation provided under the SLM Corporation 2021 Omnibus Incentive Plan or a successor plan will not be deemed to cause a material reduction in compensation); or (c) a relocation of the Grantee’s primary work location to a distance of greater than seventy-five (75) miles from his or her primary work location as of the date of this Agreement, unless such relocation results in the Grantee’s primary work location being closer to his or her then-primary residence or does not substantially increase the average commuting time of such Grantee;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“Termination of Employment For Good Reason” shall not include any requirement by the Corporation or any of its subsidiaries that the Grantee work at his or her assigned office location following the suspension, modification or termination of any applicable remote or hybrid work arrangement granted to the Grantee by the Corporation or any of its subsidiaries. If a Grantee continues his or her employment with the Corporation or any of its subsidiaries for more than ninety (90) days after the occurrence of an event described above that constitutes a Termination of Employment For Good Reason, then the Grantee shall be deemed to have given his or her consent to such event and the Grantee shall not be eligible for continued vesting under this Agreement as a result of that event and shall be deemed to have waived all rights in regard to such event.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anything to the contrary in this Agreement:</w:t>
      </w:r>
    </w:p>
    <w:p>
      <w:pPr>
        <w:sectPr>
          <w:pgSz w:w="11900" w:h="16838" w:orient="portrait"/>
          <w:cols w:equalWidth="0" w:num="1">
            <w:col w:w="10900"/>
          </w:cols>
          <w:pgMar w:left="660" w:top="1440" w:right="339" w:bottom="1440" w:gutter="0" w:footer="0" w:header="0"/>
        </w:sectPr>
      </w:pPr>
    </w:p>
    <w:bookmarkStart w:id="83" w:name="page84"/>
    <w:bookmarkEnd w:id="83"/>
    <w:p>
      <w:pPr>
        <w:ind w:left="968" w:right="40" w:hanging="320"/>
        <w:spacing w:after="0" w:line="265" w:lineRule="auto"/>
        <w:tabs>
          <w:tab w:leader="none" w:pos="956"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Change in Control in which the acquiring or surviving company in the transaction does not assume or continue outstanding Awards upon the Change in Control, then any portion of the Award that is not vested shall become 100 percent vested;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the conversion of the accelerated portion of the RSUs into shares of common stock (i.e., the settlement of the Award) will nevertheless be made at the same time or times as if such RSUs had vested in accordance with the vesting schedule set forth in Section 1 or, if earlier, upon the termination of Grantee’s employment for reasons other than due to a Termination of Employment For Cause.</w:t>
      </w:r>
    </w:p>
    <w:p>
      <w:pPr>
        <w:spacing w:after="0" w:line="128" w:lineRule="exact"/>
        <w:rPr>
          <w:rFonts w:ascii="Times New Roman" w:cs="Times New Roman" w:eastAsia="Times New Roman" w:hAnsi="Times New Roman"/>
          <w:sz w:val="21"/>
          <w:szCs w:val="21"/>
          <w:color w:val="auto"/>
        </w:rPr>
      </w:pPr>
    </w:p>
    <w:p>
      <w:pPr>
        <w:ind w:left="968" w:right="80" w:hanging="320"/>
        <w:spacing w:after="0" w:line="251" w:lineRule="auto"/>
        <w:tabs>
          <w:tab w:leader="none" w:pos="96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Grantee’s employment terminates within twenty-four (24) months following a Change in Control for any reason other than (i) due to a Termination of Employment For Cause or (ii) by Grantee’s voluntary termination of employment that is not a Termination of Employment for Good Reason, as defined in the SLM Corporation Change in Control Severance Plan for Senior Officers (if applicable to the Grantee), any portion of the Award not previously vested shall immediately become vested, and shall be converted into shares of common stock, upon such employment termination.</w:t>
      </w:r>
    </w:p>
    <w:p>
      <w:pPr>
        <w:spacing w:after="0" w:line="154" w:lineRule="exact"/>
        <w:rPr>
          <w:rFonts w:ascii="Times New Roman" w:cs="Times New Roman" w:eastAsia="Times New Roman" w:hAnsi="Times New Roman"/>
          <w:sz w:val="22"/>
          <w:szCs w:val="22"/>
          <w:color w:val="auto"/>
        </w:rPr>
      </w:pPr>
    </w:p>
    <w:p>
      <w:pPr>
        <w:ind w:left="328" w:hanging="328"/>
        <w:spacing w:after="0" w:line="247" w:lineRule="auto"/>
        <w:tabs>
          <w:tab w:leader="none" w:pos="32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Dividends</w:t>
      </w:r>
      <w:r>
        <w:rPr>
          <w:rFonts w:ascii="Times New Roman" w:cs="Times New Roman" w:eastAsia="Times New Roman" w:hAnsi="Times New Roman"/>
          <w:sz w:val="22"/>
          <w:szCs w:val="22"/>
          <w:color w:val="auto"/>
        </w:rPr>
        <w:t>. The Grantee of the Award shall make such arrangements as may reasonably be required by the Corporation, including transferring a sufficient number of shares of the Corporation’s common stock, to satisfy the income and employment tax withholding requirements that accrue upon the Award becoming vested or, if applicable, settled in shares of the Corporation’s common stock (by approving this Agreement, the Compensation Committee (the “Committee”) hereby approves the transfer of such shares to the Corporation for purposes of SEC Rule 16b-3). Dividends declared on an unvested Award will not be paid in cash currently except in the case of fractional shares as set forth below. Instead, an account established on behalf of the Grantee will be credited with an amount equal to such dividends, which amount shall be reinvested in additional shares of the Corporation’s common stock (“Dividend Equivalent”). The value of the Dividend Equivalents will be calculated in the same manner as dividends paid to holders of common stock. Such Dividend Equivalents will be subject to the same vesting schedule to which the Award is subject. Upon vesting of any portion of the Award, the amount of Dividend Equivalents allocable to such Award (and any fractional share amount) will also vest and will be converted into shares of the Corporation’s common stock (provided that any fractional share amount shall be paid in cash).</w:t>
      </w:r>
    </w:p>
    <w:p>
      <w:pPr>
        <w:spacing w:after="0" w:line="165" w:lineRule="exact"/>
        <w:rPr>
          <w:rFonts w:ascii="Times New Roman" w:cs="Times New Roman" w:eastAsia="Times New Roman" w:hAnsi="Times New Roman"/>
          <w:sz w:val="22"/>
          <w:szCs w:val="22"/>
          <w:color w:val="auto"/>
        </w:rPr>
      </w:pPr>
    </w:p>
    <w:p>
      <w:pPr>
        <w:ind w:left="328" w:hanging="328"/>
        <w:spacing w:after="0" w:line="250" w:lineRule="auto"/>
        <w:tabs>
          <w:tab w:leader="none" w:pos="32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For purposes of Section 409A of the Internal Revenue Code, the regulations and other guidance thereunder and any state law of similar effect (collectively “Section 409A”), each payment and benefit payable under this Agreement is hereby designated as a separate payment. The parties intend that all RSUs provided under this Agreement and shares issuable hereunder comply with or be exempt from the requirements of Section 409A so that none of the payments or benefits will be subject to the adverse tax penalties imposed under Section 409A, and any ambiguities herein will be interpreted to so comply. Notwithstanding anything in the Plan or this Agreement to the contrary, if the vesting of the balance, or some lesser portion of the balance, of the RSUs</w:t>
      </w:r>
    </w:p>
    <w:p>
      <w:pPr>
        <w:sectPr>
          <w:pgSz w:w="11900" w:h="16838" w:orient="portrait"/>
          <w:cols w:equalWidth="0" w:num="1">
            <w:col w:w="10868"/>
          </w:cols>
          <w:pgMar w:left="652" w:top="1422" w:right="379" w:bottom="1440" w:gutter="0" w:footer="0" w:header="0"/>
        </w:sectPr>
      </w:pPr>
    </w:p>
    <w:bookmarkStart w:id="84" w:name="page85"/>
    <w:bookmarkEnd w:id="84"/>
    <w:p>
      <w:pPr>
        <w:spacing w:after="0" w:line="158" w:lineRule="exact"/>
        <w:rPr>
          <w:sz w:val="20"/>
          <w:szCs w:val="20"/>
          <w:color w:val="auto"/>
        </w:rPr>
      </w:pPr>
    </w:p>
    <w:p>
      <w:pPr>
        <w:ind w:left="328"/>
        <w:spacing w:after="0" w:line="261" w:lineRule="auto"/>
        <w:rPr>
          <w:sz w:val="20"/>
          <w:szCs w:val="20"/>
          <w:color w:val="auto"/>
        </w:rPr>
      </w:pPr>
      <w:r>
        <w:rPr>
          <w:rFonts w:ascii="Times New Roman" w:cs="Times New Roman" w:eastAsia="Times New Roman" w:hAnsi="Times New Roman"/>
          <w:sz w:val="21"/>
          <w:szCs w:val="21"/>
          <w:color w:val="auto"/>
        </w:rPr>
        <w:t>is to be accelerated in connection with the Grantee’s termination of service, such accelerated RSUs will not be settled by virtue of such acceleration until and unless the Grantee has a “separation from service” within the meaning of Treasury Regulation Section 1.409A-1(h), as determined by the Corporation, in its sole discretion. Further, and notwithstanding anything in the Plan or this Agreement to the contrary, if (x) any of the RSUs to be provided in connection with the Grantee’s separation from service do not qualify for any reason to be exempt from Section 409A, (y) the Grantee is, at the time of such separation from service, a “specified employee” (as defined in Treasury Regulation Section 1.409A-1(i)) and</w:t>
      </w:r>
    </w:p>
    <w:p>
      <w:pPr>
        <w:spacing w:after="0" w:line="1" w:lineRule="exact"/>
        <w:rPr>
          <w:sz w:val="20"/>
          <w:szCs w:val="20"/>
          <w:color w:val="auto"/>
        </w:rPr>
      </w:pPr>
    </w:p>
    <w:p>
      <w:pPr>
        <w:ind w:left="328"/>
        <w:spacing w:after="0" w:line="262" w:lineRule="auto"/>
        <w:rPr>
          <w:sz w:val="20"/>
          <w:szCs w:val="20"/>
          <w:color w:val="auto"/>
        </w:rPr>
      </w:pPr>
      <w:r>
        <w:rPr>
          <w:rFonts w:ascii="Times New Roman" w:cs="Times New Roman" w:eastAsia="Times New Roman" w:hAnsi="Times New Roman"/>
          <w:sz w:val="21"/>
          <w:szCs w:val="21"/>
          <w:color w:val="auto"/>
        </w:rPr>
        <w:t>(z) the settlement of such RSUs would result in the imposition of additional tax under Section 409A if such settlement occurs on or within the six (6) month period following the Grantee’s separation from service, then, to the extent necessary to avoid the imposition of such additional taxation, the settlement of any such RSUs during such six (6) month period will accrue and will not be settled until the date six (6) months and one (1) day following the date of the Grantee’s separation from service and on such date (or, if earlier, the date of the Grantee’s death), such RSUs will be settled.</w:t>
      </w:r>
    </w:p>
    <w:p>
      <w:pPr>
        <w:spacing w:after="0" w:line="142" w:lineRule="exact"/>
        <w:rPr>
          <w:sz w:val="20"/>
          <w:szCs w:val="20"/>
          <w:color w:val="auto"/>
        </w:rPr>
      </w:pPr>
    </w:p>
    <w:p>
      <w:pPr>
        <w:ind w:left="328" w:hanging="328"/>
        <w:spacing w:after="0" w:line="247" w:lineRule="auto"/>
        <w:tabs>
          <w:tab w:leader="none" w:pos="32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Provision</w:t>
      </w:r>
      <w:r>
        <w:rPr>
          <w:rFonts w:ascii="Times New Roman" w:cs="Times New Roman" w:eastAsia="Times New Roman" w:hAnsi="Times New Roman"/>
          <w:sz w:val="22"/>
          <w:szCs w:val="22"/>
          <w:color w:val="auto"/>
        </w:rPr>
        <w:t>. If the SLM Corporation Board of Directors (the “Board”), or an appropriate committee thereof, determines that (a) any material misstatement of financial results or a performance metric criteria has occurred as a result of the Grantee’s conduct; (b) the Grantee has committed a material violation of corporate policy or has committed fraud or Misconduct; or (c) the Grantee has violated any of the restrictive covenants set forth in Sections 7 through 9, then the Board or such committee may, in its sole discretion, require reimbursement of any compensation resulting from the vesting of RSUs and the cancellation of any outstanding RSUs from the Grantee (whether or not such individual is currently employed by the Corporation) during the three (3) year period following the date on which the conduct resulting in the material misstatement occurred, or the date such violation, fraud or Misconduct occurred, as determined by the Board or the applicable committee. The Board or such committee shall consider all factors, with particular scrutiny when one of the Senior Vice Presidents or above are involved, in determining whether and to what extent such involvement described herein occurred and the amount of such reimbursement. Notwithstanding anything to the contrary herein, this provision shall be subject to adjustment and amendment to conform with any current or subsequently adopted policy or amendment relating to the clawback of compensation as may be adopted by the Board or an appropriate committee thereof.</w:t>
      </w:r>
    </w:p>
    <w:p>
      <w:pPr>
        <w:spacing w:after="0" w:line="158" w:lineRule="exact"/>
        <w:rPr>
          <w:rFonts w:ascii="Times New Roman" w:cs="Times New Roman" w:eastAsia="Times New Roman" w:hAnsi="Times New Roman"/>
          <w:sz w:val="22"/>
          <w:szCs w:val="22"/>
          <w:color w:val="auto"/>
        </w:rPr>
      </w:pPr>
    </w:p>
    <w:p>
      <w:pPr>
        <w:ind w:left="328" w:right="40" w:hanging="328"/>
        <w:spacing w:after="0" w:line="250" w:lineRule="auto"/>
        <w:tabs>
          <w:tab w:leader="none" w:pos="32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Grantee recognizes that his or her work as an employee of the Corporation brought or may have brought him or her into close contact with confidential information of the Corporation not publicly known. This may include, but is not limited to, know-how, technical data, methods, processes, formulations, techniques, developments, inventions, research projects, new products, plans for future developments, responses to “Requests for Proposals,” “Letters of Understanding,” bid information for government contracts, negotiations for new business ventures or strategic alliances, litigation and potential litigation matters, computer code and/or design of proprietary loan systems, personnel records and salary information, information about</w:t>
      </w:r>
    </w:p>
    <w:p>
      <w:pPr>
        <w:sectPr>
          <w:pgSz w:w="11900" w:h="16838" w:orient="portrait"/>
          <w:cols w:equalWidth="0" w:num="1">
            <w:col w:w="10868"/>
          </w:cols>
          <w:pgMar w:left="652" w:top="1440" w:right="379" w:bottom="1440" w:gutter="0" w:footer="0" w:header="0"/>
        </w:sectPr>
      </w:pPr>
    </w:p>
    <w:bookmarkStart w:id="85" w:name="page86"/>
    <w:bookmarkEnd w:id="85"/>
    <w:p>
      <w:pPr>
        <w:spacing w:after="0" w:line="15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22"/>
          <w:szCs w:val="22"/>
          <w:color w:val="auto"/>
        </w:rPr>
        <w:t>costs, profits, markets, sales, and lists of customers, potential customers and/or employees. This list is merely illustrative and confidential information is not limited to the illustrations.</w:t>
      </w:r>
    </w:p>
    <w:p>
      <w:pPr>
        <w:spacing w:after="0" w:line="10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The Grantee expressly acknowledges and agrees that the Corporation’s confidential information is proprietary and confidential and that, if any of the confidential information was imparted or became known by any persons, including the Grantee, engaging in a business in any way competitive with the Corporation, such disclosure would result in hardship, loss, irreparable injury and damage to the Corporation, the measurement of which would be difficult, if not impossible, to determine. The Grantee further expressly agrees that the Corporation has a legitimate interest in protecting the confidential information and its business goodwill, and that it is necessary for the Corporation to protect its business from such hardship, loss, irreparable injury and damage. The Grantee further acknowledges that the preservation and protection of the confidential information is an essential part of his or her duties of employment and that, as a result of the Grantee’s employment with the Corporation, he or she has a duty of fidelity, loyalty, and trust to the Corporation in handling the confidential information.</w:t>
      </w:r>
    </w:p>
    <w:p>
      <w:pPr>
        <w:spacing w:after="0" w:line="14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1"/>
          <w:szCs w:val="21"/>
          <w:color w:val="auto"/>
        </w:rPr>
        <w:t>The Grantee agrees to keep secret all such confidential information and trade secrets of the Corporation and agrees not to, directly or indirectly, other than as necessary in the Corporation’s business and in the scope of his or her employment, disclose or use any such confidential information at any time (including any time following the date the Grantee experiences a termination of employment for any reason (the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 except as (1) required or permitted by statute, regulation or court order; or (2) pursuant to written consent given by the Corporation’s General Counsel. In addition, the Grantee recognizes that he or she may have been exposed, by reason of his or her employment, to certain information, which is confidential or proprietary to third parties. The Grantee agrees that he or she will not disclose or use at any time, without the prior written consent of such third party and the Corporation, any such confidential or proprietary information. The Grantee agrees that all written and computer-stored materials (including correspondence, memoranda, manuals, notes, and notebooks) which were in his or her possession from time to time (whether or not written or prepared by me) embodying confidential information should be and remain the Corporation’s sole property and he or she will use all reasonable precautions to assure that all such written and computer-stored materials are properly protected and kept from unauthorized persons. The Grantee further agrees to deliver same, including all copies, promptly to the Corporation upon termination of his or her employment, or at any time it may request. In the event that the Grantee is unsure whether certain material or information is confidential, he or she agrees to consult the Corporation’s Legal Department for resolution and agrees to be bound by the Legal Department’s decision.</w:t>
      </w:r>
    </w:p>
    <w:p>
      <w:pPr>
        <w:spacing w:after="0" w:line="148"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2"/>
          <w:szCs w:val="22"/>
          <w:color w:val="auto"/>
        </w:rPr>
        <w:t>Notwithstanding the foregoing, nothing in this Agreement or otherwise limits the Grantee’s ability to communicate 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or any other federal, state or local governmental agency or commission or self-regulatory organization (each such agency,</w:t>
      </w:r>
    </w:p>
    <w:p>
      <w:pPr>
        <w:sectPr>
          <w:pgSz w:w="11900" w:h="16838" w:orient="portrait"/>
          <w:cols w:equalWidth="0" w:num="1">
            <w:col w:w="10560"/>
          </w:cols>
          <w:pgMar w:left="980" w:top="1440" w:right="359" w:bottom="1440" w:gutter="0" w:footer="0" w:header="0"/>
        </w:sectPr>
      </w:pPr>
    </w:p>
    <w:bookmarkStart w:id="86" w:name="page87"/>
    <w:bookmarkEnd w:id="86"/>
    <w:p>
      <w:pPr>
        <w:spacing w:after="0" w:line="154" w:lineRule="exact"/>
        <w:rPr>
          <w:sz w:val="20"/>
          <w:szCs w:val="20"/>
          <w:color w:val="auto"/>
        </w:rPr>
      </w:pPr>
    </w:p>
    <w:p>
      <w:pPr>
        <w:ind w:left="328" w:right="480"/>
        <w:spacing w:after="0" w:line="265" w:lineRule="auto"/>
        <w:rPr>
          <w:sz w:val="20"/>
          <w:szCs w:val="20"/>
          <w:color w:val="auto"/>
        </w:rPr>
      </w:pPr>
      <w:r>
        <w:rPr>
          <w:rFonts w:ascii="Times New Roman" w:cs="Times New Roman" w:eastAsia="Times New Roman" w:hAnsi="Times New Roman"/>
          <w:sz w:val="22"/>
          <w:szCs w:val="22"/>
          <w:color w:val="auto"/>
        </w:rPr>
        <w:t>commission or organization, a “</w:t>
      </w:r>
      <w:r>
        <w:rPr>
          <w:rFonts w:ascii="Times New Roman" w:cs="Times New Roman" w:eastAsia="Times New Roman" w:hAnsi="Times New Roman"/>
          <w:sz w:val="22"/>
          <w:szCs w:val="22"/>
          <w:b w:val="1"/>
          <w:bCs w:val="1"/>
          <w:color w:val="auto"/>
        </w:rPr>
        <w:t>Government Agency</w:t>
      </w:r>
      <w:r>
        <w:rPr>
          <w:rFonts w:ascii="Times New Roman" w:cs="Times New Roman" w:eastAsia="Times New Roman" w:hAnsi="Times New Roman"/>
          <w:sz w:val="22"/>
          <w:szCs w:val="22"/>
          <w:color w:val="auto"/>
        </w:rPr>
        <w:t>”) regarding possible legal violations, without disclosure to the Corporation. The Corporation may not retaliate against the Grantee for any of these activities, and nothing in this Agreement requires the</w:t>
      </w:r>
    </w:p>
    <w:p>
      <w:pPr>
        <w:spacing w:after="0" w:line="125" w:lineRule="exact"/>
        <w:rPr>
          <w:sz w:val="20"/>
          <w:szCs w:val="20"/>
          <w:color w:val="auto"/>
        </w:rPr>
      </w:pPr>
    </w:p>
    <w:p>
      <w:pPr>
        <w:ind w:left="328" w:right="40"/>
        <w:spacing w:after="0" w:line="271" w:lineRule="auto"/>
        <w:rPr>
          <w:sz w:val="20"/>
          <w:szCs w:val="20"/>
          <w:color w:val="auto"/>
        </w:rPr>
      </w:pPr>
      <w:r>
        <w:rPr>
          <w:rFonts w:ascii="Times New Roman" w:cs="Times New Roman" w:eastAsia="Times New Roman" w:hAnsi="Times New Roman"/>
          <w:sz w:val="22"/>
          <w:szCs w:val="22"/>
          <w:color w:val="auto"/>
        </w:rPr>
        <w:t>Grantee to waive any monetary award or other relief that the Grantee might become entitled to from the SEC or any other Government Agency.</w:t>
      </w:r>
    </w:p>
    <w:p>
      <w:pPr>
        <w:spacing w:after="0" w:line="131" w:lineRule="exact"/>
        <w:rPr>
          <w:sz w:val="20"/>
          <w:szCs w:val="20"/>
          <w:color w:val="auto"/>
        </w:rPr>
      </w:pPr>
    </w:p>
    <w:p>
      <w:pPr>
        <w:ind w:left="328" w:right="160"/>
        <w:spacing w:after="0" w:line="248" w:lineRule="auto"/>
        <w:rPr>
          <w:sz w:val="20"/>
          <w:szCs w:val="20"/>
          <w:color w:val="auto"/>
        </w:rPr>
      </w:pPr>
      <w:r>
        <w:rPr>
          <w:rFonts w:ascii="Times New Roman" w:cs="Times New Roman" w:eastAsia="Times New Roman" w:hAnsi="Times New Roman"/>
          <w:sz w:val="22"/>
          <w:szCs w:val="22"/>
          <w:color w:val="auto"/>
        </w:rPr>
        <w:t>Pursuant to the Defend Trade Secrets Act of 2016, the Corporation and the Grantee acknowledge and agree that the Grantee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and without limiting the preceding sentence, if the Grantee files a lawsuit for retaliation by the Corporation for reporting a suspected violation of law, the Grantee may disclose the trade secret to his or her attorney and may use the trade secret information in the court proceeding, if the Grantee (X) files any document containing the trade secret under seal and (Y) does not disclose the trade secret, except pursuant to court order.</w:t>
      </w:r>
    </w:p>
    <w:p>
      <w:pPr>
        <w:spacing w:after="0" w:line="158" w:lineRule="exact"/>
        <w:rPr>
          <w:sz w:val="20"/>
          <w:szCs w:val="20"/>
          <w:color w:val="auto"/>
        </w:rPr>
      </w:pPr>
    </w:p>
    <w:p>
      <w:pPr>
        <w:ind w:left="328" w:right="120" w:hanging="328"/>
        <w:spacing w:after="0" w:line="250" w:lineRule="auto"/>
        <w:tabs>
          <w:tab w:leader="none" w:pos="32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The Grantee agrees that, during the two (2) year period following the Termination Date, the Grantee shall not solicit or encourage any employee, consultant or other individual independent contractor with whom he or she communicated within the last year of his or her employment to leave the employ or engagement of the Corporation, or hire any such employees. Further, during this two (2) year period following the Termination Date, the Grantee shall not, directly or indirectly, contact or accept business that the Corporation could otherwise perform from any of the Corporation’s customers or prospective customers with whom the Grantee communicated within the last two (2) years of his or her employment.</w:t>
      </w:r>
    </w:p>
    <w:p>
      <w:pPr>
        <w:spacing w:after="0" w:line="153" w:lineRule="exact"/>
        <w:rPr>
          <w:rFonts w:ascii="Times New Roman" w:cs="Times New Roman" w:eastAsia="Times New Roman" w:hAnsi="Times New Roman"/>
          <w:sz w:val="22"/>
          <w:szCs w:val="22"/>
          <w:color w:val="auto"/>
        </w:rPr>
      </w:pPr>
    </w:p>
    <w:p>
      <w:pPr>
        <w:ind w:left="328" w:hanging="328"/>
        <w:spacing w:after="0" w:line="248" w:lineRule="auto"/>
        <w:tabs>
          <w:tab w:leader="none" w:pos="32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expressly agrees that the markets served by the Corporation extend nationally and are not dependent on the geographic location of the personnel or the businesses by which they are employed and that the restrictions set forth in Sections 7 through 9 have been designed to be reasonable and are no greater than are required for the protection of the Corporation and do not prevent the Grantee from earning a livelihood by working in positions that do not compete with the Corporation. In the event that a court shall determine that any provision of the Agreement is unenforceable, the parties shall request that the court construe this Agreement in such a fashion as to render it enforceable and to revise time and geographic limits to those minimum limits that the court believes are reasonable to protect the interests of the Corporation. The Grantee further acknowledges that his or her employment at the Corporation is employment at-will and this Agreement does not alter this at-will relationship. The Grantee acknowledges and agrees that these covenants have unique, substantial and immeasurable value to the Corporation, that the Grantee has sufficient skills to provide a livelihood for him or her while these covenants remains in force, and that these covenants will not interfere with his or her ability to work consistent with his or her experience, training, and</w:t>
      </w:r>
    </w:p>
    <w:p>
      <w:pPr>
        <w:sectPr>
          <w:pgSz w:w="11900" w:h="16838" w:orient="portrait"/>
          <w:cols w:equalWidth="0" w:num="1">
            <w:col w:w="10888"/>
          </w:cols>
          <w:pgMar w:left="652" w:top="1440" w:right="359" w:bottom="1440" w:gutter="0" w:footer="0" w:header="0"/>
        </w:sectPr>
      </w:pPr>
    </w:p>
    <w:bookmarkStart w:id="87" w:name="page88"/>
    <w:bookmarkEnd w:id="87"/>
    <w:p>
      <w:pPr>
        <w:spacing w:after="0" w:line="158" w:lineRule="exact"/>
        <w:rPr>
          <w:sz w:val="20"/>
          <w:szCs w:val="20"/>
          <w:color w:val="auto"/>
        </w:rPr>
      </w:pPr>
    </w:p>
    <w:p>
      <w:pPr>
        <w:ind w:left="328" w:right="20"/>
        <w:spacing w:after="0" w:line="253" w:lineRule="auto"/>
        <w:rPr>
          <w:sz w:val="20"/>
          <w:szCs w:val="20"/>
          <w:color w:val="auto"/>
        </w:rPr>
      </w:pPr>
      <w:r>
        <w:rPr>
          <w:rFonts w:ascii="Times New Roman" w:cs="Times New Roman" w:eastAsia="Times New Roman" w:hAnsi="Times New Roman"/>
          <w:sz w:val="22"/>
          <w:szCs w:val="22"/>
          <w:color w:val="auto"/>
        </w:rPr>
        <w:t>education. To enable the Corporation to monitor compliance with the obligations imposed by this Agreement, the Grantee further agrees to inform in writing a senior officer in Human Resources with a title of “Vice President” or above of the identity of the Grantee’s subsequent employer(s) and his or her prospective job title and responsibilities prior to beginning employment. The Grantee agrees that this notice requirement shall remain in effect for twelve (12) months following the Termination Date.</w:t>
      </w:r>
    </w:p>
    <w:p>
      <w:pPr>
        <w:spacing w:after="0" w:line="152" w:lineRule="exact"/>
        <w:rPr>
          <w:sz w:val="20"/>
          <w:szCs w:val="20"/>
          <w:color w:val="auto"/>
        </w:rPr>
      </w:pPr>
    </w:p>
    <w:p>
      <w:pPr>
        <w:ind w:left="328" w:right="420" w:hanging="328"/>
        <w:spacing w:after="0" w:line="252" w:lineRule="auto"/>
        <w:tabs>
          <w:tab w:leader="none" w:pos="32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restrictive covenants set forth in Sections 7 through 9 do not in any way restrict or impede the Grantee from exercising protected rights to the extent that such rights cannot be waived by agreement or from complying with any applicable law or regulation or a valid order of a court of competent jurisdiction or an authorized government agency,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compliance does not exceed that required by the law, regulation, or order.</w:t>
      </w:r>
    </w:p>
    <w:p>
      <w:pPr>
        <w:spacing w:after="0" w:line="152" w:lineRule="exact"/>
        <w:rPr>
          <w:rFonts w:ascii="Times New Roman" w:cs="Times New Roman" w:eastAsia="Times New Roman" w:hAnsi="Times New Roman"/>
          <w:sz w:val="22"/>
          <w:szCs w:val="22"/>
          <w:color w:val="auto"/>
        </w:rPr>
      </w:pPr>
    </w:p>
    <w:p>
      <w:pPr>
        <w:ind w:left="328" w:right="100" w:hanging="328"/>
        <w:spacing w:after="0" w:line="250" w:lineRule="auto"/>
        <w:tabs>
          <w:tab w:leader="none" w:pos="3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illegality, unenforceability, or ineffectiveness of any provision of Sections 7 through 10 shall not affect the legality, enforceability, or effectiveness of any other provision of this Agreement. Notwithstanding the confidentiality provisions identified in Section 7 of this Agreement, the Grantee may disclose the restrictive covenants in this Agreement to prospective employers and agrees that the Corporation may provide a copy of this Agreement to his or her prospective or future employers.</w:t>
      </w:r>
    </w:p>
    <w:p>
      <w:pPr>
        <w:spacing w:after="0" w:line="153" w:lineRule="exact"/>
        <w:rPr>
          <w:rFonts w:ascii="Times New Roman" w:cs="Times New Roman" w:eastAsia="Times New Roman" w:hAnsi="Times New Roman"/>
          <w:sz w:val="22"/>
          <w:szCs w:val="22"/>
          <w:color w:val="auto"/>
        </w:rPr>
      </w:pPr>
    </w:p>
    <w:p>
      <w:pPr>
        <w:ind w:left="328" w:right="60" w:hanging="328"/>
        <w:spacing w:after="0" w:line="251" w:lineRule="auto"/>
        <w:tabs>
          <w:tab w:leader="none" w:pos="32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Compliance</w:t>
      </w:r>
      <w:r>
        <w:rPr>
          <w:rFonts w:ascii="Times New Roman" w:cs="Times New Roman" w:eastAsia="Times New Roman" w:hAnsi="Times New Roman"/>
          <w:sz w:val="22"/>
          <w:szCs w:val="22"/>
          <w:color w:val="auto"/>
        </w:rPr>
        <w:t>. The Corporation may impose such restrictions, conditions or limitations as it determines appropriate as to the timing and manner of any transfer or sale by the Grantee of any shares of the Corporation’s common stock, including without limitation (a) restrictions under an insider trading policy and (b) restrictions that may be necessary in the absence of an effective registration statement under the Securities Act of 1933, as amended, covering the shares of the Corporation’s common stock. The sale of the shares must also comply with other applicable laws and regulations governing the sale of such shares.</w:t>
      </w:r>
    </w:p>
    <w:p>
      <w:pPr>
        <w:spacing w:after="0" w:line="140" w:lineRule="exact"/>
        <w:rPr>
          <w:rFonts w:ascii="Times New Roman" w:cs="Times New Roman" w:eastAsia="Times New Roman" w:hAnsi="Times New Roman"/>
          <w:sz w:val="22"/>
          <w:szCs w:val="22"/>
          <w:color w:val="auto"/>
        </w:rPr>
      </w:pPr>
    </w:p>
    <w:p>
      <w:pPr>
        <w:ind w:left="328" w:hanging="328"/>
        <w:spacing w:after="0" w:line="261" w:lineRule="auto"/>
        <w:tabs>
          <w:tab w:leader="none" w:pos="32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w:t>
      </w:r>
      <w:r>
        <w:rPr>
          <w:rFonts w:ascii="Times New Roman" w:cs="Times New Roman" w:eastAsia="Times New Roman" w:hAnsi="Times New Roman"/>
          <w:sz w:val="21"/>
          <w:szCs w:val="21"/>
          <w:color w:val="auto"/>
        </w:rPr>
        <w:t>. As an essential term of the Award, the Grantee consents to the collection, use and transfer, in electronic or other form, of personal data as described herein for the exclusive purpose of implementing, administering and managing the Grantee’s participation in the Plan. By accepting the Award, the Grantee acknowledges that the Corporation holds certain personal information about the Grantee, including, but not limited to, name, home address and telephone number, date of birth, social security number or other identification number, salary, tax rates and amounts, nationality, job title, any shares of stock held in the Corporation, details of all options or any other entitlement to shares of stock awarded, canceled, exercised, vested, unvested or outstanding, for the purpose of implementing, administering and managing the Plan (“Data”). The Grantee acknowledges that Data may be transferred to any third parties assisting in the implementation, administration and management of the Plan, that these recipients may be located in jurisdictions that may have different data privacy laws and protections, and the Grantee authorizes the recipients to receive, possess, use, retain and transfer the Data, in electronic or other form, for the purposes of implementing, administering and managing the Plan, including any requisite transfer of such Data as may be required to a broker or</w:t>
      </w:r>
    </w:p>
    <w:p>
      <w:pPr>
        <w:sectPr>
          <w:pgSz w:w="11900" w:h="16838" w:orient="portrait"/>
          <w:cols w:equalWidth="0" w:num="1">
            <w:col w:w="10888"/>
          </w:cols>
          <w:pgMar w:left="652" w:top="1440" w:right="359" w:bottom="1440" w:gutter="0" w:footer="0" w:header="0"/>
        </w:sectPr>
      </w:pPr>
    </w:p>
    <w:bookmarkStart w:id="88" w:name="page89"/>
    <w:bookmarkEnd w:id="88"/>
    <w:p>
      <w:pPr>
        <w:spacing w:after="0" w:line="158" w:lineRule="exact"/>
        <w:rPr>
          <w:sz w:val="20"/>
          <w:szCs w:val="20"/>
          <w:color w:val="auto"/>
        </w:rPr>
      </w:pPr>
    </w:p>
    <w:p>
      <w:pPr>
        <w:ind w:left="328" w:right="60"/>
        <w:spacing w:after="0" w:line="251" w:lineRule="auto"/>
        <w:rPr>
          <w:sz w:val="20"/>
          <w:szCs w:val="20"/>
          <w:color w:val="auto"/>
        </w:rPr>
      </w:pPr>
      <w:r>
        <w:rPr>
          <w:rFonts w:ascii="Times New Roman" w:cs="Times New Roman" w:eastAsia="Times New Roman" w:hAnsi="Times New Roman"/>
          <w:sz w:val="22"/>
          <w:szCs w:val="22"/>
          <w:color w:val="auto"/>
        </w:rPr>
        <w:t xml:space="preserve">other third party with whom the Grantee or the Corporation may elect to deposit any shares of the Corporation’s common stock. The Grantee acknowledges that Data may be held to implement, administer and manage the Grantee’s participation in the Plan as determined by the Corporation, and that the Grantee may request additional information about the storage and processing of Data, require any necessary amendments to Data or refuse or withdraw the consents herein, in any case without cost,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refusing or withdrawing the Grantee’s consent may adversely affect the Grantee’s ability to participate in the Plan.</w:t>
      </w:r>
    </w:p>
    <w:p>
      <w:pPr>
        <w:spacing w:after="0" w:line="154" w:lineRule="exact"/>
        <w:rPr>
          <w:sz w:val="20"/>
          <w:szCs w:val="20"/>
          <w:color w:val="auto"/>
        </w:rPr>
      </w:pPr>
    </w:p>
    <w:p>
      <w:pPr>
        <w:ind w:left="328" w:hanging="328"/>
        <w:spacing w:after="0" w:line="251" w:lineRule="auto"/>
        <w:tabs>
          <w:tab w:leader="none" w:pos="3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Corporation may, in its sole discretion, decide to deliver any documents related to any Awards granted under the Plan by electronic means or to request the Grantee’s consent to participate in the Plan by electronic means. The Grantee hereby consents to receive such documents by electronic delivery and, if requested, to agree to participate in the Plan through an online or electronic system established and maintained by the Corporation or another third party designated by the Corporation, and such consent shall remain in effect throughout the Grantee’s term of service with the Corporation (or its subsidiaries) and thereafter until withdrawn in writing by the Grantee.</w:t>
      </w:r>
    </w:p>
    <w:p>
      <w:pPr>
        <w:spacing w:after="0" w:line="140" w:lineRule="exact"/>
        <w:rPr>
          <w:rFonts w:ascii="Times New Roman" w:cs="Times New Roman" w:eastAsia="Times New Roman" w:hAnsi="Times New Roman"/>
          <w:sz w:val="22"/>
          <w:szCs w:val="22"/>
          <w:color w:val="auto"/>
        </w:rPr>
      </w:pPr>
    </w:p>
    <w:p>
      <w:pPr>
        <w:ind w:left="328" w:right="60" w:hanging="328"/>
        <w:spacing w:after="0" w:line="263" w:lineRule="auto"/>
        <w:tabs>
          <w:tab w:leader="none" w:pos="3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Interpretation</w:t>
      </w:r>
      <w:r>
        <w:rPr>
          <w:rFonts w:ascii="Times New Roman" w:cs="Times New Roman" w:eastAsia="Times New Roman" w:hAnsi="Times New Roman"/>
          <w:sz w:val="22"/>
          <w:szCs w:val="22"/>
          <w:color w:val="auto"/>
        </w:rPr>
        <w:t>. The Grantee hereby agrees to accept as binding, conclusive, and final all decisions and interpretations of the Board and, where applicable, the Committee concerning any questions arising under this Agreement or the Plan.</w:t>
      </w:r>
    </w:p>
    <w:p>
      <w:pPr>
        <w:spacing w:after="0" w:line="126" w:lineRule="exact"/>
        <w:rPr>
          <w:rFonts w:ascii="Times New Roman" w:cs="Times New Roman" w:eastAsia="Times New Roman" w:hAnsi="Times New Roman"/>
          <w:sz w:val="22"/>
          <w:szCs w:val="22"/>
          <w:color w:val="auto"/>
        </w:rPr>
      </w:pPr>
    </w:p>
    <w:p>
      <w:pPr>
        <w:ind w:left="328" w:right="300" w:hanging="328"/>
        <w:spacing w:after="0" w:line="263" w:lineRule="auto"/>
        <w:tabs>
          <w:tab w:leader="none" w:pos="3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Agreement or any other instrument executed pursuant thereto or hereto shall confer upon the Grantee any right to continued employment with the Corporation or any of its subsidiaries or affiliates.</w:t>
      </w:r>
    </w:p>
    <w:p>
      <w:pPr>
        <w:spacing w:after="0" w:line="126" w:lineRule="exact"/>
        <w:rPr>
          <w:rFonts w:ascii="Times New Roman" w:cs="Times New Roman" w:eastAsia="Times New Roman" w:hAnsi="Times New Roman"/>
          <w:sz w:val="22"/>
          <w:szCs w:val="22"/>
          <w:color w:val="auto"/>
        </w:rPr>
      </w:pPr>
    </w:p>
    <w:p>
      <w:pPr>
        <w:ind w:left="328" w:right="200" w:hanging="328"/>
        <w:spacing w:after="0" w:line="271" w:lineRule="auto"/>
        <w:tabs>
          <w:tab w:leader="none" w:pos="3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for Accounting Charges</w:t>
      </w:r>
      <w:r>
        <w:rPr>
          <w:rFonts w:ascii="Times New Roman" w:cs="Times New Roman" w:eastAsia="Times New Roman" w:hAnsi="Times New Roman"/>
          <w:sz w:val="22"/>
          <w:szCs w:val="22"/>
          <w:color w:val="auto"/>
        </w:rPr>
        <w:t>. The Committee reserves the right to unilaterally amend this Agreement to reflect any changes in applicable law or financial accounting standards.</w:t>
      </w:r>
    </w:p>
    <w:p>
      <w:pPr>
        <w:spacing w:after="0" w:line="130" w:lineRule="exact"/>
        <w:rPr>
          <w:rFonts w:ascii="Times New Roman" w:cs="Times New Roman" w:eastAsia="Times New Roman" w:hAnsi="Times New Roman"/>
          <w:sz w:val="22"/>
          <w:szCs w:val="22"/>
          <w:color w:val="auto"/>
        </w:rPr>
      </w:pPr>
    </w:p>
    <w:p>
      <w:pPr>
        <w:ind w:left="328" w:right="880" w:hanging="328"/>
        <w:spacing w:after="0" w:line="271" w:lineRule="auto"/>
        <w:tabs>
          <w:tab w:leader="none" w:pos="3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Delaware, without giving effect to principles of conflicts of law.</w:t>
      </w:r>
    </w:p>
    <w:p>
      <w:pPr>
        <w:spacing w:after="0" w:line="117" w:lineRule="exact"/>
        <w:rPr>
          <w:rFonts w:ascii="Times New Roman" w:cs="Times New Roman" w:eastAsia="Times New Roman" w:hAnsi="Times New Roman"/>
          <w:sz w:val="22"/>
          <w:szCs w:val="22"/>
          <w:color w:val="auto"/>
        </w:rPr>
      </w:pPr>
    </w:p>
    <w:p>
      <w:pPr>
        <w:jc w:val="both"/>
        <w:ind w:left="328" w:right="160" w:hanging="328"/>
        <w:spacing w:after="0" w:line="263" w:lineRule="auto"/>
        <w:tabs>
          <w:tab w:leader="none" w:pos="3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under this Agreement shall be in writing and shall be deemed to have been duly given if personally delivered, or, if mailed or emailed, when received by, the other party at the following addresses:</w:t>
      </w:r>
    </w:p>
    <w:p>
      <w:pPr>
        <w:spacing w:after="0" w:line="126" w:lineRule="exact"/>
        <w:rPr>
          <w:rFonts w:ascii="Times New Roman" w:cs="Times New Roman" w:eastAsia="Times New Roman" w:hAnsi="Times New Roman"/>
          <w:sz w:val="22"/>
          <w:szCs w:val="22"/>
          <w:color w:val="auto"/>
        </w:rPr>
      </w:pP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Corporation to:</w:t>
      </w:r>
    </w:p>
    <w:p>
      <w:pPr>
        <w:spacing w:after="0" w:line="192" w:lineRule="exact"/>
        <w:rPr>
          <w:rFonts w:ascii="Times New Roman" w:cs="Times New Roman" w:eastAsia="Times New Roman" w:hAnsi="Times New Roman"/>
          <w:sz w:val="22"/>
          <w:szCs w:val="22"/>
          <w:color w:val="auto"/>
        </w:rPr>
      </w:pPr>
    </w:p>
    <w:p>
      <w:pPr>
        <w:ind w:left="328" w:right="7940"/>
        <w:spacing w:after="0" w:line="26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Human Resources Department ATTN: Total Rewards</w:t>
      </w:r>
    </w:p>
    <w:p>
      <w:pPr>
        <w:spacing w:after="0" w:line="1" w:lineRule="exact"/>
        <w:rPr>
          <w:rFonts w:ascii="Times New Roman" w:cs="Times New Roman" w:eastAsia="Times New Roman" w:hAnsi="Times New Roman"/>
          <w:sz w:val="22"/>
          <w:szCs w:val="22"/>
          <w:color w:val="auto"/>
        </w:rPr>
      </w:pPr>
    </w:p>
    <w:p>
      <w:pPr>
        <w:ind w:left="328" w:right="8240"/>
        <w:spacing w:after="0" w:line="27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300 Continental Drive Newark, DE 19713 </w:t>
      </w:r>
      <w:r>
        <w:rPr>
          <w:rFonts w:ascii="Times New Roman" w:cs="Times New Roman" w:eastAsia="Times New Roman" w:hAnsi="Times New Roman"/>
          <w:sz w:val="21"/>
          <w:szCs w:val="21"/>
          <w:color w:val="0000FF"/>
        </w:rPr>
        <w:t>HR_Inbox@salliemae.com</w:t>
      </w:r>
    </w:p>
    <w:p>
      <w:pPr>
        <w:sectPr>
          <w:pgSz w:w="11900" w:h="16838" w:orient="portrait"/>
          <w:cols w:equalWidth="0" w:num="1">
            <w:col w:w="10908"/>
          </w:cols>
          <w:pgMar w:left="652" w:top="1440" w:right="339" w:bottom="1440" w:gutter="0" w:footer="0" w:header="0"/>
        </w:sectPr>
      </w:pPr>
    </w:p>
    <w:bookmarkStart w:id="89" w:name="page90"/>
    <w:bookmarkEnd w:id="89"/>
    <w:p>
      <w:pPr>
        <w:spacing w:after="0" w:line="158" w:lineRule="exact"/>
        <w:rPr>
          <w:sz w:val="20"/>
          <w:szCs w:val="20"/>
          <w:color w:val="auto"/>
        </w:rPr>
      </w:pPr>
    </w:p>
    <w:p>
      <w:pPr>
        <w:ind w:left="328" w:right="160"/>
        <w:spacing w:after="0" w:line="284" w:lineRule="auto"/>
        <w:rPr>
          <w:sz w:val="20"/>
          <w:szCs w:val="20"/>
          <w:color w:val="auto"/>
        </w:rPr>
      </w:pPr>
      <w:r>
        <w:rPr>
          <w:rFonts w:ascii="Times New Roman" w:cs="Times New Roman" w:eastAsia="Times New Roman" w:hAnsi="Times New Roman"/>
          <w:sz w:val="22"/>
          <w:szCs w:val="22"/>
          <w:color w:val="auto"/>
        </w:rPr>
        <w:t>If to the Grantee, to (i) the last address maintained in the Corporation’s Human Resources files for the Grantee or (ii) the Grantee’s mail delivery code or place of work at the Corporation (or its subsidiaries).</w:t>
      </w:r>
    </w:p>
    <w:p>
      <w:pPr>
        <w:spacing w:after="0" w:line="103" w:lineRule="exact"/>
        <w:rPr>
          <w:sz w:val="20"/>
          <w:szCs w:val="20"/>
          <w:color w:val="auto"/>
        </w:rPr>
      </w:pPr>
    </w:p>
    <w:p>
      <w:pPr>
        <w:ind w:left="328" w:right="20" w:hanging="328"/>
        <w:spacing w:after="0" w:line="249" w:lineRule="auto"/>
        <w:tabs>
          <w:tab w:leader="none" w:pos="32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Controls; Entire Agreement; Capitalized Terms</w:t>
      </w:r>
      <w:r>
        <w:rPr>
          <w:rFonts w:ascii="Times New Roman" w:cs="Times New Roman" w:eastAsia="Times New Roman" w:hAnsi="Times New Roman"/>
          <w:sz w:val="22"/>
          <w:szCs w:val="22"/>
          <w:color w:val="auto"/>
        </w:rPr>
        <w:t>. In the event of any conflict between the provisions of this Agreement and the provisions of the Plan, the terms of the Plan control, except as expressly stated otherwise herein. This Agreement, the Plan and the Restricted Stock Unit Grant Notice together set forth the entire agreement and understanding between the parties as to the subject matter hereof and supersede all prior oral and written and all contemporaneous or subsequent oral discussions, agreements and understandings of any kind or nature with the exception of (i) equity awards previously granted and delivered to the Grantee, (ii) any compensation adjustment policy that is adopted by the Corporation or is otherwise required by applicable law or listing standards applicable to the Corporation and (iii) any written restrictive covenants, employment or severance arrangements setting forth restrictive covenants applicable to the Grantee. Capitalized terms not defined herein shall have the meanings as described in the Plan or in the Restricted Stock Unit Grant Notice.</w:t>
      </w:r>
    </w:p>
    <w:p>
      <w:pPr>
        <w:spacing w:after="0" w:line="142" w:lineRule="exact"/>
        <w:rPr>
          <w:rFonts w:ascii="Times New Roman" w:cs="Times New Roman" w:eastAsia="Times New Roman" w:hAnsi="Times New Roman"/>
          <w:sz w:val="22"/>
          <w:szCs w:val="22"/>
          <w:color w:val="auto"/>
        </w:rPr>
      </w:pPr>
    </w:p>
    <w:p>
      <w:pPr>
        <w:ind w:left="328" w:right="100" w:hanging="328"/>
        <w:spacing w:after="0" w:line="264" w:lineRule="auto"/>
        <w:tabs>
          <w:tab w:leader="none" w:pos="32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In the event that any provision of this Agreement is declared to be illegal, invalid or otherwise unenforceable by a court of competent jurisdiction, such provision shall be reformed, if possible, to the extent necessary to render it legal, valid and enforceable, or otherwise deleted, and the remainder of this Agreement shall not be affected except to the extent necessary to reform or delete such illegal, invalid or unenforceable provision. The headings in this Agreement are solely for convenience of reference, and shall not constitute a part of this Agreement, nor shall they affect its meaning, construction or effect. The Grantee shall cooperate and take such actions as may be reasonably requested by the Corporation in order to carry out the provisions and purposes of the Agreement. The Grantee is responsible for complying with all laws applicable to the Grantee, including federal and state securities reporting laws.</w:t>
      </w:r>
    </w:p>
    <w:p>
      <w:pPr>
        <w:spacing w:after="0" w:line="129" w:lineRule="exact"/>
        <w:rPr>
          <w:rFonts w:ascii="Times New Roman" w:cs="Times New Roman" w:eastAsia="Times New Roman" w:hAnsi="Times New Roman"/>
          <w:sz w:val="21"/>
          <w:szCs w:val="21"/>
          <w:color w:val="auto"/>
        </w:rPr>
      </w:pPr>
    </w:p>
    <w:p>
      <w:pPr>
        <w:ind w:left="328" w:hanging="328"/>
        <w:spacing w:after="0" w:line="249" w:lineRule="auto"/>
        <w:tabs>
          <w:tab w:leader="none" w:pos="32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Acceptance</w:t>
      </w:r>
      <w:r>
        <w:rPr>
          <w:rFonts w:ascii="Times New Roman" w:cs="Times New Roman" w:eastAsia="Times New Roman" w:hAnsi="Times New Roman"/>
          <w:sz w:val="22"/>
          <w:szCs w:val="22"/>
          <w:color w:val="auto"/>
        </w:rPr>
        <w:t>. By accepting this Award, the Grantee hereby (i) acknowledges receipt of, and represents that the Grantee understands this Agreement, the Restricted Stock Unit Grant Notice and the Plan, including the restrictive covenants set forth in Sections 7 through 9, (ii) acknowledges and confirms the Grantee’s consent to receive electronically the Award, the Plan, the Restricted Stock Unit Grant Notice and any other Plan documents or other related communications that the Corporation wishes or is required to deliver, (iii) acknowledges that a copy of the Plan and the related Plan documents were made available to the Grantee and (iv) agrees that the electronic acceptance of the Agreement constitutes a legally binding acceptance of the Agreement, and that the electronic acceptance of the Agreement shall have the same force and effect as if the Agreement was physically signed.</w:t>
      </w:r>
    </w:p>
    <w:p>
      <w:pPr>
        <w:sectPr>
          <w:pgSz w:w="11900" w:h="16838" w:orient="portrait"/>
          <w:cols w:equalWidth="0" w:num="1">
            <w:col w:w="10888"/>
          </w:cols>
          <w:pgMar w:left="652" w:top="1440" w:right="3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SLM Corporation 2021 Omnibus Incentive Plan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2025 Performance Stock Unit Term Sheet</w:t>
      </w:r>
    </w:p>
    <w:p>
      <w:pPr>
        <w:spacing w:after="0" w:line="23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21"/>
          <w:szCs w:val="21"/>
          <w:color w:val="auto"/>
        </w:rPr>
        <w:t>Pursuant to the terms and conditions of the SLM Corporation 2021 Omnibus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Compensation Committee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the SLM Corporation Board of Directors hereby grants to _____________________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on March 3, 2025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a target award (the “Award”) of ______ shares of Performance Stock Units</w:t>
      </w:r>
    </w:p>
    <w:p>
      <w:pPr>
        <w:spacing w:after="0" w:line="4"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which represent the right to acquire shares of common stock of SLM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subject to the following terms and conditions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660" w:hanging="328"/>
        <w:spacing w:after="0" w:line="271" w:lineRule="auto"/>
        <w:tabs>
          <w:tab w:leader="none" w:pos="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Unless vested earlier as set forth below, the Award will vest, and will be converted into shares of the Corporation’s common stock, based on the following vesting terms:</w:t>
      </w:r>
    </w:p>
    <w:p>
      <w:pPr>
        <w:spacing w:after="0" w:line="130" w:lineRule="exact"/>
        <w:rPr>
          <w:rFonts w:ascii="Times New Roman" w:cs="Times New Roman" w:eastAsia="Times New Roman" w:hAnsi="Times New Roman"/>
          <w:sz w:val="22"/>
          <w:szCs w:val="22"/>
          <w:color w:val="auto"/>
        </w:rPr>
      </w:pPr>
    </w:p>
    <w:p>
      <w:pPr>
        <w:jc w:val="both"/>
        <w:ind w:left="1300" w:hanging="320"/>
        <w:spacing w:after="0" w:line="248" w:lineRule="auto"/>
        <w:tabs>
          <w:tab w:leader="none" w:pos="1295" w:val="left"/>
        </w:tabs>
        <w:numPr>
          <w:ilvl w:val="1"/>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A specified number of the total PSUs granted to each executive shall vest in amounts based on the Corporation’s total shareholder return (“</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as measured during the performance period from January 1, 2025 through December 31, 2027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xml:space="preserve">”), as shown on the attached chart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Each vested PSU shall be subject to the Transfer Restrictions (as defined below) set forth herein. Following the lapse of the Transfer Restrictions, each vested PSU will be settled in shares of the Corporation’s common stock.</w:t>
      </w:r>
    </w:p>
    <w:p>
      <w:pPr>
        <w:jc w:val="both"/>
        <w:ind w:left="1300" w:hanging="320"/>
        <w:spacing w:after="0" w:line="248" w:lineRule="auto"/>
        <w:tabs>
          <w:tab w:leader="none" w:pos="126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shall be determined with respect to the Corporation and the members of its Peer Group (as that term is defined below) by dividing (i) the difference (whether positive or negative) between (x) such company’s twenty</w:t>
      </w:r>
    </w:p>
    <w:p>
      <w:pPr>
        <w:spacing w:after="0" w:line="1" w:lineRule="exact"/>
        <w:rPr>
          <w:rFonts w:ascii="Times New Roman" w:cs="Times New Roman" w:eastAsia="Times New Roman" w:hAnsi="Times New Roman"/>
          <w:sz w:val="22"/>
          <w:szCs w:val="22"/>
          <w:color w:val="auto"/>
        </w:rPr>
      </w:pPr>
    </w:p>
    <w:p>
      <w:pPr>
        <w:jc w:val="both"/>
        <w:ind w:left="1300" w:firstLine="4"/>
        <w:spacing w:after="0" w:line="270" w:lineRule="auto"/>
        <w:tabs>
          <w:tab w:leader="none" w:pos="1766"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trading average, using the closing prices, for the twenty (20) trading days immediately preceding December 31, 2027 (the “</w:t>
      </w:r>
      <w:r>
        <w:rPr>
          <w:rFonts w:ascii="Times New Roman" w:cs="Times New Roman" w:eastAsia="Times New Roman" w:hAnsi="Times New Roman"/>
          <w:sz w:val="20"/>
          <w:szCs w:val="20"/>
          <w:u w:val="single" w:color="auto"/>
          <w:color w:val="auto"/>
        </w:rPr>
        <w:t>Measurement End Date</w:t>
      </w:r>
      <w:r>
        <w:rPr>
          <w:rFonts w:ascii="Times New Roman" w:cs="Times New Roman" w:eastAsia="Times New Roman" w:hAnsi="Times New Roman"/>
          <w:sz w:val="20"/>
          <w:szCs w:val="20"/>
          <w:color w:val="auto"/>
        </w:rPr>
        <w:t>”) and (y) such company’s twenty (20) day trading average, using the closing prices, concluding on the twentieth (20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trading day immediately following January 1, 2025 (the “</w:t>
      </w:r>
      <w:r>
        <w:rPr>
          <w:rFonts w:ascii="Times New Roman" w:cs="Times New Roman" w:eastAsia="Times New Roman" w:hAnsi="Times New Roman"/>
          <w:sz w:val="20"/>
          <w:szCs w:val="20"/>
          <w:u w:val="single" w:color="auto"/>
          <w:color w:val="auto"/>
        </w:rPr>
        <w:t>Measurement Start Date</w:t>
      </w:r>
      <w:r>
        <w:rPr>
          <w:rFonts w:ascii="Times New Roman" w:cs="Times New Roman" w:eastAsia="Times New Roman" w:hAnsi="Times New Roman"/>
          <w:sz w:val="20"/>
          <w:szCs w:val="20"/>
          <w:color w:val="auto"/>
        </w:rPr>
        <w:t>”) by (ii) such company’s twenty (20) day trading average, using the closing prices, concluding on the Measurement Start Date. Both twenty (20) day averages will assume dividend reinvestment on the ex-dividend dates, as applicable. If the Measurement Start Date or the Measurement End Date are not trading dates, the twenty (20) day trading average concluding on the immediately preceding trading date shall be the applicable average for purposes of determining the Corporation’s or any Peer Group member’s TSR. Also for this purpose, each trading average will include only trading days, which will be determined on a separate basis for the Corporation and each Peer Group member, based on trading on the primary exchange on which such company’s shares are traded. Any non-cash distributions shall be ascribed such dollar value as may be determined.</w:t>
      </w:r>
    </w:p>
    <w:p>
      <w:pPr>
        <w:spacing w:after="0" w:line="2"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“Peer Group” of the Corporation is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3" w:lineRule="exact"/>
        <w:rPr>
          <w:rFonts w:ascii="Times New Roman" w:cs="Times New Roman" w:eastAsia="Times New Roman" w:hAnsi="Times New Roman"/>
          <w:sz w:val="22"/>
          <w:szCs w:val="22"/>
          <w:color w:val="auto"/>
        </w:rPr>
      </w:pPr>
    </w:p>
    <w:p>
      <w:pPr>
        <w:ind w:left="1300" w:hanging="320"/>
        <w:spacing w:after="0" w:line="248" w:lineRule="auto"/>
        <w:tabs>
          <w:tab w:leader="none" w:pos="126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goals shall equitably and proportionally be adjusted to preserve the intended incentives of PSUs and exclude or mitigate the impact of, as the case</w:t>
      </w:r>
    </w:p>
    <w:p>
      <w:pPr>
        <w:sectPr>
          <w:pgSz w:w="11900" w:h="16838" w:orient="portrait"/>
          <w:cols w:equalWidth="0" w:num="1">
            <w:col w:w="11240"/>
          </w:cols>
          <w:pgMar w:left="320" w:top="1404" w:right="339" w:bottom="1440" w:gutter="0" w:footer="0" w:header="0"/>
        </w:sectPr>
      </w:pPr>
    </w:p>
    <w:bookmarkStart w:id="91" w:name="page92"/>
    <w:bookmarkEnd w:id="91"/>
    <w:p>
      <w:pPr>
        <w:ind w:left="968"/>
        <w:spacing w:after="0" w:line="254" w:lineRule="auto"/>
        <w:rPr>
          <w:sz w:val="20"/>
          <w:szCs w:val="20"/>
          <w:color w:val="auto"/>
        </w:rPr>
      </w:pPr>
      <w:r>
        <w:rPr>
          <w:rFonts w:ascii="Times New Roman" w:cs="Times New Roman" w:eastAsia="Times New Roman" w:hAnsi="Times New Roman"/>
          <w:sz w:val="22"/>
          <w:szCs w:val="22"/>
          <w:color w:val="auto"/>
        </w:rPr>
        <w:t>may be, the effects of a stock split, reverse stock split, spin off, extraordinary stock dividend, or other equity restructuring events.</w:t>
      </w:r>
    </w:p>
    <w:p>
      <w:pPr>
        <w:spacing w:after="0" w:line="2" w:lineRule="exact"/>
        <w:rPr>
          <w:sz w:val="20"/>
          <w:szCs w:val="20"/>
          <w:color w:val="auto"/>
        </w:rPr>
      </w:pPr>
    </w:p>
    <w:p>
      <w:pPr>
        <w:ind w:left="968" w:hanging="320"/>
        <w:spacing w:after="0" w:line="249" w:lineRule="auto"/>
        <w:tabs>
          <w:tab w:leader="none" w:pos="9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TSR shall be independently validated by the Chief Risk Officer of the Corporation and certified by the Committee.</w:t>
      </w:r>
    </w:p>
    <w:p>
      <w:pPr>
        <w:spacing w:after="0" w:line="1" w:lineRule="exact"/>
        <w:rPr>
          <w:rFonts w:ascii="Times New Roman" w:cs="Times New Roman" w:eastAsia="Times New Roman" w:hAnsi="Times New Roman"/>
          <w:sz w:val="22"/>
          <w:szCs w:val="22"/>
          <w:color w:val="auto"/>
        </w:rPr>
      </w:pPr>
    </w:p>
    <w:p>
      <w:pPr>
        <w:jc w:val="both"/>
        <w:ind w:left="968" w:hanging="320"/>
        <w:spacing w:after="0" w:line="244" w:lineRule="auto"/>
        <w:tabs>
          <w:tab w:leader="none" w:pos="9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PSUs shall vest on the later of (i) the three (3) year anniversary of the Grant Date and (ii) the date by which the Committee has certified the level of attainment of TSR (such later date,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The Vesting Date shall be no later than March 31, 2028. Following the Vesting Date, the PSUs shall be fully vested but subject to Transfer Restrictions and forfeiture conditions set forth herein, with such Transfer Restrictions and forfeiture conditions to lapse on the one (1) year anniversary of the Vesting Date (such date, the “</w:t>
      </w:r>
      <w:r>
        <w:rPr>
          <w:rFonts w:ascii="Times New Roman" w:cs="Times New Roman" w:eastAsia="Times New Roman" w:hAnsi="Times New Roman"/>
          <w:sz w:val="22"/>
          <w:szCs w:val="22"/>
          <w:u w:val="single" w:color="auto"/>
          <w:color w:val="auto"/>
        </w:rPr>
        <w:t>Restriction Lapse Date</w:t>
      </w:r>
      <w:r>
        <w:rPr>
          <w:rFonts w:ascii="Times New Roman" w:cs="Times New Roman" w:eastAsia="Times New Roman" w:hAnsi="Times New Roman"/>
          <w:sz w:val="22"/>
          <w:szCs w:val="22"/>
          <w:color w:val="auto"/>
        </w:rPr>
        <w:t>,” and such period between the Vesting Date and the Restriction Lapse Date, the “</w:t>
      </w:r>
      <w:r>
        <w:rPr>
          <w:rFonts w:ascii="Times New Roman" w:cs="Times New Roman" w:eastAsia="Times New Roman" w:hAnsi="Times New Roman"/>
          <w:sz w:val="22"/>
          <w:szCs w:val="22"/>
          <w:u w:val="single" w:color="auto"/>
          <w:color w:val="auto"/>
        </w:rPr>
        <w:t>Holding Period</w:t>
      </w:r>
      <w:r>
        <w:rPr>
          <w:rFonts w:ascii="Times New Roman" w:cs="Times New Roman" w:eastAsia="Times New Roman" w:hAnsi="Times New Roman"/>
          <w:sz w:val="22"/>
          <w:szCs w:val="22"/>
          <w:color w:val="auto"/>
        </w:rPr>
        <w:t>”). Upon such lapsing of the Transfer Restrictions and no later than March 31, 2029, the PSUs shall be settled in shares of the Corporation’s common stock.</w:t>
      </w:r>
    </w:p>
    <w:p>
      <w:pPr>
        <w:spacing w:after="0" w:line="7" w:lineRule="exact"/>
        <w:rPr>
          <w:rFonts w:ascii="Times New Roman" w:cs="Times New Roman" w:eastAsia="Times New Roman" w:hAnsi="Times New Roman"/>
          <w:sz w:val="22"/>
          <w:szCs w:val="22"/>
          <w:color w:val="auto"/>
        </w:rPr>
      </w:pPr>
    </w:p>
    <w:p>
      <w:pPr>
        <w:jc w:val="both"/>
        <w:ind w:left="968" w:hanging="320"/>
        <w:spacing w:after="0" w:line="245" w:lineRule="auto"/>
        <w:tabs>
          <w:tab w:leader="none" w:pos="9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Holding Period, none of the PSUs under the Award may be sold, transferred or otherwise assigned during the Holding Period, except as set forth in Section 12 of the Plan (the “</w:t>
      </w: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If, during the Holding Period, the Corporation terminates the Grantee’s employment due to a Termination of Employment For Cause, the Grantee shall forfeit the Award in its entirety as of the date of such termination of employment. If the Corporation terminates the Grantee’s employment for any reason other than due to a Termination of Employment For Cause, or the Grantee terminates his or her employment for any reason during the Holding Period, the Award will remain subject to the Transfer Restrictions through the Restriction Lapse Date.</w:t>
      </w:r>
    </w:p>
    <w:p>
      <w:pPr>
        <w:spacing w:after="0" w:line="3" w:lineRule="exact"/>
        <w:rPr>
          <w:rFonts w:ascii="Times New Roman" w:cs="Times New Roman" w:eastAsia="Times New Roman" w:hAnsi="Times New Roman"/>
          <w:sz w:val="22"/>
          <w:szCs w:val="22"/>
          <w:color w:val="auto"/>
        </w:rPr>
      </w:pPr>
    </w:p>
    <w:p>
      <w:pPr>
        <w:ind w:left="968" w:right="20" w:hanging="320"/>
        <w:spacing w:after="0" w:line="259" w:lineRule="auto"/>
        <w:tabs>
          <w:tab w:leader="none" w:pos="943"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Committee has discretion to increase or decrease the shares issuable pursuant to the Award;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 number of shares granted under the Award exceed 200% of the target award.</w:t>
      </w:r>
    </w:p>
    <w:p>
      <w:pPr>
        <w:spacing w:after="0" w:line="143" w:lineRule="exact"/>
        <w:rPr>
          <w:rFonts w:ascii="Times New Roman" w:cs="Times New Roman" w:eastAsia="Times New Roman" w:hAnsi="Times New Roman"/>
          <w:sz w:val="20"/>
          <w:szCs w:val="20"/>
          <w:color w:val="auto"/>
        </w:rPr>
      </w:pPr>
    </w:p>
    <w:p>
      <w:pPr>
        <w:jc w:val="both"/>
        <w:ind w:left="328" w:hanging="328"/>
        <w:spacing w:after="0" w:line="250" w:lineRule="auto"/>
        <w:tabs>
          <w:tab w:leader="none" w:pos="32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Termination; Death; Disability</w:t>
      </w:r>
      <w:r>
        <w:rPr>
          <w:rFonts w:ascii="Times New Roman" w:cs="Times New Roman" w:eastAsia="Times New Roman" w:hAnsi="Times New Roman"/>
          <w:sz w:val="22"/>
          <w:szCs w:val="22"/>
          <w:color w:val="auto"/>
        </w:rPr>
        <w:t>. Except as provided below, if, prior to the Vesting Date, the Grantee voluntarily ceases to be an employee of the Corporation (or one of its subsidiaries) for any reason (except as explicitly set forth below) or experiences a Termination of Employment For Cause (as defined below), he or she shall forfeit, for no consideration, any portion of the Award that has not vested, in either case, as of the date of such termination of employment (for the avoidance of doubt, even if the Performance Period is complete).</w:t>
      </w:r>
    </w:p>
    <w:p>
      <w:pPr>
        <w:spacing w:after="0" w:line="153" w:lineRule="exact"/>
        <w:rPr>
          <w:rFonts w:ascii="Times New Roman" w:cs="Times New Roman" w:eastAsia="Times New Roman" w:hAnsi="Times New Roman"/>
          <w:sz w:val="22"/>
          <w:szCs w:val="22"/>
          <w:color w:val="auto"/>
        </w:rPr>
      </w:pP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 previously vested, the Award will continue to vest, and will be settled in shares of</w:t>
      </w:r>
    </w:p>
    <w:p>
      <w:pPr>
        <w:spacing w:after="0" w:line="27" w:lineRule="exact"/>
        <w:rPr>
          <w:rFonts w:ascii="Times New Roman" w:cs="Times New Roman" w:eastAsia="Times New Roman" w:hAnsi="Times New Roman"/>
          <w:sz w:val="22"/>
          <w:szCs w:val="22"/>
          <w:color w:val="auto"/>
        </w:rPr>
      </w:pPr>
    </w:p>
    <w:p>
      <w:pPr>
        <w:jc w:val="both"/>
        <w:ind w:left="328"/>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common stock, subject to the original performance goal, Performance Period and Holding Period set forth above on the original vesting terms set forth above and on the Restriction Lapse Date in the event that (i) the Grantee’s employment is terminated by the Corporation for any reason other than due to a Termination of Employment For Cause, as determined by the Corporation in its sole discretion; (ii) the Grantee voluntarily ceases to be an employee of the Corporation (or one of its subsidiaries) and meets the Corporation’s retirement eligibility requirements under the</w:t>
      </w:r>
    </w:p>
    <w:p>
      <w:pPr>
        <w:sectPr>
          <w:pgSz w:w="11900" w:h="16838" w:orient="portrait"/>
          <w:cols w:equalWidth="0" w:num="1">
            <w:col w:w="10908"/>
          </w:cols>
          <w:pgMar w:left="652" w:top="1422" w:right="339" w:bottom="1440" w:gutter="0" w:footer="0" w:header="0"/>
        </w:sectPr>
      </w:pPr>
    </w:p>
    <w:bookmarkStart w:id="92" w:name="page93"/>
    <w:bookmarkEnd w:id="92"/>
    <w:p>
      <w:pPr>
        <w:jc w:val="both"/>
        <w:ind w:left="4"/>
        <w:spacing w:after="0" w:line="256" w:lineRule="auto"/>
        <w:rPr>
          <w:sz w:val="20"/>
          <w:szCs w:val="20"/>
          <w:color w:val="auto"/>
        </w:rPr>
      </w:pPr>
      <w:r>
        <w:rPr>
          <w:rFonts w:ascii="Times New Roman" w:cs="Times New Roman" w:eastAsia="Times New Roman" w:hAnsi="Times New Roman"/>
          <w:sz w:val="22"/>
          <w:szCs w:val="22"/>
          <w:color w:val="auto"/>
        </w:rPr>
        <w:t>Corporation’s then-current retirement eligibility policy, which shall be determined by the Corporation in its sole discretion; or (iii) the Grantee (x) is an “Eligible Officer” eligible to participate in the SLM Corporation Amended and Restated Executive Severance Plan for Senior Officers (the “</w:t>
      </w:r>
      <w:r>
        <w:rPr>
          <w:rFonts w:ascii="Times New Roman" w:cs="Times New Roman" w:eastAsia="Times New Roman" w:hAnsi="Times New Roman"/>
          <w:sz w:val="22"/>
          <w:szCs w:val="22"/>
          <w:b w:val="1"/>
          <w:bCs w:val="1"/>
          <w:color w:val="auto"/>
        </w:rPr>
        <w:t>Executive Severance Plan</w:t>
      </w:r>
      <w:r>
        <w:rPr>
          <w:rFonts w:ascii="Times New Roman" w:cs="Times New Roman" w:eastAsia="Times New Roman" w:hAnsi="Times New Roman"/>
          <w:sz w:val="22"/>
          <w:szCs w:val="22"/>
          <w:color w:val="auto"/>
        </w:rPr>
        <w:t>”) and (y) terminates his or her employment under such circumstances that give rise to a Termination of Employment For Good Reason.</w:t>
      </w:r>
    </w:p>
    <w:p>
      <w:pPr>
        <w:spacing w:after="0" w:line="136" w:lineRule="exact"/>
        <w:rPr>
          <w:sz w:val="20"/>
          <w:szCs w:val="20"/>
          <w:color w:val="auto"/>
        </w:rPr>
      </w:pPr>
    </w:p>
    <w:p>
      <w:pPr>
        <w:jc w:val="both"/>
        <w:ind w:left="4"/>
        <w:spacing w:after="0" w:line="263" w:lineRule="auto"/>
        <w:rPr>
          <w:sz w:val="20"/>
          <w:szCs w:val="20"/>
          <w:color w:val="auto"/>
        </w:rPr>
      </w:pPr>
      <w:r>
        <w:rPr>
          <w:rFonts w:ascii="Times New Roman" w:cs="Times New Roman" w:eastAsia="Times New Roman" w:hAnsi="Times New Roman"/>
          <w:sz w:val="21"/>
          <w:szCs w:val="21"/>
          <w:color w:val="auto"/>
        </w:rPr>
        <w:t>If not previously vested, the Award will vest, and will be settled in shares of the Corporation’s common stock (i.e., the Award will no longer be subject to the Transfer Restrictions), at the target level set forth above, upon death or Disability (provided that such Disability qualifies as a “disability” within the meaning of Treasury Regulation Section 1.409A-3(i)</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(4)).</w:t>
      </w:r>
    </w:p>
    <w:p>
      <w:pPr>
        <w:spacing w:after="0" w:line="167"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2"/>
          <w:szCs w:val="22"/>
          <w:color w:val="auto"/>
        </w:rPr>
        <w:t>The Award shall be forfeited, upon a Termination of Employment For Cause, as determined by the Corporation in its sole discretion, for no consideration. Notwithstanding anything stated herein, in the Plan or in the SLM Corporation Change in Control Severance Plan for Senior Officers, the Award shall not be subject to the terms set forth in the SLM Corporation Change in Control Severance Plan for Senior Officers.</w:t>
      </w:r>
    </w:p>
    <w:p>
      <w:pPr>
        <w:spacing w:after="0" w:line="132"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of Employment For Cause</w:t>
      </w:r>
      <w:r>
        <w:rPr>
          <w:rFonts w:ascii="Times New Roman" w:cs="Times New Roman" w:eastAsia="Times New Roman" w:hAnsi="Times New Roman"/>
          <w:sz w:val="22"/>
          <w:szCs w:val="22"/>
          <w:color w:val="auto"/>
        </w:rPr>
        <w:t>” means a termination of a Grantee’s employment by the Corporation or any of its subsidiaries because (i) there has been a willful and continuing failure of the Grantee to perform substantially his or her duties and responsibilities (other than as a result of Grantee’s death or Disability) and, if such willful and continuing failure may be cured by the Grantee, that such failure has not been cured within ten (10) business days after written notice of such was given to the Grantee, or (ii) the Grantee has committed an act of Misconduct.</w:t>
      </w:r>
    </w:p>
    <w:p>
      <w:pPr>
        <w:spacing w:after="0" w:line="146" w:lineRule="exact"/>
        <w:rPr>
          <w:sz w:val="20"/>
          <w:szCs w:val="20"/>
          <w:color w:val="auto"/>
        </w:rPr>
      </w:pPr>
    </w:p>
    <w:p>
      <w:pPr>
        <w:jc w:val="both"/>
        <w:ind w:left="4"/>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Misconduct</w:t>
      </w:r>
      <w:r>
        <w:rPr>
          <w:rFonts w:ascii="Times New Roman" w:cs="Times New Roman" w:eastAsia="Times New Roman" w:hAnsi="Times New Roman"/>
          <w:sz w:val="21"/>
          <w:szCs w:val="21"/>
          <w:color w:val="auto"/>
        </w:rPr>
        <w:t xml:space="preserve">” means (a) commission of an act of embezzlement, fraud, dishonesty, misappropriation, nonpayment of any obligation owed to the Corporation or any of its subsidiaries, breach of fiduciary duty or deliberate disregard of the Corporation’s rules, including, but not limited to, the SLM Corporation Code of Business Conduct; (b) intentional wrongdoing, gross negligence or willful misconduct in the performance of the Grantee’s duties or otherwise in respect of the Corporation or any of its subsidiaries; (c) commission of, conviction of, plea of guilty to or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w:t>
      </w:r>
    </w:p>
    <w:p>
      <w:pPr>
        <w:spacing w:after="0" w:line="2" w:lineRule="exact"/>
        <w:rPr>
          <w:sz w:val="20"/>
          <w:szCs w:val="20"/>
          <w:color w:val="auto"/>
        </w:rPr>
      </w:pPr>
    </w:p>
    <w:p>
      <w:pPr>
        <w:jc w:val="both"/>
        <w:ind w:left="4" w:hanging="4"/>
        <w:spacing w:after="0" w:line="247" w:lineRule="auto"/>
        <w:tabs>
          <w:tab w:leader="none" w:pos="28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felony crime or (ii) any other criminal offense involving moral turpitude, fraud or dishonesty; (d) an unauthorized disclosure of any confidential information or trade secrets; or (e) engaging in any conduct that would constitute unfair competition against the Corporation or any of its subsidiaries, or a violation of any restrictive covenant to which the Grantee is subject (including, but not limited to, those restrictive covenants set forth in this Agreement or the Grantee’s New Hire Attestations).</w:t>
      </w:r>
    </w:p>
    <w:p>
      <w:pPr>
        <w:spacing w:after="0" w:line="155"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“Termination of Employment For Good Reason” </w:t>
      </w:r>
      <w:r>
        <w:rPr>
          <w:rFonts w:ascii="Times New Roman" w:cs="Times New Roman" w:eastAsia="Times New Roman" w:hAnsi="Times New Roman"/>
          <w:sz w:val="22"/>
          <w:szCs w:val="22"/>
          <w:color w:val="auto"/>
        </w:rPr>
        <w:t>means a termination of a Grantee’s employment by the Grantee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a material reduction in the position or responsibilities of the Grantee not including a change in title only; (b) a material reduction in the Grantee’s Base Salary (as defined in the Executive Severance Plan) or a material reduction in the Grantee’s compensation arrangements or benefits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ectPr>
          <w:pgSz w:w="11900" w:h="16838" w:orient="portrait"/>
          <w:cols w:equalWidth="0" w:num="1">
            <w:col w:w="10584"/>
          </w:cols>
          <w:pgMar w:left="976" w:top="1422" w:right="339" w:bottom="1440" w:gutter="0" w:footer="0" w:header="0"/>
        </w:sectPr>
      </w:pPr>
    </w:p>
    <w:bookmarkStart w:id="93" w:name="page94"/>
    <w:bookmarkEnd w:id="93"/>
    <w:p>
      <w:pPr>
        <w:spacing w:after="0" w:line="158" w:lineRule="exact"/>
        <w:rPr>
          <w:sz w:val="20"/>
          <w:szCs w:val="20"/>
          <w:color w:val="auto"/>
        </w:rPr>
      </w:pPr>
    </w:p>
    <w:p>
      <w:pPr>
        <w:jc w:val="both"/>
        <w:ind w:left="328"/>
        <w:spacing w:after="0" w:line="248" w:lineRule="auto"/>
        <w:rPr>
          <w:sz w:val="20"/>
          <w:szCs w:val="20"/>
          <w:color w:val="auto"/>
        </w:rPr>
      </w:pPr>
      <w:r>
        <w:rPr>
          <w:rFonts w:ascii="Times New Roman" w:cs="Times New Roman" w:eastAsia="Times New Roman" w:hAnsi="Times New Roman"/>
          <w:sz w:val="22"/>
          <w:szCs w:val="22"/>
          <w:color w:val="auto"/>
        </w:rPr>
        <w:t xml:space="preserve">variability in the value of stock-based compensation or in the compensation provided under the SLM Corporation 2021 Omnibus Incentive Plan or a successor plan will not be deemed to cause a material reduction in compensation); or (c) a relocation of the Grantee’s primary work location to a distance of greater than seventy-five (75) miles from his or her primary work location as of the date of this Agreement, unless such relocation results in the Grantee’s primary work location being closer to his or her then-primary residence or does not substantially increase the average commuting time of such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“Termination of Employment For Good Reason” shall not include any requirement by the Corporation or any of its subsidiaries that the Grantee work at his or her assigned office location following the suspension, modification or termination of any applicable remote or hybrid work arrangement granted to the Grantee by the Corporation or any of its subsidiaries. If a Grantee continues his or her employment with the Corporation or any of its subsidiaries for more than ninety (90) days after the occurrence of an event described above that constitutes a Termination of Employment For Good Reason, then the Grantee shall be deemed to have given his or her consent to such event and the Grantee shall not be eligible for continued vesting under this Agreement as a result of that event and shall be deemed to have waived all rights in regard to such event.</w:t>
      </w:r>
    </w:p>
    <w:p>
      <w:pPr>
        <w:spacing w:after="0" w:line="152" w:lineRule="exact"/>
        <w:rPr>
          <w:sz w:val="20"/>
          <w:szCs w:val="20"/>
          <w:color w:val="auto"/>
        </w:rPr>
      </w:pPr>
    </w:p>
    <w:p>
      <w:pPr>
        <w:ind w:left="328" w:hanging="328"/>
        <w:spacing w:after="0"/>
        <w:tabs>
          <w:tab w:leader="none" w:pos="32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anything to the contrary in this Agreement:</w:t>
      </w:r>
    </w:p>
    <w:p>
      <w:pPr>
        <w:spacing w:after="0" w:line="192" w:lineRule="exact"/>
        <w:rPr>
          <w:rFonts w:ascii="Times New Roman" w:cs="Times New Roman" w:eastAsia="Times New Roman" w:hAnsi="Times New Roman"/>
          <w:sz w:val="22"/>
          <w:szCs w:val="22"/>
          <w:color w:val="auto"/>
        </w:rPr>
      </w:pPr>
    </w:p>
    <w:p>
      <w:pPr>
        <w:jc w:val="both"/>
        <w:ind w:left="968" w:hanging="320"/>
        <w:spacing w:after="0" w:line="248" w:lineRule="auto"/>
        <w:tabs>
          <w:tab w:leader="none" w:pos="95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Change in Control in which the acquiring or surviving company in the transaction does not assume or continue outstanding Awards upon the Change in Control, then any portion of the Award that is not vested shall vest at the greater of (i) 100% target level set forth in the vesting schedule herein or (ii) the actual level based on the relative TSR as measured on the date of such Change in Control, and the Holding Period set forth herein shall not apply;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the settlement of the accelerated portion of the PSUs into shares of common stock (i.e., the settlement of the Award) will nevertheless be made at the same time or times as if such PSUs had vested (without regard to any Holding Period) in accordance with the vesting schedule set forth in Section 1 or, if earlier, upon the termination of the Grantee’s employment for reasons other than due to a Termination of Employment For Cause.</w:t>
      </w:r>
    </w:p>
    <w:p>
      <w:pPr>
        <w:spacing w:after="0" w:line="158" w:lineRule="exact"/>
        <w:rPr>
          <w:rFonts w:ascii="Times New Roman" w:cs="Times New Roman" w:eastAsia="Times New Roman" w:hAnsi="Times New Roman"/>
          <w:sz w:val="22"/>
          <w:szCs w:val="22"/>
          <w:color w:val="auto"/>
        </w:rPr>
      </w:pPr>
    </w:p>
    <w:p>
      <w:pPr>
        <w:jc w:val="both"/>
        <w:ind w:left="968" w:hanging="320"/>
        <w:spacing w:after="0" w:line="251" w:lineRule="auto"/>
        <w:tabs>
          <w:tab w:leader="none" w:pos="94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the Grantee’s employment terminates within twenty-four (24) months following a Change in Control for any reason other than (i) due to a Termination of Employment For Cause or (ii) by the Grantee’s voluntary termination of employment that is not a Termination of Employment For Good Reason, as defined in the SLM Corporation Change in Control Severance Plan for Senior Officers (if applicable to the Grantee), any portion of the Award not previously vested shall immediately become common stock, upon such employment termination (without regard to any Holding Period).</w:t>
      </w:r>
    </w:p>
    <w:p>
      <w:pPr>
        <w:spacing w:after="0" w:line="140" w:lineRule="exact"/>
        <w:rPr>
          <w:rFonts w:ascii="Times New Roman" w:cs="Times New Roman" w:eastAsia="Times New Roman" w:hAnsi="Times New Roman"/>
          <w:sz w:val="20"/>
          <w:szCs w:val="20"/>
          <w:color w:val="auto"/>
        </w:rPr>
      </w:pPr>
    </w:p>
    <w:p>
      <w:pPr>
        <w:jc w:val="both"/>
        <w:ind w:left="328" w:right="20" w:hanging="328"/>
        <w:spacing w:after="0" w:line="263" w:lineRule="auto"/>
        <w:tabs>
          <w:tab w:leader="none" w:pos="30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Taxes; Dividends</w:t>
      </w:r>
      <w:r>
        <w:rPr>
          <w:rFonts w:ascii="Times New Roman" w:cs="Times New Roman" w:eastAsia="Times New Roman" w:hAnsi="Times New Roman"/>
          <w:sz w:val="22"/>
          <w:szCs w:val="22"/>
          <w:color w:val="auto"/>
        </w:rPr>
        <w:t>. The Grantee of the Award shall make such arrangements as may reasonably be required by the Corporation, including transferring a sufficient number of shares of the Corporation’s common stock, to satisfy the income and employment tax</w:t>
      </w:r>
    </w:p>
    <w:p>
      <w:pPr>
        <w:sectPr>
          <w:pgSz w:w="11900" w:h="16838" w:orient="portrait"/>
          <w:cols w:equalWidth="0" w:num="1">
            <w:col w:w="10908"/>
          </w:cols>
          <w:pgMar w:left="652" w:top="1440" w:right="339" w:bottom="1440" w:gutter="0" w:footer="0" w:header="0"/>
        </w:sectPr>
      </w:pPr>
    </w:p>
    <w:bookmarkStart w:id="94" w:name="page95"/>
    <w:bookmarkEnd w:id="94"/>
    <w:p>
      <w:pPr>
        <w:spacing w:after="0" w:line="158" w:lineRule="exact"/>
        <w:rPr>
          <w:sz w:val="20"/>
          <w:szCs w:val="20"/>
          <w:color w:val="auto"/>
        </w:rPr>
      </w:pPr>
    </w:p>
    <w:p>
      <w:pPr>
        <w:jc w:val="both"/>
        <w:ind w:left="328"/>
        <w:spacing w:after="0" w:line="260" w:lineRule="auto"/>
        <w:rPr>
          <w:sz w:val="20"/>
          <w:szCs w:val="20"/>
          <w:color w:val="auto"/>
        </w:rPr>
      </w:pPr>
      <w:r>
        <w:rPr>
          <w:rFonts w:ascii="Times New Roman" w:cs="Times New Roman" w:eastAsia="Times New Roman" w:hAnsi="Times New Roman"/>
          <w:sz w:val="21"/>
          <w:szCs w:val="21"/>
          <w:color w:val="auto"/>
        </w:rPr>
        <w:t>withholding requirements that accrue upon the Award becoming vested or, if applicable, settled in shares of the Corporation’s common stock (by approving this Agreement, the Committee hereby approves the transfer of such shares to the Corporation for purposes of SEC Rule 16b-3). For the avoidance of doubt, the Corporation may withhold such shares as may be required to pay any applicable payroll taxes, including, without limitation, taxes owed under the Federal Insurance Contributions Act (FICA) or the Federal Unemployment Tax Act (FUTA), that may become due on the Vesting Date. Dividends declared on an unvested Award will not be paid in cash currently except in the case of fractional shares as set forth below. Instead, an account established on behalf of the Grantee will be credited with an amount equal to such dividends, which amount shall be reinvested in additional shares of the Corporation’s common stock (“</w:t>
      </w:r>
      <w:r>
        <w:rPr>
          <w:rFonts w:ascii="Times New Roman" w:cs="Times New Roman" w:eastAsia="Times New Roman" w:hAnsi="Times New Roman"/>
          <w:sz w:val="21"/>
          <w:szCs w:val="21"/>
          <w:u w:val="single" w:color="auto"/>
          <w:color w:val="auto"/>
        </w:rPr>
        <w:t>Dividend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Equivalent</w:t>
      </w:r>
      <w:r>
        <w:rPr>
          <w:rFonts w:ascii="Times New Roman" w:cs="Times New Roman" w:eastAsia="Times New Roman" w:hAnsi="Times New Roman"/>
          <w:sz w:val="21"/>
          <w:szCs w:val="21"/>
          <w:color w:val="auto"/>
        </w:rPr>
        <w:t>”). The value of the Dividend Equivalents will be calculated in the same manner as dividends paid to holders of common stock. Such Dividend Equivalents will be subject to the same vesting schedule and Transfer Restrictions to which the Award is subject and shall be subject to adjustment based on the same performance measures applicable to the underlying PSUs and shall be payable at the same time that the underlying PSUs are payable. Upon vesting of any portion of the Award, the amount of Dividend Equivalents allocable to such Award (and any fractional share amount) will also vest. Upon the lapse of any of the Transfer Restrictions on any portion of the Award, the amount of Dividend Equivalents allocable to such Award (and any fractional share) will be converted into shares of the Corporation’s common stock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fractional share amount shall be paid in cash).</w:t>
      </w:r>
    </w:p>
    <w:p>
      <w:pPr>
        <w:spacing w:after="0" w:line="148" w:lineRule="exact"/>
        <w:rPr>
          <w:sz w:val="20"/>
          <w:szCs w:val="20"/>
          <w:color w:val="auto"/>
        </w:rPr>
      </w:pPr>
    </w:p>
    <w:p>
      <w:pPr>
        <w:jc w:val="both"/>
        <w:ind w:left="328" w:hanging="328"/>
        <w:spacing w:after="0" w:line="247" w:lineRule="auto"/>
        <w:tabs>
          <w:tab w:leader="none" w:pos="32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For purposes of Section 409A of the Internal Revenue Code, the regulations and other guidance thereunder and any state law of similar effect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each payment and benefit payable under this Agreement is hereby designated as a separate payment. The parties intend that all PSUs provided under this Agreement and shares issuable hereunder comply with or be exempt from the requirements of Section 409A so that none of the payments or benefits will be subject to the adverse tax penalties imposed under Section 409A, and any ambiguities herein will be interpreted to so comply. Notwithstanding anything in the Plan or this Agreement to the contrary, if the vesting of the balance or some lesser portion of the balance, of the PSUs is to be accelerated in connection with the Grantee’s termination of service, such accelerated PSUs will not be settled by virtue of such acceleration until and unless the Grantee has a “separation from service” within the meaning of Treasury Regulation Section 1.409A-1(h), as determined by the Corporation, in its sole discretion. Further, and notwithstanding anything in the Plan or this Agreement to the contrary, if (x) any of the PSUs to be provided in connection with the Grantee’s separation from service do not qualify for any reason to be exempt from Section 409A, (y) the Grantee is, at the time of such separation from service, a “specified employee” (as defined in Treasury Regulation Section 1.409A-1(i)) and (z) the settlement of such PSUs would result in the imposition of additional tax under Section 409A if such settlement occurs on or within the six (6) month period following the Grantee’s separation from service, then, to the extent necessary to avoid the imposition of such additional taxation, the settlement of any such PSU during such six (6) month period will accrue and will not be settled until the date six</w:t>
      </w:r>
    </w:p>
    <w:p>
      <w:pPr>
        <w:sectPr>
          <w:pgSz w:w="11900" w:h="16838" w:orient="portrait"/>
          <w:cols w:equalWidth="0" w:num="1">
            <w:col w:w="10908"/>
          </w:cols>
          <w:pgMar w:left="652" w:top="1440" w:right="339" w:bottom="1440" w:gutter="0" w:footer="0" w:header="0"/>
        </w:sectPr>
      </w:pPr>
    </w:p>
    <w:bookmarkStart w:id="95" w:name="page96"/>
    <w:bookmarkEnd w:id="95"/>
    <w:p>
      <w:pPr>
        <w:spacing w:after="0" w:line="158" w:lineRule="exact"/>
        <w:rPr>
          <w:sz w:val="20"/>
          <w:szCs w:val="20"/>
          <w:color w:val="auto"/>
        </w:rPr>
      </w:pPr>
    </w:p>
    <w:p>
      <w:pPr>
        <w:ind w:left="328" w:right="20"/>
        <w:spacing w:after="0" w:line="284" w:lineRule="auto"/>
        <w:rPr>
          <w:sz w:val="20"/>
          <w:szCs w:val="20"/>
          <w:color w:val="auto"/>
        </w:rPr>
      </w:pPr>
      <w:r>
        <w:rPr>
          <w:rFonts w:ascii="Times New Roman" w:cs="Times New Roman" w:eastAsia="Times New Roman" w:hAnsi="Times New Roman"/>
          <w:sz w:val="22"/>
          <w:szCs w:val="22"/>
          <w:color w:val="auto"/>
        </w:rPr>
        <w:t>(6) months and one (1) day following the date of the Grantee’s separation from service and on such date (or, if earlier, the date of the Grantee’s death), such PSUs will be settled.</w:t>
      </w:r>
    </w:p>
    <w:p>
      <w:pPr>
        <w:spacing w:after="0" w:line="103" w:lineRule="exact"/>
        <w:rPr>
          <w:sz w:val="20"/>
          <w:szCs w:val="20"/>
          <w:color w:val="auto"/>
        </w:rPr>
      </w:pPr>
    </w:p>
    <w:p>
      <w:pPr>
        <w:jc w:val="both"/>
        <w:ind w:left="328" w:hanging="328"/>
        <w:spacing w:after="0" w:line="247" w:lineRule="auto"/>
        <w:tabs>
          <w:tab w:leader="none" w:pos="32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Provision</w:t>
      </w:r>
      <w:r>
        <w:rPr>
          <w:rFonts w:ascii="Times New Roman" w:cs="Times New Roman" w:eastAsia="Times New Roman" w:hAnsi="Times New Roman"/>
          <w:sz w:val="22"/>
          <w:szCs w:val="22"/>
          <w:color w:val="auto"/>
        </w:rPr>
        <w:t>. If the Board, or an appropriate committee thereof, determines that (a) any material misstatement of financial results or a performance metric criteria has occurred as a result of the Grantee’s conduct; (b) the Grantee has committed a material violation of corporate policy or has committed fraud or Misconduct; or (c) the Grantee has violated any of the restrictive covenants set forth in Sections 7 through 9, then the Board or such committee may, in its sole discretion, require reimbursement of any compensation resulting from the vesting of PSUs and the cancellation of any outstanding PSUs from the Grantee (whether or not such individual is currently employed by the Corporation) during the three (3) year period following the date on which the conduct resulting in the material misstatement occurred, or the date such violation, fraud or Misconduct occurred, as determined by the Board or the applicable committee. The Board or such committee shall consider all factors, with particular scrutiny when one of the Senior Vice Presidents or above are involved, in determining whether and to what extent such involvement described herein occurred and the amount of such reimbursement. Notwithstanding anything to the contrary herein, this provision shall be subject to adjustment and amendment to conform with any current or subsequently adopted policy or amendment relating to the clawback of compensation as may be adopted by the Board or an appropriate committee thereof.</w:t>
      </w:r>
    </w:p>
    <w:p>
      <w:pPr>
        <w:spacing w:after="0" w:line="165" w:lineRule="exact"/>
        <w:rPr>
          <w:rFonts w:ascii="Times New Roman" w:cs="Times New Roman" w:eastAsia="Times New Roman" w:hAnsi="Times New Roman"/>
          <w:sz w:val="22"/>
          <w:szCs w:val="22"/>
          <w:color w:val="auto"/>
        </w:rPr>
      </w:pPr>
    </w:p>
    <w:p>
      <w:pPr>
        <w:jc w:val="both"/>
        <w:ind w:left="328" w:hanging="328"/>
        <w:spacing w:after="0" w:line="262" w:lineRule="auto"/>
        <w:tabs>
          <w:tab w:leader="none" w:pos="328"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Grantee recognizes that his or her work as an employee of the Corporation brought or may have brought him or her into close contact with confidential information of the Corporation not publicly known. This may include, but is not limited to, know-how, technical data, methods, processes, formulations, techniques, developments, inventions, research projects, new products, plans for future developments, responses to “Requests for Proposals,” “Letters of Understanding,” bid information for government contracts, negotiations for new business ventures or strategic alliances, litigation and potential litigation matters, computer code and/or design of proprietary loan systems, personnel records and salary information, information about costs, profits, markets, sales, and lists of customers, potential customers and/or employees. This list is merely illustrative and confidential information is not limited to the illustrations.</w:t>
      </w:r>
    </w:p>
    <w:p>
      <w:pPr>
        <w:spacing w:after="0" w:line="145" w:lineRule="exact"/>
        <w:rPr>
          <w:rFonts w:ascii="Times New Roman" w:cs="Times New Roman" w:eastAsia="Times New Roman" w:hAnsi="Times New Roman"/>
          <w:sz w:val="21"/>
          <w:szCs w:val="21"/>
          <w:color w:val="auto"/>
        </w:rPr>
      </w:pPr>
    </w:p>
    <w:p>
      <w:pPr>
        <w:jc w:val="both"/>
        <w:ind w:left="328"/>
        <w:spacing w:after="0" w:line="26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expressly acknowledges and agrees that the Corporation’s confidential information is proprietary and confidential and that, if any of the confidential information was imparted or became known by any persons, including the Grantee, engaging in a business in any way competitive with the Corporation, such disclosure would result in hardship, loss, irreparable injury and damage to the Corporation, the measurement of which would be difficult, if not impossible, to determine. The Grantee further expressly agrees that the Corporation has a legitimate interest in protecting the confidential information and its business goodwill, and that it is necessary for the Corporation to protect its business from such hardship, loss, irreparable injury and damage. The Grantee further acknowledges that the preservation and protection of the confidential information is an essential part of his or her duties of employment and that, as a result of the</w:t>
      </w:r>
    </w:p>
    <w:p>
      <w:pPr>
        <w:sectPr>
          <w:pgSz w:w="11900" w:h="16838" w:orient="portrait"/>
          <w:cols w:equalWidth="0" w:num="1">
            <w:col w:w="10908"/>
          </w:cols>
          <w:pgMar w:left="652" w:top="1440" w:right="339" w:bottom="1440" w:gutter="0" w:footer="0" w:header="0"/>
        </w:sectPr>
      </w:pPr>
    </w:p>
    <w:bookmarkStart w:id="96" w:name="page97"/>
    <w:bookmarkEnd w:id="96"/>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Grantee’s employment with the Corporation, he or she has a duty of fidelity, loyalty, and trust to the Corporation in handling the confidential information.</w:t>
      </w:r>
    </w:p>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The Grantee agrees to keep secret all such confidential information and trade secrets of the Corporation and agrees not to, directly or indirectly, other than as necessary in the Corporation’s business and in the scope of his or her employment, disclose or use any such confidential information at any time (including any time following the date the Grantee experiences a termination of employment for any reason (the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 except as (1) required or permitted by statute, regulation or court order; or (2) pursuant to written consent given by the Corporation’s General Counsel. In addition, the Grantee recognizes that he or she may have been exposed, by reason of his or her employment, to certain information, which is confidential or proprietary to third parties. The Grantee agrees that he or she will not disclose or use at any time, without the prior written consent of such third party and the Corporation, any such confidential or proprietary information. The Grantee agrees that all written and computer-stored materials (including correspondence, memoranda, manuals, notes, and notebooks) which were in his or her possession from time to time (whether or not written or prepared by me) embodying confidential information should be and remain the Corporation’s sole property and he or she will use all reasonable precautions to assure that all such written and computer-stored materials are properly protected and kept from unauthorized persons. The Grantee further agrees to deliver same, including all copies, promptly to the Corporation upon termination of his or her employment, or at any time it may request. In the event that the Grantee is unsure whether certain material or information is confidential, he or she agrees to consult the Corporation’s Legal Department for resolution, and agrees to be bound by the Legal Department’s decision.</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the foregoing, nothing in this Agreement or otherwise limits the Grantee’s ability to communicate 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or any other federal, state or local governmental agency or commission or self-regulatory organization (each such agency, commission or organization, a “</w:t>
      </w:r>
      <w:r>
        <w:rPr>
          <w:rFonts w:ascii="Times New Roman" w:cs="Times New Roman" w:eastAsia="Times New Roman" w:hAnsi="Times New Roman"/>
          <w:sz w:val="22"/>
          <w:szCs w:val="22"/>
          <w:b w:val="1"/>
          <w:bCs w:val="1"/>
          <w:color w:val="auto"/>
        </w:rPr>
        <w:t>Government Agency</w:t>
      </w:r>
      <w:r>
        <w:rPr>
          <w:rFonts w:ascii="Times New Roman" w:cs="Times New Roman" w:eastAsia="Times New Roman" w:hAnsi="Times New Roman"/>
          <w:sz w:val="22"/>
          <w:szCs w:val="22"/>
          <w:color w:val="auto"/>
        </w:rPr>
        <w:t>”) regarding possible legal violations, without disclosure to the Corporation. The Corporation may not retaliate against the Grantee for any of these activities, and nothing in this Agreement requires the Grantee to waive any monetary award or other relief that the Grantee might become entitled to from the SEC or any other Government Agency.</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Pursuant to the Defend Trade Secrets Act of 2016, the Corporation and the Grantee acknowledge and agree that the Grantee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and without limiting the preceding sentence, if the Grantee files a lawsuit for retaliation by the Corporation for reporting a suspected violation of law, the Grantee may disclose the trade secret to his or</w:t>
      </w:r>
    </w:p>
    <w:p>
      <w:pPr>
        <w:sectPr>
          <w:pgSz w:w="11900" w:h="16838" w:orient="portrait"/>
          <w:cols w:equalWidth="0" w:num="1">
            <w:col w:w="10580"/>
          </w:cols>
          <w:pgMar w:left="980" w:top="1440" w:right="339" w:bottom="1440" w:gutter="0" w:footer="0" w:header="0"/>
        </w:sectPr>
      </w:pPr>
    </w:p>
    <w:bookmarkStart w:id="97" w:name="page98"/>
    <w:bookmarkEnd w:id="97"/>
    <w:p>
      <w:pPr>
        <w:spacing w:after="0" w:line="158" w:lineRule="exact"/>
        <w:rPr>
          <w:sz w:val="20"/>
          <w:szCs w:val="20"/>
          <w:color w:val="auto"/>
        </w:rPr>
      </w:pPr>
    </w:p>
    <w:p>
      <w:pPr>
        <w:ind w:left="328" w:right="20"/>
        <w:spacing w:after="0" w:line="284" w:lineRule="auto"/>
        <w:rPr>
          <w:sz w:val="20"/>
          <w:szCs w:val="20"/>
          <w:color w:val="auto"/>
        </w:rPr>
      </w:pPr>
      <w:r>
        <w:rPr>
          <w:rFonts w:ascii="Times New Roman" w:cs="Times New Roman" w:eastAsia="Times New Roman" w:hAnsi="Times New Roman"/>
          <w:sz w:val="22"/>
          <w:szCs w:val="22"/>
          <w:color w:val="auto"/>
        </w:rPr>
        <w:t>her attorney and may use the trade secret information in the court proceeding, if the Grantee (X) files any document containing the trade secret under seal and (Y) does not disclose the trade secret, except pursuant to court order.</w:t>
      </w:r>
    </w:p>
    <w:p>
      <w:pPr>
        <w:spacing w:after="0" w:line="103" w:lineRule="exact"/>
        <w:rPr>
          <w:sz w:val="20"/>
          <w:szCs w:val="20"/>
          <w:color w:val="auto"/>
        </w:rPr>
      </w:pPr>
    </w:p>
    <w:p>
      <w:pPr>
        <w:jc w:val="both"/>
        <w:ind w:left="328" w:hanging="328"/>
        <w:spacing w:after="0" w:line="250" w:lineRule="auto"/>
        <w:tabs>
          <w:tab w:leader="none" w:pos="32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The Grantee agrees that, during the two (2) year period following the Termination Date, the Grantee shall not solicit or encourage any employee, consultant or other individual independent contractor with whom he or she communicated within the last year of his or her employment to leave the employ or engagement of the Corporation, or hire any such employees. Further, during this two (2) year period following the Termination Date, the Grantee shall not, directly or indirectly, contact or accept business that the Corporation could otherwise perform from any of the Corporation’s customers or prospective customers with whom the Grantee communicated within the last two (2) years of his or her employment.</w:t>
      </w:r>
    </w:p>
    <w:p>
      <w:pPr>
        <w:spacing w:after="0" w:line="153" w:lineRule="exact"/>
        <w:rPr>
          <w:rFonts w:ascii="Times New Roman" w:cs="Times New Roman" w:eastAsia="Times New Roman" w:hAnsi="Times New Roman"/>
          <w:sz w:val="22"/>
          <w:szCs w:val="22"/>
          <w:color w:val="auto"/>
        </w:rPr>
      </w:pPr>
    </w:p>
    <w:p>
      <w:pPr>
        <w:jc w:val="both"/>
        <w:ind w:left="328" w:hanging="328"/>
        <w:spacing w:after="0" w:line="246" w:lineRule="auto"/>
        <w:tabs>
          <w:tab w:leader="none" w:pos="32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expressly agrees that the markets served by the Corporation extend nationally and are not dependent on the geographic location of the personnel or the businesses by which they are employed and that the restrictions set forth in Sections 7 through 9 have been designed to be reasonable and are no greater than are required for the protection of the Corporation and do not prevent the Grantee from earning a livelihood by working in positions that do not compete with the Corporation. In the event that a court shall determine that any provision of the Agreement is unenforceable, the parties shall request that the court construe this Agreement in such a fashion as to render it enforceable and to revise time and geographic limits to those minimum limits that the court believes are reasonable to protect the interests of the Corporation. The Grantee further acknowledges that his or her employment at the Corporation is employment at-will and this Agreement does not alter this at-will relationship. The Grantee acknowledges and agrees that these covenants have unique, substantial and immeasurable value to the Corporation, that the Grantee has sufficient skills to provide a livelihood for him or her while these covenants remains in force, and that these covenants will not interfere with his or her ability to work consistent with his or her experience, training, and education. To enable the Corporation to monitor compliance with the obligations imposed by this Agreement, the Grantee further agrees to inform in writing a senior officer in Human Resources with a title of “Vice President” or above of the identity of the Grantee’s subsequent employer(s) and his or her prospective job title and responsibilities prior to beginning employment. The Grantee agrees that this notice requirement shall remain in effect for twelve (12) months following the Termination Date.</w:t>
      </w:r>
    </w:p>
    <w:p>
      <w:pPr>
        <w:spacing w:after="0" w:line="171" w:lineRule="exact"/>
        <w:rPr>
          <w:rFonts w:ascii="Times New Roman" w:cs="Times New Roman" w:eastAsia="Times New Roman" w:hAnsi="Times New Roman"/>
          <w:sz w:val="22"/>
          <w:szCs w:val="22"/>
          <w:color w:val="auto"/>
        </w:rPr>
      </w:pPr>
    </w:p>
    <w:p>
      <w:pPr>
        <w:jc w:val="both"/>
        <w:ind w:left="328" w:hanging="328"/>
        <w:spacing w:after="0" w:line="256" w:lineRule="auto"/>
        <w:tabs>
          <w:tab w:leader="none" w:pos="32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restrictive covenants set forth in Sections 7 through 9 do not in any way restrict or impede the Grantee from exercising protected rights to the extent that such rights cannot be waived by agreement or from complying with any applicable law or regulation or a valid order of a court of competent jurisdiction or an authorized government agency,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compliance does not exceed that required by the law, regulation, or order.</w:t>
      </w:r>
    </w:p>
    <w:p>
      <w:pPr>
        <w:spacing w:after="0" w:line="135" w:lineRule="exact"/>
        <w:rPr>
          <w:rFonts w:ascii="Times New Roman" w:cs="Times New Roman" w:eastAsia="Times New Roman" w:hAnsi="Times New Roman"/>
          <w:sz w:val="22"/>
          <w:szCs w:val="22"/>
          <w:color w:val="auto"/>
        </w:rPr>
      </w:pPr>
    </w:p>
    <w:p>
      <w:pPr>
        <w:ind w:left="328" w:hanging="328"/>
        <w:spacing w:after="0" w:line="271" w:lineRule="auto"/>
        <w:tabs>
          <w:tab w:leader="none" w:pos="3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illegality, unenforceability, or ineffectiveness of any provision of Sections 7 through 10 shall not affect the legality, enforceability, or effectiveness of any other provision of</w:t>
      </w:r>
    </w:p>
    <w:p>
      <w:pPr>
        <w:sectPr>
          <w:pgSz w:w="11900" w:h="16838" w:orient="portrait"/>
          <w:cols w:equalWidth="0" w:num="1">
            <w:col w:w="10908"/>
          </w:cols>
          <w:pgMar w:left="652" w:top="1440" w:right="339" w:bottom="1440" w:gutter="0" w:footer="0" w:header="0"/>
        </w:sectPr>
      </w:pPr>
    </w:p>
    <w:bookmarkStart w:id="98" w:name="page99"/>
    <w:bookmarkEnd w:id="98"/>
    <w:p>
      <w:pPr>
        <w:spacing w:after="0" w:line="158" w:lineRule="exact"/>
        <w:rPr>
          <w:sz w:val="20"/>
          <w:szCs w:val="20"/>
          <w:color w:val="auto"/>
        </w:rPr>
      </w:pPr>
    </w:p>
    <w:p>
      <w:pPr>
        <w:jc w:val="both"/>
        <w:ind w:left="328"/>
        <w:spacing w:after="0" w:line="263" w:lineRule="auto"/>
        <w:rPr>
          <w:sz w:val="20"/>
          <w:szCs w:val="20"/>
          <w:color w:val="auto"/>
        </w:rPr>
      </w:pPr>
      <w:r>
        <w:rPr>
          <w:rFonts w:ascii="Times New Roman" w:cs="Times New Roman" w:eastAsia="Times New Roman" w:hAnsi="Times New Roman"/>
          <w:sz w:val="22"/>
          <w:szCs w:val="22"/>
          <w:color w:val="auto"/>
        </w:rPr>
        <w:t>this Agreement. Notwithstanding the confidentiality provisions identified in Section 7 of this Agreement, the Grantee may disclose the restrictive covenants in this Agreement to prospective employers, and agrees that the Corporation may provide a copy of this Agreement to his or her prospective or future employers.</w:t>
      </w:r>
    </w:p>
    <w:p>
      <w:pPr>
        <w:spacing w:after="0" w:line="127" w:lineRule="exact"/>
        <w:rPr>
          <w:sz w:val="20"/>
          <w:szCs w:val="20"/>
          <w:color w:val="auto"/>
        </w:rPr>
      </w:pPr>
    </w:p>
    <w:p>
      <w:pPr>
        <w:jc w:val="both"/>
        <w:ind w:left="328" w:hanging="328"/>
        <w:spacing w:after="0" w:line="251" w:lineRule="auto"/>
        <w:tabs>
          <w:tab w:leader="none" w:pos="32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Compliance</w:t>
      </w:r>
      <w:r>
        <w:rPr>
          <w:rFonts w:ascii="Times New Roman" w:cs="Times New Roman" w:eastAsia="Times New Roman" w:hAnsi="Times New Roman"/>
          <w:sz w:val="22"/>
          <w:szCs w:val="22"/>
          <w:color w:val="auto"/>
        </w:rPr>
        <w:t>. The Corporation may impose such restrictions, conditions or limitations as it determines appropriate as to the timing and manner of any transfer or sale by the Grantee of any shares of the Corporation’s common stock, including without limitation (a) restrictions under an insider trading policy and (b) restrictions that may be necessary in the absence of an effective registration statement under the Securities Act of 1933, as amended, covering the shares of the Corporation’s common stock. The sale of the shares must also comply with other applicable laws and regulations governing the sale of such shares.</w:t>
      </w:r>
    </w:p>
    <w:p>
      <w:pPr>
        <w:spacing w:after="0" w:line="154" w:lineRule="exact"/>
        <w:rPr>
          <w:rFonts w:ascii="Times New Roman" w:cs="Times New Roman" w:eastAsia="Times New Roman" w:hAnsi="Times New Roman"/>
          <w:sz w:val="22"/>
          <w:szCs w:val="22"/>
          <w:color w:val="auto"/>
        </w:rPr>
      </w:pPr>
    </w:p>
    <w:p>
      <w:pPr>
        <w:jc w:val="both"/>
        <w:ind w:left="328" w:hanging="328"/>
        <w:spacing w:after="0" w:line="247" w:lineRule="auto"/>
        <w:tabs>
          <w:tab w:leader="none" w:pos="32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As an essential term of the Award, the Grantee consents to the collection, use and transfer, in electronic or other form, of personal data as described herein for the exclusive purpose of implementing, administering and managing the Grantee’s participation in the Plan. By accepting the Award, the Grantee acknowledges that the Corporation holds certain personal information about the Grantee, including, but not limited to, name, home address and telephone number, date of birth, social security number or other identification number, salary, tax rates and amounts, nationality, job title, any shares of stock held in the Corporation, details of all options or any other entitlement to shares of stock awarded, canceled, exercised, vested, unvested or outstanding, for the purpose of implementing, administering and managing the Plan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xml:space="preserve">”). The Grantee acknowledges that Data may be transferred to any third parties assisting in the implementation, administration and management of the Plan, that these recipients may be located in jurisdictions that may have different data privacy laws and protections, and the Grantee authorizes the recipients to receive, possess, use, retain and transfer the Data, in electronic or other form, for the purposes of implementing, administering and managing the Plan, including any requisite transfer of such Data as may be required to a broker or other third party with whom the Grantee or the Corporation may elect to deposit any shares of the Corporation’s common stock. The Grantee acknowledges that Data may be held to implement, administer and manage the Grantee’s participation in the Plan as determined by the Corporation, and that the Grantee may request additional information about the storage and processing of Data, require any necessary amendments to Data or refuse or withdraw the consents herein, in any case without cost,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refusing or withdrawing the Grantee’s consent may adversely affect the Grantee’s ability to participate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Plan.</w:t>
      </w:r>
    </w:p>
    <w:p>
      <w:pPr>
        <w:spacing w:after="0" w:line="146" w:lineRule="exact"/>
        <w:rPr>
          <w:rFonts w:ascii="Times New Roman" w:cs="Times New Roman" w:eastAsia="Times New Roman" w:hAnsi="Times New Roman"/>
          <w:sz w:val="22"/>
          <w:szCs w:val="22"/>
          <w:color w:val="auto"/>
        </w:rPr>
      </w:pPr>
    </w:p>
    <w:p>
      <w:pPr>
        <w:jc w:val="both"/>
        <w:ind w:left="328" w:hanging="328"/>
        <w:spacing w:after="0" w:line="253" w:lineRule="auto"/>
        <w:tabs>
          <w:tab w:leader="none" w:pos="32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Corporation may, in its sole discretion, decide to deliver any documents related to any Awards granted under the Plan by electronic means or to request the Grantee’s consent to participate in the Plan by electronic means. The Grantee hereby consents to receive such documents by electronic delivery and, if requested, to agree to participate in the Plan through an online or electronic system established and maintained by the Corporation or another third party designated by the Corporation, and</w:t>
      </w:r>
    </w:p>
    <w:p>
      <w:pPr>
        <w:sectPr>
          <w:pgSz w:w="11900" w:h="16838" w:orient="portrait"/>
          <w:cols w:equalWidth="0" w:num="1">
            <w:col w:w="10908"/>
          </w:cols>
          <w:pgMar w:left="652" w:top="1440" w:right="339" w:bottom="1440" w:gutter="0" w:footer="0" w:header="0"/>
        </w:sectPr>
      </w:pPr>
    </w:p>
    <w:bookmarkStart w:id="99" w:name="page100"/>
    <w:bookmarkEnd w:id="99"/>
    <w:p>
      <w:pPr>
        <w:spacing w:after="0" w:line="158" w:lineRule="exact"/>
        <w:rPr>
          <w:sz w:val="20"/>
          <w:szCs w:val="20"/>
          <w:color w:val="auto"/>
        </w:rPr>
      </w:pPr>
    </w:p>
    <w:p>
      <w:pPr>
        <w:ind w:left="328"/>
        <w:spacing w:after="0" w:line="284" w:lineRule="auto"/>
        <w:rPr>
          <w:sz w:val="20"/>
          <w:szCs w:val="20"/>
          <w:color w:val="auto"/>
        </w:rPr>
      </w:pPr>
      <w:r>
        <w:rPr>
          <w:rFonts w:ascii="Times New Roman" w:cs="Times New Roman" w:eastAsia="Times New Roman" w:hAnsi="Times New Roman"/>
          <w:sz w:val="22"/>
          <w:szCs w:val="22"/>
          <w:color w:val="auto"/>
        </w:rPr>
        <w:t>such consent shall remain in effect throughout the Grantee’s term of service with the Corporation (or its subsidiaries) and thereafter until withdrawn in writing by the Grantee.</w:t>
      </w:r>
    </w:p>
    <w:p>
      <w:pPr>
        <w:spacing w:after="0" w:line="103" w:lineRule="exact"/>
        <w:rPr>
          <w:sz w:val="20"/>
          <w:szCs w:val="20"/>
          <w:color w:val="auto"/>
        </w:rPr>
      </w:pPr>
    </w:p>
    <w:p>
      <w:pPr>
        <w:jc w:val="both"/>
        <w:ind w:left="328" w:hanging="328"/>
        <w:spacing w:after="0" w:line="257" w:lineRule="auto"/>
        <w:tabs>
          <w:tab w:leader="none" w:pos="32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Interpretation</w:t>
      </w:r>
      <w:r>
        <w:rPr>
          <w:rFonts w:ascii="Times New Roman" w:cs="Times New Roman" w:eastAsia="Times New Roman" w:hAnsi="Times New Roman"/>
          <w:sz w:val="22"/>
          <w:szCs w:val="22"/>
          <w:color w:val="auto"/>
        </w:rPr>
        <w:t>. The Grantee hereby agrees to accept as binding, conclusive, and final all decisions and interpretations of the Board and, where applicable, the Committee concerning any questions arising under this Agreement or the Plan.</w:t>
      </w:r>
    </w:p>
    <w:p>
      <w:pPr>
        <w:spacing w:after="0" w:line="145" w:lineRule="exact"/>
        <w:rPr>
          <w:rFonts w:ascii="Times New Roman" w:cs="Times New Roman" w:eastAsia="Times New Roman" w:hAnsi="Times New Roman"/>
          <w:sz w:val="22"/>
          <w:szCs w:val="22"/>
          <w:color w:val="auto"/>
        </w:rPr>
      </w:pPr>
    </w:p>
    <w:p>
      <w:pPr>
        <w:jc w:val="both"/>
        <w:ind w:left="328" w:right="20" w:hanging="328"/>
        <w:spacing w:after="0" w:line="257" w:lineRule="auto"/>
        <w:tabs>
          <w:tab w:leader="none" w:pos="32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Agreement or any other instrument executed pursuant thereto or hereto shall confer upon the Grantee any right to continued employment with the Corporation or any of its subsidiaries or affiliates.</w:t>
      </w:r>
    </w:p>
    <w:p>
      <w:pPr>
        <w:spacing w:after="0" w:line="145" w:lineRule="exact"/>
        <w:rPr>
          <w:rFonts w:ascii="Times New Roman" w:cs="Times New Roman" w:eastAsia="Times New Roman" w:hAnsi="Times New Roman"/>
          <w:sz w:val="22"/>
          <w:szCs w:val="22"/>
          <w:color w:val="auto"/>
        </w:rPr>
      </w:pPr>
    </w:p>
    <w:p>
      <w:pPr>
        <w:ind w:left="328" w:hanging="328"/>
        <w:spacing w:after="0" w:line="271" w:lineRule="auto"/>
        <w:tabs>
          <w:tab w:leader="none" w:pos="32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for Accounting Charges</w:t>
      </w:r>
      <w:r>
        <w:rPr>
          <w:rFonts w:ascii="Times New Roman" w:cs="Times New Roman" w:eastAsia="Times New Roman" w:hAnsi="Times New Roman"/>
          <w:sz w:val="22"/>
          <w:szCs w:val="22"/>
          <w:color w:val="auto"/>
        </w:rPr>
        <w:t>. The Committee reserves the right to unilaterally amend this Agreement to reflect any changes in applicable law or financial accounting standards.</w:t>
      </w:r>
    </w:p>
    <w:p>
      <w:pPr>
        <w:spacing w:after="0" w:line="130" w:lineRule="exact"/>
        <w:rPr>
          <w:rFonts w:ascii="Times New Roman" w:cs="Times New Roman" w:eastAsia="Times New Roman" w:hAnsi="Times New Roman"/>
          <w:sz w:val="22"/>
          <w:szCs w:val="22"/>
          <w:color w:val="auto"/>
        </w:rPr>
      </w:pPr>
    </w:p>
    <w:p>
      <w:pPr>
        <w:ind w:left="328" w:hanging="328"/>
        <w:spacing w:after="0" w:line="271" w:lineRule="auto"/>
        <w:tabs>
          <w:tab w:leader="none" w:pos="32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Delaware, without giving effect to principles of conflicts of law.</w:t>
      </w:r>
    </w:p>
    <w:p>
      <w:pPr>
        <w:spacing w:after="0" w:line="117" w:lineRule="exact"/>
        <w:rPr>
          <w:rFonts w:ascii="Times New Roman" w:cs="Times New Roman" w:eastAsia="Times New Roman" w:hAnsi="Times New Roman"/>
          <w:sz w:val="22"/>
          <w:szCs w:val="22"/>
          <w:color w:val="auto"/>
        </w:rPr>
      </w:pPr>
    </w:p>
    <w:p>
      <w:pPr>
        <w:jc w:val="both"/>
        <w:ind w:left="328" w:hanging="328"/>
        <w:spacing w:after="0" w:line="263" w:lineRule="auto"/>
        <w:tabs>
          <w:tab w:leader="none" w:pos="32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under this Agreement shall be in writing and shall be deemed to have been duly given if personally delivered, or, if mailed or emailed, when received by, the other party at the following addresses:</w:t>
      </w:r>
    </w:p>
    <w:p>
      <w:pPr>
        <w:spacing w:after="0" w:line="127"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2"/>
          <w:szCs w:val="22"/>
          <w:color w:val="auto"/>
        </w:rPr>
        <w:t>If to the Corporation to:</w:t>
      </w:r>
    </w:p>
    <w:p>
      <w:pPr>
        <w:spacing w:after="0" w:line="193"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2"/>
          <w:szCs w:val="22"/>
          <w:color w:val="auto"/>
        </w:rPr>
        <w:t>Human Resources Department</w:t>
      </w:r>
    </w:p>
    <w:p>
      <w:pPr>
        <w:spacing w:after="0" w:line="28"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2"/>
          <w:szCs w:val="22"/>
          <w:color w:val="auto"/>
        </w:rPr>
        <w:t>ATTN: Total Rewards</w:t>
      </w:r>
    </w:p>
    <w:p>
      <w:pPr>
        <w:spacing w:after="0" w:line="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2"/>
          <w:szCs w:val="22"/>
          <w:color w:val="auto"/>
        </w:rPr>
        <w:t>300 Continental Drive</w:t>
      </w:r>
    </w:p>
    <w:p>
      <w:pPr>
        <w:spacing w:after="0" w:line="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2"/>
          <w:szCs w:val="22"/>
          <w:color w:val="auto"/>
        </w:rPr>
        <w:t>Newark, DE 19713</w:t>
      </w:r>
    </w:p>
    <w:p>
      <w:pPr>
        <w:spacing w:after="0" w:line="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2"/>
          <w:szCs w:val="22"/>
          <w:color w:val="0000FF"/>
        </w:rPr>
        <w:t>HR_Inbox@salliemae.com</w:t>
      </w:r>
    </w:p>
    <w:p>
      <w:pPr>
        <w:spacing w:after="0" w:line="169" w:lineRule="exact"/>
        <w:rPr>
          <w:sz w:val="20"/>
          <w:szCs w:val="20"/>
          <w:color w:val="auto"/>
        </w:rPr>
      </w:pPr>
    </w:p>
    <w:p>
      <w:pPr>
        <w:ind w:left="328" w:right="180"/>
        <w:spacing w:after="0" w:line="271" w:lineRule="auto"/>
        <w:rPr>
          <w:sz w:val="20"/>
          <w:szCs w:val="20"/>
          <w:color w:val="auto"/>
        </w:rPr>
      </w:pPr>
      <w:r>
        <w:rPr>
          <w:rFonts w:ascii="Times New Roman" w:cs="Times New Roman" w:eastAsia="Times New Roman" w:hAnsi="Times New Roman"/>
          <w:sz w:val="22"/>
          <w:szCs w:val="22"/>
          <w:color w:val="auto"/>
        </w:rPr>
        <w:t>If to the Grantee, to (i) the last address maintained in the Corporation’s Human Resources files for the Grantee or (ii) the Grantee’s mail delivery code or place of work at the Corporation (or its subsidiaries).</w:t>
      </w:r>
    </w:p>
    <w:p>
      <w:pPr>
        <w:spacing w:after="0" w:line="131" w:lineRule="exact"/>
        <w:rPr>
          <w:sz w:val="20"/>
          <w:szCs w:val="20"/>
          <w:color w:val="auto"/>
        </w:rPr>
      </w:pPr>
    </w:p>
    <w:p>
      <w:pPr>
        <w:jc w:val="both"/>
        <w:ind w:left="328" w:hanging="328"/>
        <w:spacing w:after="0" w:line="248" w:lineRule="auto"/>
        <w:tabs>
          <w:tab w:leader="none" w:pos="32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Controls; Entire Agreement; Capitalized Terms</w:t>
      </w:r>
      <w:r>
        <w:rPr>
          <w:rFonts w:ascii="Times New Roman" w:cs="Times New Roman" w:eastAsia="Times New Roman" w:hAnsi="Times New Roman"/>
          <w:sz w:val="22"/>
          <w:szCs w:val="22"/>
          <w:color w:val="auto"/>
        </w:rPr>
        <w:t>. In the event of any conflict between the provisions of this Agreement and the provisions of the Plan, the terms of the Plan control, except as expressly stated otherwise herein. This Agreement and the Plan together set forth the entire agreement and understanding between the parties as to the subject matter hereof and supersede all prior oral and written and all contemporaneous or subsequent oral discussions, agreements and understandings of any kind or nature with the exception of (i) equity awards previously granted and delivered to the Grantee, (ii) any compensation adjustment policy that is adopted by the Corporation or is otherwise required by applicable law or listing standards applicable to the Corporation and (iii) any written restrictive covenants, employment or severance arrangements setting forth restrictive covenants applicable to the Grantee. Capitalized terms not defined herein shall have the meanings as described in the Plan.</w:t>
      </w:r>
    </w:p>
    <w:p>
      <w:pPr>
        <w:sectPr>
          <w:pgSz w:w="11900" w:h="16838" w:orient="portrait"/>
          <w:cols w:equalWidth="0" w:num="1">
            <w:col w:w="10908"/>
          </w:cols>
          <w:pgMar w:left="652" w:top="1440" w:right="339" w:bottom="1440" w:gutter="0" w:footer="0" w:header="0"/>
        </w:sectPr>
      </w:pPr>
    </w:p>
    <w:bookmarkStart w:id="100" w:name="page101"/>
    <w:bookmarkEnd w:id="100"/>
    <w:p>
      <w:pPr>
        <w:spacing w:after="0" w:line="158" w:lineRule="exact"/>
        <w:rPr>
          <w:sz w:val="20"/>
          <w:szCs w:val="20"/>
          <w:color w:val="auto"/>
        </w:rPr>
      </w:pPr>
    </w:p>
    <w:p>
      <w:pPr>
        <w:jc w:val="both"/>
        <w:ind w:left="328" w:hanging="328"/>
        <w:spacing w:after="0" w:line="250" w:lineRule="auto"/>
        <w:tabs>
          <w:tab w:leader="none" w:pos="32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In the event that any provision of this Agreement is declared to be illegal, invalid or otherwise unenforceable by a court of competent jurisdiction, such provision shall be reformed, if possible, to the extent necessary to render it legal, valid and enforceable, or otherwise deleted, and the remainder of this Agreement shall not be affected except to the extent necessary to reform or delete such illegal, invalid or unenforceable provision. The headings in this Agreement are solely for convenience of reference, and shall not constitute a part of this Agreement, nor shall they affect its meaning, construction or effect. The Grantee shall cooperate and take such actions as may be reasonably requested by the Corporation in order to carry out the provisions and purposes of the Agreement. The Grantee is responsible for complying with all laws applicable to the Grantee, including federal and state securities reporting laws.</w:t>
      </w:r>
    </w:p>
    <w:p>
      <w:pPr>
        <w:spacing w:after="0" w:line="146" w:lineRule="exact"/>
        <w:rPr>
          <w:rFonts w:ascii="Times New Roman" w:cs="Times New Roman" w:eastAsia="Times New Roman" w:hAnsi="Times New Roman"/>
          <w:sz w:val="22"/>
          <w:szCs w:val="22"/>
          <w:color w:val="auto"/>
        </w:rPr>
      </w:pPr>
    </w:p>
    <w:p>
      <w:pPr>
        <w:jc w:val="both"/>
        <w:ind w:left="328" w:hanging="328"/>
        <w:spacing w:after="0" w:line="249" w:lineRule="auto"/>
        <w:tabs>
          <w:tab w:leader="none" w:pos="32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Acceptance</w:t>
      </w:r>
      <w:r>
        <w:rPr>
          <w:rFonts w:ascii="Times New Roman" w:cs="Times New Roman" w:eastAsia="Times New Roman" w:hAnsi="Times New Roman"/>
          <w:sz w:val="22"/>
          <w:szCs w:val="22"/>
          <w:color w:val="auto"/>
        </w:rPr>
        <w:t>. By accepting this Award, the Grantee hereby (i) acknowledges receipt of, and represents that the Grantee understands this Agreement, the Performance Stock Unit Grant Notice and the Plan, including the restrictive covenants set forth in Sections 7 through 9, (ii) acknowledges and confirms the Grantee’s consent to receive electronically the Award, the Plan, the Performance Stock Unit Grant Notice and any other Plan documents or other related communications that the Corporation wishes or is required to deliver, (iii) acknowledges that a copy of the Plan and the related Plan documents were made available to the Grantee and (iv) agrees that the electronic acceptance of the Agreement constitutes a legally binding acceptance of the Agreement, and that the electronic acceptance of the Agreement shall have the same force and effect as if the Agreement was physically signed.</w:t>
      </w:r>
    </w:p>
    <w:p>
      <w:pPr>
        <w:sectPr>
          <w:pgSz w:w="11900" w:h="16838" w:orient="portrait"/>
          <w:cols w:equalWidth="0" w:num="1">
            <w:col w:w="10908"/>
          </w:cols>
          <w:pgMar w:left="652" w:top="1440"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Jonathan W. Witter, certify that:</w:t>
      </w:r>
    </w:p>
    <w:p>
      <w:pPr>
        <w:spacing w:after="0" w:line="252" w:lineRule="exact"/>
        <w:rPr>
          <w:sz w:val="20"/>
          <w:szCs w:val="20"/>
          <w:color w:val="auto"/>
        </w:rPr>
      </w:pPr>
    </w:p>
    <w:p>
      <w:pPr>
        <w:ind w:left="560" w:hanging="350"/>
        <w:spacing w:after="0"/>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SLM Corporation;</w:t>
      </w:r>
    </w:p>
    <w:p>
      <w:pPr>
        <w:spacing w:after="0" w:line="252" w:lineRule="exact"/>
        <w:rPr>
          <w:rFonts w:ascii="Arial" w:cs="Arial" w:eastAsia="Arial" w:hAnsi="Arial"/>
          <w:sz w:val="18"/>
          <w:szCs w:val="18"/>
          <w:color w:val="auto"/>
        </w:rPr>
      </w:pPr>
    </w:p>
    <w:p>
      <w:pPr>
        <w:jc w:val="both"/>
        <w:ind w:left="380" w:hanging="170"/>
        <w:spacing w:after="0" w:line="268" w:lineRule="auto"/>
        <w:tabs>
          <w:tab w:leader="none" w:pos="5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80" w:hanging="170"/>
        <w:spacing w:after="0" w:line="287" w:lineRule="auto"/>
        <w:tabs>
          <w:tab w:leader="none" w:pos="606"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jc w:val="both"/>
        <w:ind w:left="380" w:hanging="170"/>
        <w:spacing w:after="0" w:line="260" w:lineRule="auto"/>
        <w:tabs>
          <w:tab w:leader="none" w:pos="60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580" w:hanging="167"/>
        <w:spacing w:after="0" w:line="268" w:lineRule="auto"/>
        <w:tabs>
          <w:tab w:leader="none" w:pos="819"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580" w:hanging="167"/>
        <w:spacing w:after="0" w:line="268" w:lineRule="auto"/>
        <w:tabs>
          <w:tab w:leader="none" w:pos="7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580" w:hanging="167"/>
        <w:spacing w:after="0" w:line="268" w:lineRule="auto"/>
        <w:tabs>
          <w:tab w:leader="none" w:pos="8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580" w:hanging="167"/>
        <w:spacing w:after="0" w:line="268" w:lineRule="auto"/>
        <w:tabs>
          <w:tab w:leader="none" w:pos="827"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80" w:hanging="170"/>
        <w:spacing w:after="0" w:line="268"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580" w:hanging="167"/>
        <w:spacing w:after="0" w:line="287" w:lineRule="auto"/>
        <w:tabs>
          <w:tab w:leader="none" w:pos="795"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580" w:right="380" w:hanging="167"/>
        <w:spacing w:after="0" w:line="287" w:lineRule="auto"/>
        <w:tabs>
          <w:tab w:leader="none" w:pos="76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JONATHAN W. 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17780</wp:posOffset>
            </wp:positionV>
            <wp:extent cx="35490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Jonathan W. Witter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April 24, 2025</w:t>
      </w:r>
    </w:p>
    <w:p>
      <w:pPr>
        <w:sectPr>
          <w:pgSz w:w="11900" w:h="16838" w:orient="portrait"/>
          <w:cols w:equalWidth="0" w:num="1">
            <w:col w:w="11240"/>
          </w:cols>
          <w:pgMar w:left="320" w:top="89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Peter M. Graham, certify that:</w:t>
      </w:r>
    </w:p>
    <w:p>
      <w:pPr>
        <w:spacing w:after="0" w:line="252" w:lineRule="exact"/>
        <w:rPr>
          <w:sz w:val="20"/>
          <w:szCs w:val="20"/>
          <w:color w:val="auto"/>
        </w:rPr>
      </w:pPr>
    </w:p>
    <w:p>
      <w:pPr>
        <w:ind w:left="560" w:hanging="350"/>
        <w:spacing w:after="0"/>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SLM Corporation;</w:t>
      </w:r>
    </w:p>
    <w:p>
      <w:pPr>
        <w:spacing w:after="0" w:line="252" w:lineRule="exact"/>
        <w:rPr>
          <w:rFonts w:ascii="Arial" w:cs="Arial" w:eastAsia="Arial" w:hAnsi="Arial"/>
          <w:sz w:val="18"/>
          <w:szCs w:val="18"/>
          <w:color w:val="auto"/>
        </w:rPr>
      </w:pPr>
    </w:p>
    <w:p>
      <w:pPr>
        <w:jc w:val="both"/>
        <w:ind w:left="380" w:hanging="170"/>
        <w:spacing w:after="0" w:line="268" w:lineRule="auto"/>
        <w:tabs>
          <w:tab w:leader="none" w:pos="572"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80" w:hanging="170"/>
        <w:spacing w:after="0" w:line="287" w:lineRule="auto"/>
        <w:tabs>
          <w:tab w:leader="none" w:pos="606"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jc w:val="both"/>
        <w:ind w:left="380" w:hanging="170"/>
        <w:spacing w:after="0" w:line="260" w:lineRule="auto"/>
        <w:tabs>
          <w:tab w:leader="none" w:pos="60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580" w:hanging="167"/>
        <w:spacing w:after="0" w:line="268" w:lineRule="auto"/>
        <w:tabs>
          <w:tab w:leader="none" w:pos="819"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580" w:hanging="167"/>
        <w:spacing w:after="0" w:line="268" w:lineRule="auto"/>
        <w:tabs>
          <w:tab w:leader="none" w:pos="7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580" w:hanging="167"/>
        <w:spacing w:after="0" w:line="268" w:lineRule="auto"/>
        <w:tabs>
          <w:tab w:leader="none" w:pos="8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580" w:hanging="167"/>
        <w:spacing w:after="0" w:line="268" w:lineRule="auto"/>
        <w:tabs>
          <w:tab w:leader="none" w:pos="82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80" w:hanging="170"/>
        <w:spacing w:after="0" w:line="268"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580" w:hanging="167"/>
        <w:spacing w:after="0" w:line="287" w:lineRule="auto"/>
        <w:tabs>
          <w:tab w:leader="none" w:pos="795"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580" w:right="20" w:hanging="167"/>
        <w:spacing w:after="0" w:line="287" w:lineRule="auto"/>
        <w:tabs>
          <w:tab w:leader="none" w:pos="83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PETER 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40290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Peter M. Graham</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(Principal Financial and Accounting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April 24, 2025</w:t>
      </w:r>
    </w:p>
    <w:p>
      <w:pPr>
        <w:sectPr>
          <w:pgSz w:w="11900" w:h="16838" w:orient="portrait"/>
          <w:cols w:equalWidth="0" w:num="1">
            <w:col w:w="11240"/>
          </w:cols>
          <w:pgMar w:left="320" w:top="989"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connection with the Quarterly Report of SLM Corporation (the “Company”) on Form 10-Q for the quarter ended March 31, 2025, as filed with the Securities and Exchange Commission on the date hereof (the “Report”), I, Jonathan W. Witter, Chief Executive Officer of the Company, certify, pursuant to 18 U.S.C. § 1350, as adopted pursuant to § 906 of the Sarbanes-Oxley Act of 2002, that:</w:t>
      </w:r>
    </w:p>
    <w:p>
      <w:pPr>
        <w:spacing w:after="0" w:line="198" w:lineRule="exact"/>
        <w:rPr>
          <w:sz w:val="20"/>
          <w:szCs w:val="20"/>
          <w:color w:val="auto"/>
        </w:rPr>
      </w:pPr>
    </w:p>
    <w:p>
      <w:pPr>
        <w:ind w:left="620" w:hanging="410"/>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460" w:hanging="250"/>
        <w:spacing w:after="0" w:line="287"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JONATHAN W. 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17780</wp:posOffset>
            </wp:positionV>
            <wp:extent cx="3549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Jonathan W. Witter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April 24, 2025</w:t>
      </w:r>
    </w:p>
    <w:p>
      <w:pPr>
        <w:sectPr>
          <w:pgSz w:w="11900" w:h="16838" w:orient="portrait"/>
          <w:cols w:equalWidth="0" w:num="1">
            <w:col w:w="11240"/>
          </w:cols>
          <w:pgMar w:left="320" w:top="89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connection with the Quarterly Report of SLM Corporation (the “Company”) on Form 10-Q for the quarter ended March 31, 2025, as filed with the Securities and Exchange Commission on the date hereof (the “Report”), I, Peter M. Graham, Executive Vice President, Chief Financial Officer and Treasurer of the Company, certify, pursuant to 18 U.S.C. § 1350, as adopted pursuant to § 906 of the Sarbanes-Oxley Act of 2002, that:</w:t>
      </w:r>
    </w:p>
    <w:p>
      <w:pPr>
        <w:spacing w:after="0" w:line="203" w:lineRule="exact"/>
        <w:rPr>
          <w:sz w:val="20"/>
          <w:szCs w:val="20"/>
          <w:color w:val="auto"/>
        </w:rPr>
      </w:pPr>
    </w:p>
    <w:p>
      <w:pPr>
        <w:ind w:left="620" w:hanging="410"/>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460" w:hanging="250"/>
        <w:spacing w:after="0" w:line="287" w:lineRule="auto"/>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PETER 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17780</wp:posOffset>
            </wp:positionV>
            <wp:extent cx="3549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Peter M. Graham</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and Accounting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April 24, 2025</w:t>
      </w:r>
    </w:p>
    <w:sectPr>
      <w:pgSz w:w="11900" w:h="16838" w:orient="portrait"/>
      <w:cols w:equalWidth="0" w:num="1">
        <w:col w:w="11240"/>
      </w:cols>
      <w:pgMar w:left="320" w:top="8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2"/>
    </w:lvl>
  </w:abstractNum>
  <w:abstractNum w:abstractNumId="7">
    <w:nsid w:val="79A1DEAA"/>
    <w:multiLevelType w:val="hybridMultilevel"/>
    <w:lvl w:ilvl="0">
      <w:lvlJc w:val="left"/>
      <w:lvlText w:val="%1."/>
      <w:numFmt w:val="decimal"/>
      <w:start w:val="2"/>
    </w:lvl>
  </w:abstractNum>
  <w:abstractNum w:abstractNumId="8">
    <w:nsid w:val="75C6C33A"/>
    <w:multiLevelType w:val="hybridMultilevel"/>
    <w:lvl w:ilvl="0">
      <w:lvlJc w:val="left"/>
      <w:lvlText w:val="%1."/>
      <w:numFmt w:val="decimal"/>
      <w:start w:val="2"/>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1."/>
      <w:numFmt w:val="decimal"/>
      <w:start w:val="4"/>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4"/>
    </w:lvl>
  </w:abstractNum>
  <w:abstractNum w:abstractNumId="13">
    <w:nsid w:val="4F4EF005"/>
    <w:multiLevelType w:val="hybridMultilevel"/>
    <w:lvl w:ilvl="0">
      <w:lvlJc w:val="left"/>
      <w:lvlText w:val="%1."/>
      <w:numFmt w:val="decimal"/>
      <w:start w:val="4"/>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1."/>
      <w:numFmt w:val="decimal"/>
      <w:start w:val="4"/>
    </w:lvl>
  </w:abstractNum>
  <w:abstractNum w:abstractNumId="16">
    <w:nsid w:val="275AC794"/>
    <w:multiLevelType w:val="hybridMultilevel"/>
    <w:lvl w:ilvl="0">
      <w:lvlJc w:val="left"/>
      <w:lvlText w:val="%1."/>
      <w:numFmt w:val="decimal"/>
      <w:start w:val="4"/>
    </w:lvl>
  </w:abstractNum>
  <w:abstractNum w:abstractNumId="17">
    <w:nsid w:val="39386575"/>
    <w:multiLevelType w:val="hybridMultilevel"/>
    <w:lvl w:ilvl="0">
      <w:lvlJc w:val="left"/>
      <w:lvlText w:val="%1."/>
      <w:numFmt w:val="decimal"/>
      <w:start w:val="4"/>
    </w:lvl>
  </w:abstractNum>
  <w:abstractNum w:abstractNumId="18">
    <w:nsid w:val="1CF10FD8"/>
    <w:multiLevelType w:val="hybridMultilevel"/>
    <w:lvl w:ilvl="0">
      <w:lvlJc w:val="left"/>
      <w:lvlText w:val="%1."/>
      <w:numFmt w:val="decimal"/>
      <w:start w:val="4"/>
    </w:lvl>
  </w:abstractNum>
  <w:abstractNum w:abstractNumId="19">
    <w:nsid w:val="180115BE"/>
    <w:multiLevelType w:val="hybridMultilevel"/>
    <w:lvl w:ilvl="0">
      <w:lvlJc w:val="left"/>
      <w:lvlText w:val="%1."/>
      <w:numFmt w:val="decimal"/>
      <w:start w:val="4"/>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4"/>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1."/>
      <w:numFmt w:val="decimal"/>
      <w:start w:val="4"/>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4"/>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1."/>
      <w:numFmt w:val="decimal"/>
      <w:start w:val="4"/>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4"/>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6"/>
    </w:lvl>
  </w:abstractNum>
  <w:abstractNum w:abstractNumId="35">
    <w:nsid w:val="25A70BF7"/>
    <w:multiLevelType w:val="hybridMultilevel"/>
    <w:lvl w:ilvl="0">
      <w:lvlJc w:val="left"/>
      <w:lvlText w:val="%1."/>
      <w:numFmt w:val="decimal"/>
      <w:start w:val="7"/>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7"/>
    </w:lvl>
  </w:abstractNum>
  <w:abstractNum w:abstractNumId="38">
    <w:nsid w:val="1F48EAA1"/>
    <w:multiLevelType w:val="hybridMultilevel"/>
    <w:lvl w:ilvl="0">
      <w:lvlJc w:val="left"/>
      <w:lvlText w:val="(%1)"/>
      <w:numFmt w:val="decimal"/>
      <w:start w:val="1"/>
    </w:lvl>
  </w:abstractNum>
  <w:abstractNum w:abstractNumId="39">
    <w:nsid w:val="1381823A"/>
    <w:multiLevelType w:val="hybridMultilevel"/>
    <w:lvl w:ilvl="0">
      <w:lvlJc w:val="left"/>
      <w:lvlText w:val="%1."/>
      <w:numFmt w:val="decimal"/>
      <w:start w:val="8"/>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decimal"/>
      <w:start w:val="8"/>
    </w:lvl>
  </w:abstractNum>
  <w:abstractNum w:abstractNumId="43">
    <w:nsid w:val="15014ACB"/>
    <w:multiLevelType w:val="hybridMultilevel"/>
    <w:lvl w:ilvl="0">
      <w:lvlJc w:val="left"/>
      <w:lvlText w:val="%1."/>
      <w:numFmt w:val="decimal"/>
      <w:start w:val="8"/>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1."/>
      <w:numFmt w:val="decimal"/>
      <w:start w:val="1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2"/>
    </w:lvl>
  </w:abstractNum>
  <w:abstractNum w:abstractNumId="49">
    <w:nsid w:val="168E121F"/>
    <w:multiLevelType w:val="hybridMultilevel"/>
    <w:lvl w:ilvl="0">
      <w:lvlJc w:val="left"/>
      <w:lvlText w:val="%1."/>
      <w:numFmt w:val="decimal"/>
      <w:start w:val="1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1"/>
      <w:numFmt w:val="upperLetter"/>
      <w:start w:val="61"/>
    </w:lvl>
  </w:abstractNum>
  <w:abstractNum w:abstractNumId="52">
    <w:nsid w:val="5DC79EA8"/>
    <w:multiLevelType w:val="hybridMultilevel"/>
    <w:lvl w:ilvl="0">
      <w:lvlJc w:val="left"/>
      <w:lvlText w:val="(%1)"/>
      <w:numFmt w:val="decimal"/>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lowerRoman"/>
      <w:start w:val="1"/>
    </w:lvl>
  </w:abstractNum>
  <w:abstractNum w:abstractNumId="73">
    <w:nsid w:val="7FB7E0AA"/>
    <w:multiLevelType w:val="hybridMultilevel"/>
    <w:lvl w:ilvl="0">
      <w:lvlJc w:val="left"/>
      <w:lvlText w:val="%1"/>
      <w:numFmt w:val="decimal"/>
      <w:start w:val="1"/>
    </w:lvl>
    <w:lvl w:ilvl="1">
      <w:lvlJc w:val="left"/>
      <w:lvlText w:val="%2."/>
      <w:numFmt w:val="lowerLetter"/>
      <w:start w:val="1"/>
    </w:lvl>
  </w:abstractNum>
  <w:abstractNum w:abstractNumId="74">
    <w:nsid w:val="6EB5BD4"/>
    <w:multiLevelType w:val="hybridMultilevel"/>
    <w:lvl w:ilvl="0">
      <w:lvlJc w:val="left"/>
      <w:lvlText w:val="%1."/>
      <w:numFmt w:val="decimal"/>
      <w:start w:val="4"/>
    </w:lvl>
    <w:lvl w:ilvl="1">
      <w:lvlJc w:val="left"/>
      <w:lvlText w:val="%2"/>
      <w:numFmt w:val="lowerLetter"/>
      <w:start w:val="1"/>
    </w:lvl>
  </w:abstractNum>
  <w:abstractNum w:abstractNumId="75">
    <w:nsid w:val="6F6DD9AC"/>
    <w:multiLevelType w:val="hybridMultilevel"/>
    <w:lvl w:ilvl="0">
      <w:lvlJc w:val="left"/>
      <w:lvlText w:val="%1."/>
      <w:numFmt w:val="decimal"/>
      <w:start w:val="6"/>
    </w:lvl>
  </w:abstractNum>
  <w:abstractNum w:abstractNumId="76">
    <w:nsid w:val="94211F2"/>
    <w:multiLevelType w:val="hybridMultilevel"/>
    <w:lvl w:ilvl="0">
      <w:lvlJc w:val="left"/>
      <w:lvlText w:val="%1."/>
      <w:numFmt w:val="decimal"/>
      <w:start w:val="8"/>
    </w:lvl>
  </w:abstractNum>
  <w:abstractNum w:abstractNumId="77">
    <w:nsid w:val="885E1B"/>
    <w:multiLevelType w:val="hybridMultilevel"/>
    <w:lvl w:ilvl="0">
      <w:lvlJc w:val="left"/>
      <w:lvlText w:val="%1."/>
      <w:numFmt w:val="decimal"/>
      <w:start w:val="10"/>
    </w:lvl>
  </w:abstractNum>
  <w:abstractNum w:abstractNumId="78">
    <w:nsid w:val="76272110"/>
    <w:multiLevelType w:val="hybridMultilevel"/>
    <w:lvl w:ilvl="0">
      <w:lvlJc w:val="left"/>
      <w:lvlText w:val="%1."/>
      <w:numFmt w:val="decimal"/>
      <w:start w:val="14"/>
    </w:lvl>
  </w:abstractNum>
  <w:abstractNum w:abstractNumId="79">
    <w:nsid w:val="4C04A8AF"/>
    <w:multiLevelType w:val="hybridMultilevel"/>
    <w:lvl w:ilvl="0">
      <w:lvlJc w:val="left"/>
      <w:lvlText w:val="%1."/>
      <w:numFmt w:val="decimal"/>
      <w:start w:val="20"/>
    </w:lvl>
  </w:abstractNum>
  <w:abstractNum w:abstractNumId="80">
    <w:nsid w:val="1716703B"/>
    <w:multiLevelType w:val="hybridMultilevel"/>
    <w:lvl w:ilvl="0">
      <w:lvlJc w:val="left"/>
      <w:lvlText w:val="%1."/>
      <w:numFmt w:val="decimal"/>
      <w:start w:val="1"/>
    </w:lvl>
    <w:lvl w:ilvl="1">
      <w:lvlJc w:val="left"/>
      <w:lvlText w:val="•"/>
      <w:numFmt w:val="bullet"/>
      <w:start w:val="1"/>
    </w:lvl>
    <w:lvl w:ilvl="2">
      <w:lvlJc w:val="left"/>
      <w:lvlText w:val="(%3)"/>
      <w:numFmt w:val="decimal"/>
      <w:start w:val="20"/>
    </w:lvl>
  </w:abstractNum>
  <w:abstractNum w:abstractNumId="81">
    <w:nsid w:val="14E17E33"/>
    <w:multiLevelType w:val="hybridMultilevel"/>
    <w:lvl w:ilvl="0">
      <w:lvlJc w:val="left"/>
      <w:lvlText w:val="%1."/>
      <w:numFmt w:val="decimal"/>
      <w:start w:val="1"/>
    </w:lvl>
    <w:lvl w:ilvl="1">
      <w:lvlJc w:val="left"/>
      <w:lvlText w:val="•"/>
      <w:numFmt w:val="bullet"/>
      <w:start w:val="1"/>
    </w:lvl>
  </w:abstractNum>
  <w:abstractNum w:abstractNumId="82">
    <w:nsid w:val="3222E7CD"/>
    <w:multiLevelType w:val="hybridMultilevel"/>
    <w:lvl w:ilvl="0">
      <w:lvlJc w:val="left"/>
      <w:lvlText w:val="(%1)"/>
      <w:numFmt w:val="lowerRoman"/>
      <w:start w:val="1"/>
    </w:lvl>
  </w:abstractNum>
  <w:abstractNum w:abstractNumId="83">
    <w:nsid w:val="74DE0EE3"/>
    <w:multiLevelType w:val="hybridMultilevel"/>
    <w:lvl w:ilvl="0">
      <w:lvlJc w:val="left"/>
      <w:lvlText w:val="%1."/>
      <w:numFmt w:val="decimal"/>
      <w:start w:val="3"/>
    </w:lvl>
    <w:lvl w:ilvl="1">
      <w:lvlJc w:val="left"/>
      <w:lvlText w:val="%2."/>
      <w:numFmt w:val="lowerLetter"/>
      <w:start w:val="1"/>
    </w:lvl>
  </w:abstractNum>
  <w:abstractNum w:abstractNumId="84">
    <w:nsid w:val="68EBC550"/>
    <w:multiLevelType w:val="hybridMultilevel"/>
    <w:lvl w:ilvl="0">
      <w:lvlJc w:val="left"/>
      <w:lvlText w:val="%1."/>
      <w:numFmt w:val="decimal"/>
      <w:start w:val="5"/>
    </w:lvl>
  </w:abstractNum>
  <w:abstractNum w:abstractNumId="85">
    <w:nsid w:val="2DF6D648"/>
    <w:multiLevelType w:val="hybridMultilevel"/>
    <w:lvl w:ilvl="0">
      <w:lvlJc w:val="left"/>
      <w:lvlText w:val="%1."/>
      <w:numFmt w:val="decimal"/>
      <w:start w:val="6"/>
    </w:lvl>
  </w:abstractNum>
  <w:abstractNum w:abstractNumId="86">
    <w:nsid w:val="46B7D447"/>
    <w:multiLevelType w:val="hybridMultilevel"/>
    <w:lvl w:ilvl="0">
      <w:lvlJc w:val="left"/>
      <w:lvlText w:val="%1."/>
      <w:numFmt w:val="decimal"/>
      <w:start w:val="8"/>
    </w:lvl>
  </w:abstractNum>
  <w:abstractNum w:abstractNumId="87">
    <w:nsid w:val="4A2AC315"/>
    <w:multiLevelType w:val="hybridMultilevel"/>
    <w:lvl w:ilvl="0">
      <w:lvlJc w:val="left"/>
      <w:lvlText w:val="%1."/>
      <w:numFmt w:val="decimal"/>
      <w:start w:val="12"/>
    </w:lvl>
  </w:abstractNum>
  <w:abstractNum w:abstractNumId="88">
    <w:nsid w:val="39EE015C"/>
    <w:multiLevelType w:val="hybridMultilevel"/>
    <w:lvl w:ilvl="0">
      <w:lvlJc w:val="left"/>
      <w:lvlText w:val="%1."/>
      <w:numFmt w:val="decimal"/>
      <w:start w:val="15"/>
    </w:lvl>
  </w:abstractNum>
  <w:abstractNum w:abstractNumId="89">
    <w:nsid w:val="57FC4FBB"/>
    <w:multiLevelType w:val="hybridMultilevel"/>
    <w:lvl w:ilvl="0">
      <w:lvlJc w:val="left"/>
      <w:lvlText w:val="%1."/>
      <w:numFmt w:val="decimal"/>
      <w:start w:val="20"/>
    </w:lvl>
  </w:abstractNum>
  <w:abstractNum w:abstractNumId="90">
    <w:nsid w:val="CC1016F"/>
    <w:multiLevelType w:val="hybridMultilevel"/>
    <w:lvl w:ilvl="0">
      <w:lvlJc w:val="left"/>
      <w:lvlText w:val="%1."/>
      <w:numFmt w:val="decimal"/>
      <w:start w:val="2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0" Type="http://schemas.openxmlformats.org/officeDocument/2006/relationships/hyperlink" Target="https://www.sec.gov/Archives/edgar/data/1032033/000119312525017942/d912181dex41.htm" TargetMode="External"/><Relationship Id="rId141" Type="http://schemas.openxmlformats.org/officeDocument/2006/relationships/hyperlink" Target="https://www.sec.gov/Archives/edgar/data/1032033/000119312525017942/d91218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2025-04-24T15:49:14Z</dcterms:created>
  <dcterms:modified xsi:type="dcterms:W3CDTF">2025-04-24T15:49:14Z</dcterms:modified>
</cp:coreProperties>
</file>