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Turner Steven Allen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CONTINENTAL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SLM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EVP, Chief Tech. &amp; Enablement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gridSpan w:val="4"/>
          </w:tcPr>
          <w:p>
            <w:pPr>
              <w:ind w:left="160"/>
              <w:spacing w:after="0" w:line="187" w:lineRule="exact"/>
              <w:rPr>
                <w:sz w:val="20"/>
                <w:szCs w:val="20"/>
                <w:color w:val="auto"/>
              </w:rPr>
            </w:pPr>
            <w:r>
              <w:rPr>
                <w:rFonts w:ascii="Times New Roman" w:cs="Times New Roman" w:eastAsia="Times New Roman" w:hAnsi="Times New Roman"/>
                <w:sz w:val="17"/>
                <w:szCs w:val="17"/>
                <w:color w:val="0000FF"/>
              </w:rPr>
              <w:t>04/02/2026</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NEWARK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DE</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19713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6"/>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6"/>
          </w:tcPr>
          <w:p>
            <w:pPr>
              <w:ind w:left="1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29,438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54,652.675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long-term incentive award of restricted stock units ("RSUs") under the SLM Corporation 2021 Omnibus Incentive Plan, which is classified as "Common Stock," as permitted, since the RSUs will be settled solely by delivery of shares of SLM Corporation Common Stock. Subject to continuing employment, 55% of the RSUs vest on April 1, 2027, 35% of the RSUs vest on April 1, 2028, and 10% of the RSUs vest on April 1, 2029.</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Dividend Equivalent Units in connection with RSUs held by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53" w:lineRule="auto"/>
        <w:rPr>
          <w:sz w:val="20"/>
          <w:szCs w:val="20"/>
          <w:color w:val="auto"/>
        </w:rPr>
      </w:pPr>
      <w:r>
        <w:rPr>
          <w:rFonts w:ascii="Times New Roman" w:cs="Times New Roman" w:eastAsia="Times New Roman" w:hAnsi="Times New Roman"/>
          <w:sz w:val="13"/>
          <w:szCs w:val="13"/>
          <w:color w:val="008000"/>
        </w:rPr>
        <w:t>This Form 4 Amendment is being filed to correct an administrative error pertaining to the Form 4 filed with the SEC on April 2, 2026 for the reporting person. The amount of "Securities Acquired" in Box 4 was updated to reflect the intended amount of RSUs under the SLM Corporation 2021 Omnibus Incentive Plan awarded to the reporting person. In addition, the "Amount of Securities Beneficially Owned Following Reported Transaction(s)" in Box 5 was also updated to reflect the total number of shares beneficially owned by the reporting person following the receipt of such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Richard Nelson (POA) for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14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Steven Allen Turner</w:t>
            </w:r>
          </w:p>
        </w:tc>
        <w:tc>
          <w:tcPr>
            <w:tcW w:w="7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2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8705" TargetMode="External"/><Relationship Id="rId14" Type="http://schemas.openxmlformats.org/officeDocument/2006/relationships/hyperlink" Target="http://www.sec.gov/cgi-bin/browse-edgar?action=getcompany&amp;CIK=00010320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2026-06-18T15:11:16Z</dcterms:created>
  <dcterms:modified xsi:type="dcterms:W3CDTF">2026-06-18T15:11:16Z</dcterms:modified>
</cp:coreProperties>
</file>