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2244.xml.htm"/>
      <w:bookmarkStart w:id="1" w:name="kswkform4_17897622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Lavelle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89"/>
        <w:gridCol w:w="454"/>
        <w:gridCol w:w="617"/>
        <w:gridCol w:w="1323"/>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1,038</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86,838.66</w:t>
            </w:r>
            <w:r>
              <w:rPr>
                <w:rFonts w:ascii="Times;serif" w:hAnsi="Times;serif"/>
                <w:color w:val="008000"/>
                <w:position w:val="7"/>
                <w:sz w:val="16"/>
                <w:sz w:val="20"/>
                <w:shd w:fill="FFFFFF" w:val="clear"/>
              </w:rPr>
              <w:t>(2)</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shares of SLM Corporation's Common Stock (the "Shares") received in lieu of the reporting person's quarterly cash retainer and respective committee fees. The per share value of the Shares was equal to the closing sales price per share as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Lipschutz (POA) for Mark L. Lavelle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0735"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3390</Characters>
  <CharactersWithSpaces>3950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