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SLM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001-13251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52-2013874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204"/>
        <w:spacing w:after="0"/>
        <w:rPr>
          <w:sz w:val="20"/>
          <w:szCs w:val="20"/>
          <w:color w:val="auto"/>
        </w:rPr>
      </w:pPr>
      <w:r>
        <w:rPr>
          <w:rFonts w:ascii="Times New Roman" w:cs="Times New Roman" w:eastAsia="Times New Roman" w:hAnsi="Times New Roman"/>
          <w:sz w:val="17"/>
          <w:szCs w:val="17"/>
          <w:b w:val="1"/>
          <w:bCs w:val="1"/>
          <w:color w:val="auto"/>
        </w:rPr>
        <w:t>300 Continental Drive Newark, Delaware</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19713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451-0200</w:t>
      </w:r>
    </w:p>
    <w:p>
      <w:pPr>
        <w:spacing w:after="0" w:line="2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$.20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SLM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Floating Rate Non-Cumulative Preferred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SLMBP</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Series B, par value $.20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1280" w:firstLine="440"/>
        <w:spacing w:after="0" w:line="282" w:lineRule="auto"/>
        <w:rPr>
          <w:sz w:val="20"/>
          <w:szCs w:val="20"/>
          <w:color w:val="auto"/>
        </w:rPr>
      </w:pPr>
      <w:r>
        <w:rPr>
          <w:rFonts w:ascii="Times New Roman" w:cs="Times New Roman" w:eastAsia="Times New Roman" w:hAnsi="Times New Roman"/>
          <w:sz w:val="18"/>
          <w:szCs w:val="18"/>
          <w:color w:val="auto"/>
        </w:rPr>
        <w:t>On May 15, 2026, SLM Corporation (the “Company”) closed an offering of $500,000,000 aggregate principal amount of 6.495% Fixed-to-Floating Rate Senior Notes due 2032 (the “Notes”) issued by the Company (the “Offering”).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have been registered under the Securities Act of 1933, as amended, pursuant to a registration statement on Form S-3 (File</w:t>
      </w:r>
    </w:p>
    <w:p>
      <w:pPr>
        <w:spacing w:after="0" w:line="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No. 333-281147) (the “Registration Statement”). The Company has filed with the SEC a prospectus supplement dated May 6, 2026, together with the accompanying prospectus dated July 31, 2024, relating to the offer and sale of the Notes.</w:t>
      </w:r>
    </w:p>
    <w:p>
      <w:pPr>
        <w:spacing w:after="0" w:line="18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Notes were issued under an indenture dated June 17, 2015 (the “Base Indenture”) with Deutsche Bank National Trust Company, as trustee, as supplemented by the fifth supplemental indenture dated May 15, 2026 (the “Supplemental Indenture,” and together with the Base Indenture, the “Indenture”). The Notes will mature on May 15, 2032 (the “Maturity Date”). During the period from and including May 15, 2026 to, but excluding May 15, 2031, the Notes will bear interest at the rate of 6.495% per annum. Such interest will be payable semi-annually, in arrears, on May 15 and November 15, of each year, beginning on November 15, 2026, and ending on May 15, 2031. During the period from, and including, May 15, 2031, to, but excluding, the Maturity Date, the Notes will bear interest at a floating rate per annum equal to the Benchmark plus 271 basis points, as determined in arrears by the Calculation Agent in the manner described in the Supplemental Indenture. Such interest will be payable quarterly, in arrears, on August 15, 2031, November 15, 2031, February 15, 2032 and the Maturity Date.</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Company may redeem the Notes, in whole or in part, at any time at the applicable redemption prices, as set forth in the Indenture. In addition, if the Company experiences certain change of control events with respect to the Notes, it must offer to purchase all or any part (equal to $2,000 or an integral multiple of $1,000 in excess thereof) of that holder’s Notes at a purchase price equal to 101% of the principal amount of Notes repurchased, plus accrued and unpaid interest, if any, to, but excluding, the date of purchase.</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to fund the purchase of the Company’s 3.125% senior notes due 2026 (the “2026 Notes”) together with accrued and unpaid interest, and the payment of related fees and expenses, pursuant to the tender offer announced by the Company (the “Tender Offer”). To the extent any net proceeds remain after the consummation of the Tender Offer, the Company intends to use such net proceeds to repay at their maturity any 2026 Notes that remain outstanding after the Tender Offer. In connection therewith, the Company expects to satisfy and discharge the indenture governing the 2026 Notes as it applies to the 2026 Notes.</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Indenture and the Notes does not purport to be complete and is qualified in its entirety by reference to the Supplemental Indenture and the form of the Notes, which are incorporated by reference into the Registration Statement and are attached to this Current Report on Form 8-K as Exhibit 4.1 and Exhibit 4.2, respectively, and the Base Indenture, which was previously incorporated by reference into the Registration Statement pursuant to Exhibit 4.3 to the Company’s Registration Statement on Form S-3ASR filed on July 31, 2024. A copy of the opinion of Davis Polk &amp; Wardwell LLP, special New York counsel to the Company, relating to the validity of the Notes, is incorporated by reference into the Registration Statement and is attached to this Current Report on Form 8-K as Exhibit 5.1; and a consent relating to such incorporation of such opinion is incorporated by reference into the Registration Statement and is attached to this Current Report on Form 8-K as Exhibit 23.1 by reference to its inclusion within Exhibit 5.1.</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On May 6, 2026, the Company entered into an underwriting agreement (the “Underwriting Agreement”) with J.P. Morgan Securities LLC and Barclays Capital Inc., as representatives of the several underwriters named therein, in connection with the Offering. The Underwriting Agreement includes the terms and conditions for the offering and sale of the Notes, indemnification and contribution obligations, and other terms and conditions customary in agreements of this type.</w:t>
      </w:r>
    </w:p>
    <w:p>
      <w:pPr>
        <w:spacing w:after="0" w:line="180"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Underwriting Agreement, which is incorporated by reference into the Registration Statement and is attached to this Current Report on Form 8-K as Exhibit 1.1.</w:t>
      </w:r>
    </w:p>
    <w:p>
      <w:pPr>
        <w:sectPr>
          <w:pgSz w:w="11900" w:h="16838" w:orient="portrait"/>
          <w:cols w:equalWidth="0" w:num="1">
            <w:col w:w="11020"/>
          </w:cols>
          <w:pgMar w:left="440" w:top="293"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1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Borders>
              <w:bottom w:val="single" w:sz="8" w:color="auto"/>
            </w:tcBorders>
            <w:gridSpan w:val="2"/>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4"/>
                <w:szCs w:val="24"/>
                <w:color w:val="auto"/>
              </w:rPr>
            </w:pPr>
          </w:p>
        </w:tc>
        <w:tc>
          <w:tcPr>
            <w:tcW w:w="9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Underwriting Agreement, dated May 6, 2026, among SLM Corporation, J.P. Morgan Securities LLC and Barclays Capital Inc., as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representatives of the several underwriters named therein</w:t>
            </w:r>
          </w:p>
        </w:tc>
        <w:tc>
          <w:tcPr>
            <w:tcW w:w="5220" w:type="dxa"/>
            <w:vAlign w:val="bottom"/>
            <w:tcBorders>
              <w:top w:val="single" w:sz="8" w:color="0000EE"/>
            </w:tcBorders>
            <w:gridSpan w:val="4"/>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4"/>
                <w:szCs w:val="24"/>
                <w:color w:val="auto"/>
              </w:rPr>
            </w:pPr>
          </w:p>
        </w:tc>
        <w:tc>
          <w:tcPr>
            <w:tcW w:w="95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Fifth Supplemental Indenture dated as of May 15, 2026, between SLM Corporation and Deutsche Bank National Trust Company, as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trustee</w:t>
            </w:r>
          </w:p>
        </w:tc>
        <w:tc>
          <w:tcPr>
            <w:tcW w:w="90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Fixed-to-Floating Rate Senior Note due 2032</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38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c>
          <w:tcPr>
            <w:tcW w:w="5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5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Davis Polk &amp; Wardwell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720" w:type="dxa"/>
            <w:vAlign w:val="bottom"/>
            <w:gridSpan w:val="6"/>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5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10544"/>
          </w:cols>
          <w:pgMar w:left="436" w:top="293" w:right="91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SLM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Peter M. Graham</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Co-President and 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SLM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 6.495% Fixed-to-Floating Rate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Representatives of the Underwriters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196" w:lineRule="auto"/>
        <w:rPr>
          <w:sz w:val="20"/>
          <w:szCs w:val="20"/>
          <w:color w:val="auto"/>
        </w:rPr>
      </w:pPr>
      <w:r>
        <w:rPr>
          <w:rFonts w:ascii="Times New Roman" w:cs="Times New Roman" w:eastAsia="Times New Roman" w:hAnsi="Times New Roman"/>
          <w:sz w:val="18"/>
          <w:szCs w:val="18"/>
          <w:color w:val="auto"/>
        </w:rPr>
        <w:t>745 7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260" w:firstLine="440"/>
        <w:spacing w:after="0" w:line="272" w:lineRule="auto"/>
        <w:rPr>
          <w:sz w:val="20"/>
          <w:szCs w:val="20"/>
          <w:color w:val="auto"/>
        </w:rPr>
      </w:pPr>
      <w:r>
        <w:rPr>
          <w:rFonts w:ascii="Times New Roman" w:cs="Times New Roman" w:eastAsia="Times New Roman" w:hAnsi="Times New Roman"/>
          <w:sz w:val="17"/>
          <w:szCs w:val="17"/>
          <w:color w:val="auto"/>
        </w:rPr>
        <w:t>SLM Corporation,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proposes, subject to the terms and conditions stated herein, to issue and sell to the several underwriters named in Schedule I hereto (each an “</w:t>
      </w:r>
      <w:r>
        <w:rPr>
          <w:rFonts w:ascii="Times New Roman" w:cs="Times New Roman" w:eastAsia="Times New Roman" w:hAnsi="Times New Roman"/>
          <w:sz w:val="17"/>
          <w:szCs w:val="17"/>
          <w:u w:val="single" w:color="auto"/>
          <w:color w:val="auto"/>
        </w:rPr>
        <w:t>Underwriter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Underwriters</w:t>
      </w:r>
      <w:r>
        <w:rPr>
          <w:rFonts w:ascii="Times New Roman" w:cs="Times New Roman" w:eastAsia="Times New Roman" w:hAnsi="Times New Roman"/>
          <w:sz w:val="17"/>
          <w:szCs w:val="17"/>
          <w:color w:val="auto"/>
        </w:rPr>
        <w:t>”), for whom J.P. Morgan Securities LLC and Barclays Capital Inc. are acting as representatives (the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an aggregate of $500,000,000 principal amount of the Company’s</w:t>
      </w:r>
    </w:p>
    <w:p>
      <w:pPr>
        <w:spacing w:after="0" w:line="2"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6.495% Fixed-to-Floating Rate Senior Notes due 2032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The Securities will be issued pursuant to an indenture, dated as of June 17, 2015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Deutsche Bank National Trust Company,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that certain First Supplemental Indenture, dated as of April 5, 2017 (the “</w:t>
      </w:r>
      <w:r>
        <w:rPr>
          <w:rFonts w:ascii="Times New Roman" w:cs="Times New Roman" w:eastAsia="Times New Roman" w:hAnsi="Times New Roman"/>
          <w:sz w:val="18"/>
          <w:szCs w:val="18"/>
          <w:u w:val="single" w:color="auto"/>
          <w:color w:val="auto"/>
        </w:rPr>
        <w:t>First Supplemental Indenture</w:t>
      </w:r>
      <w:r>
        <w:rPr>
          <w:rFonts w:ascii="Times New Roman" w:cs="Times New Roman" w:eastAsia="Times New Roman" w:hAnsi="Times New Roman"/>
          <w:sz w:val="18"/>
          <w:szCs w:val="18"/>
          <w:color w:val="auto"/>
        </w:rPr>
        <w:t>”), between the Company and the Trustee, as further supplemented by that certain Second Supplemental Indenture, dated as of October 29, 2020 (the “</w:t>
      </w:r>
      <w:r>
        <w:rPr>
          <w:rFonts w:ascii="Times New Roman" w:cs="Times New Roman" w:eastAsia="Times New Roman" w:hAnsi="Times New Roman"/>
          <w:sz w:val="18"/>
          <w:szCs w:val="18"/>
          <w:u w:val="single" w:color="auto"/>
          <w:color w:val="auto"/>
        </w:rPr>
        <w:t>Second Supplemental Indenture</w:t>
      </w:r>
      <w:r>
        <w:rPr>
          <w:rFonts w:ascii="Times New Roman" w:cs="Times New Roman" w:eastAsia="Times New Roman" w:hAnsi="Times New Roman"/>
          <w:sz w:val="18"/>
          <w:szCs w:val="18"/>
          <w:color w:val="auto"/>
        </w:rPr>
        <w:t>”), between the Company and the Trustee, as further supplemented by that certain Third Supplemental Indenture, dated as of November 1, 2021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between the Company and the Trustee, as further supplemented by that certain Fourth Supplemental Indenture, dated as of January 31, 2025 (the “</w:t>
      </w:r>
      <w:r>
        <w:rPr>
          <w:rFonts w:ascii="Times New Roman" w:cs="Times New Roman" w:eastAsia="Times New Roman" w:hAnsi="Times New Roman"/>
          <w:sz w:val="18"/>
          <w:szCs w:val="18"/>
          <w:u w:val="single" w:color="auto"/>
          <w:color w:val="auto"/>
        </w:rPr>
        <w:t>Fourth Supplemental Indenture</w:t>
      </w:r>
      <w:r>
        <w:rPr>
          <w:rFonts w:ascii="Times New Roman" w:cs="Times New Roman" w:eastAsia="Times New Roman" w:hAnsi="Times New Roman"/>
          <w:sz w:val="18"/>
          <w:szCs w:val="18"/>
          <w:color w:val="auto"/>
        </w:rPr>
        <w:t>”), between the Company and the Trustee, as further supplemented by that certain Fifth Supplemental Indenture, to be dated as of May 15, 2026 (the “</w:t>
      </w:r>
      <w:r>
        <w:rPr>
          <w:rFonts w:ascii="Times New Roman" w:cs="Times New Roman" w:eastAsia="Times New Roman" w:hAnsi="Times New Roman"/>
          <w:sz w:val="18"/>
          <w:szCs w:val="18"/>
          <w:u w:val="single" w:color="auto"/>
          <w:color w:val="auto"/>
        </w:rPr>
        <w:t>Fifth Supplemental Indenture</w:t>
      </w:r>
      <w:r>
        <w:rPr>
          <w:rFonts w:ascii="Times New Roman" w:cs="Times New Roman" w:eastAsia="Times New Roman" w:hAnsi="Times New Roman"/>
          <w:sz w:val="18"/>
          <w:szCs w:val="18"/>
          <w:color w:val="auto"/>
        </w:rPr>
        <w:t>”), between the Company and the Trustee. The Base Indenture, as supplemented by the First Supplemental Indenture, the Second Supplemental Indenture, the Third Supplemental Indenture, the Fourth Supplemental Indenture and the Fifth Supplemental Indenture, is referred to herein as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refers to all subsidiaries of the Company, including, without limitation, Sallie Mae Bank.</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left="184" w:hanging="184"/>
        <w:spacing w:after="0"/>
        <w:tabs>
          <w:tab w:leader="none" w:pos="1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represents and warrants to, and agrees with, each of the Underwriters that:</w:t>
      </w:r>
    </w:p>
    <w:p>
      <w:pPr>
        <w:spacing w:after="0" w:line="117" w:lineRule="exact"/>
        <w:rPr>
          <w:rFonts w:ascii="Times New Roman" w:cs="Times New Roman" w:eastAsia="Times New Roman" w:hAnsi="Times New Roman"/>
          <w:sz w:val="18"/>
          <w:szCs w:val="18"/>
          <w:color w:val="auto"/>
        </w:rPr>
      </w:pPr>
    </w:p>
    <w:p>
      <w:pPr>
        <w:ind w:left="4" w:firstLine="419"/>
        <w:spacing w:after="0" w:line="251" w:lineRule="auto"/>
        <w:tabs>
          <w:tab w:leader="none" w:pos="671"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“automatic shelf registration statement” as defined under Rule 405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on Form S-3 (File No. 333-281147) in respect of the Securities has been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knowledge of the Company,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w:t>
      </w:r>
      <w:r>
        <w:rPr>
          <w:rFonts w:ascii="Times New Roman" w:cs="Times New Roman" w:eastAsia="Times New Roman" w:hAnsi="Times New Roman"/>
          <w:sz w:val="18"/>
          <w:szCs w:val="18"/>
          <w:u w:val="single" w:color="auto"/>
          <w:color w:val="auto"/>
        </w:rPr>
        <w:t>Basic Prospectus</w:t>
      </w:r>
      <w:r>
        <w:rPr>
          <w:rFonts w:ascii="Times New Roman" w:cs="Times New Roman" w:eastAsia="Times New Roman" w:hAnsi="Times New Roman"/>
          <w:sz w:val="18"/>
          <w:szCs w:val="18"/>
          <w:color w:val="auto"/>
        </w:rPr>
        <w:t>”; any preliminary prospectus (including any preliminary prospectus supplement) relating to the Securities filed with the Commission pursuant to Rule 424(b) under the Act is hereinafter called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the various parts of such registration statement, including all exhibits thereto but excluding Form T-1 and including any prospectus supplement relating to the Securities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Basic Prospectus, as amended and supplemented immediately prior to the Applicable Time (as defined in Section 1(c) hereof), is hereinafter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the form of the final prospectus relating to the Securities filed with the Commission pursuant to Rule 424(b) under the Act in accordance with Section 5(a) hereof is hereinafter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Securities is hereinafter called an “</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4"/>
          </w:cols>
          <w:pgMar w:left="876" w:top="270" w:right="459" w:bottom="1440" w:gutter="0" w:footer="0" w:header="0"/>
        </w:sectPr>
      </w:pPr>
    </w:p>
    <w:bookmarkStart w:id="6" w:name="page7"/>
    <w:bookmarkEnd w:id="6"/>
    <w:p>
      <w:pPr>
        <w:ind w:right="80" w:firstLine="419"/>
        <w:spacing w:after="0" w:line="254"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Trust Indenture Act of 1939, as amended (the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expressly for use therein, it being understood and agreed that the only such information is that described as such in Section 9(b) hereof;</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is 2:30 p.m. (New York time) on the date of this Agreement; the Pricing Prospectus as supplemented by the final term sheet prepared and filed pursuant to Section 5(a) hereof, taken together (collectively, the “</w:t>
      </w:r>
      <w:r>
        <w:rPr>
          <w:rFonts w:ascii="Times New Roman" w:cs="Times New Roman" w:eastAsia="Times New Roman" w:hAnsi="Times New Roman"/>
          <w:sz w:val="18"/>
          <w:szCs w:val="18"/>
          <w:u w:val="single" w:color="auto"/>
          <w:color w:val="auto"/>
        </w:rPr>
        <w:t>Pricing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an Issuer Free Writing Prospectus in reliance upon and in conformity with information furnished in writing to the Company by an Underwriter expressly for use therein, it being understood and agreed that the only such information is that described as such in Section 9(b) hereof;</w:t>
      </w:r>
    </w:p>
    <w:p>
      <w:pPr>
        <w:spacing w:after="0" w:line="83" w:lineRule="exact"/>
        <w:rPr>
          <w:rFonts w:ascii="Times New Roman" w:cs="Times New Roman" w:eastAsia="Times New Roman" w:hAnsi="Times New Roman"/>
          <w:sz w:val="18"/>
          <w:szCs w:val="18"/>
          <w:color w:val="auto"/>
        </w:rPr>
      </w:pPr>
    </w:p>
    <w:p>
      <w:pPr>
        <w:ind w:right="40" w:firstLine="419"/>
        <w:spacing w:after="0" w:line="253"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necessary to make the statements therein, in the light of the circumstances under which they were made, not misleading;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expressly for use therein, it being understood and agreed that the only such information is that described as such in Section 9(b) hereof; and no such documents were filed with the Commission since the Commission’s close of business on the business day immediately prior to the date of this Agreement and prior to the execution of this Agreement, except as set forth on Schedule II(b) hereto;</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7" w:name="page8"/>
    <w:bookmarkEnd w:id="7"/>
    <w:p>
      <w:pPr>
        <w:ind w:left="4" w:firstLine="419"/>
        <w:spacing w:after="0" w:line="254" w:lineRule="auto"/>
        <w:tabs>
          <w:tab w:leader="none" w:pos="67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Registration Statement conforms, and the Prospectus and any further amendments or supplements to the Registration Statement and the Prospectus will conform, in all material respects to the requirements of the Act and the Trust Indenture Act and the rules and regulations of the Commission thereunder and do not and will not, as of the applicable effective date as to each part of the Registration Statement and as of the applicable filing date as to the Prospectus and any amendment or supplement 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expressly for use therein, it being understood and agreed that the only such information is that described as such in Section 9(b) hereof;</w:t>
      </w:r>
    </w:p>
    <w:p>
      <w:pPr>
        <w:spacing w:after="0" w:line="8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sustained since the date of the latest audited financial statements included or</w:t>
      </w:r>
    </w:p>
    <w:p>
      <w:pPr>
        <w:spacing w:after="0" w:line="27" w:lineRule="exact"/>
        <w:rPr>
          <w:rFonts w:ascii="Times New Roman" w:cs="Times New Roman" w:eastAsia="Times New Roman" w:hAnsi="Times New Roman"/>
          <w:sz w:val="18"/>
          <w:szCs w:val="18"/>
          <w:color w:val="auto"/>
        </w:rPr>
      </w:pPr>
    </w:p>
    <w:p>
      <w:pPr>
        <w:ind w:left="4"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change in the capital stock or long 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otherwise than as set forth or contemplated in the Pricing Prospectus;</w:t>
      </w:r>
    </w:p>
    <w:p>
      <w:pPr>
        <w:spacing w:after="0" w:line="80" w:lineRule="exact"/>
        <w:rPr>
          <w:rFonts w:ascii="Times New Roman" w:cs="Times New Roman" w:eastAsia="Times New Roman" w:hAnsi="Times New Roman"/>
          <w:sz w:val="18"/>
          <w:szCs w:val="18"/>
          <w:color w:val="auto"/>
        </w:rPr>
      </w:pPr>
    </w:p>
    <w:p>
      <w:pPr>
        <w:jc w:val="both"/>
        <w:ind w:left="4" w:right="240" w:firstLine="419"/>
        <w:spacing w:after="0" w:line="272" w:lineRule="auto"/>
        <w:tabs>
          <w:tab w:leader="none" w:pos="681"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Prospectus or such as (i) do not interfere with the use made and proposed to be made of such property by the Company and its subsidiaries or</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individually or in the aggregate, reasonably be expected to have a material adverse effect on the current or future financial position, stockholders’ equity or results of operations of the Company and its subsidiaries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any real property and buildings held under lease by the Company and its subsidiaries are held by them under valid, subsisting and enforceable leases except such as are described in the Pricing Prospectus or such as (i) do not interfere with the use made and proposed to be made of such property and buildings by the Company and its subsidiaries or (ii) could not, individually or in the aggregate, reasonably be expected to have a Material Adverse Effect;</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8" w:name="page9"/>
    <w:bookmarkEnd w:id="8"/>
    <w:p>
      <w:pPr>
        <w:ind w:right="60" w:firstLine="419"/>
        <w:spacing w:after="0" w:line="254"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has been duly incorporated or formed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would not, individually or in the aggregate, reasonably be expected to have a Material Adverse Effect; and Sallie Mae Bank is the only subsidiary of the Company that is a “significant subsidiary” (as such term is defined in Rule 1-02 of Regulation S-X promulgated by the Commission) of the Company and is a Utah industrial bank duly organized, validly existing and in good standing under the laws of the State of Utah;</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Pricing Prospectus, and all of the issued shares of capital stock of the Company have been duly and validly authorized and issued and are fully paid and non-assessable; and all of the issued shares of capital stock of each subsidiary of the Company have been duly and validly authorized and issued, are fully paid and non-assessable and (except for directors’ qualifying shares) are owned directly or indirectly by the Company, free and clear of all liens, encumbrances, equities or claims; and no subsidiary is currently prohibited, directly or indirectly, from paying any dividends to the Company, from making any other distribution on such subsidiary capital stock, from repaying to the Company any loans or advances to such subsidiary from the Company or from transferring any of such subsidiary’s property or assets to the Company or any other subsidiary of the Company except as described in or contemplated by the Pricing Prospectus and applicable banking laws and regulations;</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have been duly authorized by the Company and, when executed and authenticated in accordance with the provisions of the Indenture and delivered to and paid for by the Underwriters in accordance with this Agreement, will constitute valid and legally binding obligations of the Company, entitled to the benefits of the Indenture, and enforceable against the Company in accordance with their terms, subject, as to enforcement, to applicable bankruptcy, insolvency, reorganization, moratorium and other laws of general applicability relating to, or affecting, creditors’ rights and to general principles of equity, regardless of whether enforceability is considered in a proceeding at law or in equity (collectively,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the Indenture has been duly authorized by the Company and duly qualified under the Trust Indenture Act and, when the Fifth Supplemental Indenture has been executed and delivered by the Company and the Trustee, the Indenture will constitute a valid and legally binding instrument of the Company, enforceable in accordance with its terms, subject, as to enforcement, to the Enforceability Exceptions;</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and the Indenture will conform to the descriptions thereof in the Pricing Disclosure Package and the Prospectus;</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9" w:name="page10"/>
    <w:bookmarkEnd w:id="9"/>
    <w:p>
      <w:pPr>
        <w:ind w:firstLine="419"/>
        <w:spacing w:after="0" w:line="252"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 and sale of the Securities and the compliance by the Company with all of the provisions of the Securities, the Indenture and this Agreement and the consummation of the transactions herein and therein contemplated (a)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such as would not, individually or in the aggregate, reasonably be expected to have a Material Adverse Effect, nor (b) will such action result in any violation of (i) the provisions of the Certificate of Incorporation or By-laws of the Company, (ii) any statute, or (iii) any order, rule or regulation of any court or governmental agency or body having jurisdiction over the Company or any of its subsidiaries or any of their properties (including, without limitation, the Federal Deposit Insurance Corporation (the “</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except in the case of clause (b)(ii) and (b)(iii), any such violation as would not, individually or in the aggregate, reasonably be expected to have a Material Adverse Effect; and no consent, approval, authorization, order, registration or qualification of or with any such court or governmental agency or body (including, without limitation, the FDIC) is required for the issue and sale of the Securities or the consummation by the Company of the transactions contemplated by this Agreement or the Indenture except such as have been obtained under the Act, from the FDIC and under the Trust Indenture Act and such consents, approvals, authorizations, registrations or qualifications as may be required under state securities or Blue Sky laws in connection with the purchase and distribution of the Securities by the Underwriters;</w:t>
      </w:r>
    </w:p>
    <w:p>
      <w:pPr>
        <w:spacing w:after="0" w:line="87"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all necessary licenses, authorizations, consents and approvals and have made all necessary filings required under any applicable law, regulation or rule, and have obtained all necessary licenses, authorizations, consents and approvals from other persons (including, without limitation, the FDIC), in order to conduct their businesses, except where the absence of such license, authorization, consent or approval or filing would not, individually or in the aggregate, be reasonably expected to have a Material Adverse Effect; neither the Company nor any of its subsidiaries is in violation or default under, or has received notice of any proceedings relating to revocation or modification of any such license, authorization, consent, approval or filing or any federal, state, local or foreign law, regulation or rule or any decree, order or judgment applicable to the Company and its subsidiaries, except where such violation, default, revocation or modification would not, individually or in the aggregate, be reasonably expected to have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 in violation of its Certificate of Incorporation or By-laws, (ii) in default in the performance or observance of any obligation, covenant or condition contained in any indenture, mortgage, deed of trust, loan agreement, lease or other agreement or instrument to which it is a party or by which it or any of its properties may be bound or (iii) in violation of any law or statute or any decree, judgment, order, rule or regulation of any court or arbitrator or governmental or regulatory authority (including, without limitation, the FDIC), applicable to it or any of its properties, except, in the cases of clauses (ii) and (iii) above, for any such default or violation that would not, individually or in the aggregate, have a Material Adverse Effect;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firstLine="419"/>
        <w:spacing w:after="0" w:line="261"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statements set forth in the Pricing Prospectus and the Prospectus under the caption “Description of the Notes,” insofar as they purport to constitute a summary of the terms of the Securities, and under the caption “Material U.S. Federal Income Tax Consequences” and under the caption “Underwriting,” insofar as they purport to describe the provisions of the laws and documents referred to therein, are accurate and fair in all material respects;</w:t>
      </w:r>
    </w:p>
    <w:p>
      <w:pPr>
        <w:spacing w:after="0" w:line="71" w:lineRule="exact"/>
        <w:rPr>
          <w:rFonts w:ascii="Times New Roman" w:cs="Times New Roman" w:eastAsia="Times New Roman" w:hAnsi="Times New Roman"/>
          <w:sz w:val="18"/>
          <w:szCs w:val="18"/>
          <w:color w:val="auto"/>
        </w:rPr>
      </w:pPr>
    </w:p>
    <w:p>
      <w:pPr>
        <w:ind w:right="100" w:firstLine="419"/>
        <w:spacing w:after="0" w:line="255"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there are no legal or governmental proceedings or actions, suits, claims, investigations or proceedings pending or, to the Company’s knowledge, threatened or contemplated to which the Company or any of its subsidiaries or any of their respective directors or officers is or would be a party or of which any of their respective properties is or would be subject at law or in equity, before or by any federal, state, local or foreign governmental or regulatory commission, board, body, authority or agency (including, without limitation, the FDIC), or before or by any self-regulatory organization or other non-governmental regulatory authority (including, without limitation, NASDAQ), except any such action, suit, claim, investigation or proceeding which, if resolved adversely to the Company or any subsidiary would not, individually or in the aggregate, have a Material Adverse Effect;</w:t>
      </w:r>
    </w:p>
    <w:p>
      <w:pPr>
        <w:spacing w:after="0" w:line="80" w:lineRule="exact"/>
        <w:rPr>
          <w:rFonts w:ascii="Times New Roman" w:cs="Times New Roman" w:eastAsia="Times New Roman" w:hAnsi="Times New Roman"/>
          <w:sz w:val="18"/>
          <w:szCs w:val="18"/>
          <w:color w:val="auto"/>
        </w:rPr>
      </w:pPr>
    </w:p>
    <w:p>
      <w:pPr>
        <w:ind w:right="100" w:firstLine="419"/>
        <w:spacing w:after="0" w:line="266"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100" w:firstLine="419"/>
        <w:spacing w:after="0" w:line="255" w:lineRule="auto"/>
        <w:tabs>
          <w:tab w:leader="none" w:pos="6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 At the time of filing the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under the Act) made any offer relating to the Securities in reliance on the exemption of Rule 163 under the Act, the Company was a “well-known seasoned issuer” as defined in Rule 405 under the Act; and (ii) at the earliest time after the filing of the Registration Statement that the Company or another offering participant made a bona fide offer (within the meaning of Rule 164(h)(2) under the Act) of the Securities, the Company was not an “ineligible issuer” as defined in Rule 405 under the Act;</w:t>
      </w:r>
    </w:p>
    <w:p>
      <w:pPr>
        <w:spacing w:after="0" w:line="80" w:lineRule="exact"/>
        <w:rPr>
          <w:rFonts w:ascii="Times New Roman" w:cs="Times New Roman" w:eastAsia="Times New Roman" w:hAnsi="Times New Roman"/>
          <w:sz w:val="18"/>
          <w:szCs w:val="18"/>
          <w:color w:val="auto"/>
        </w:rPr>
      </w:pPr>
    </w:p>
    <w:p>
      <w:pPr>
        <w:ind w:right="80" w:firstLine="419"/>
        <w:spacing w:after="0" w:line="261" w:lineRule="auto"/>
        <w:tabs>
          <w:tab w:leader="none" w:pos="6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KPMG LLP, whose report on the consolidated financial statements of the Company and its subsidiaries is incorporated by reference in the Registration Statement, the Pricing Disclosure Package and the Prospectus, and who have audited the Company’s internal control over financial reporting and management’s assessment thereof, are independent public accountants as required by the Act and the rules and regulations of the Commission thereunder and by the rules of the Public Company Accounting Oversight Board;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right="160" w:firstLine="419"/>
        <w:spacing w:after="0" w:line="255"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on a consolidated basis,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and its subsidiaries’ internal control over financial reporting is effective and the Company is not aware of any material weaknesses in its and its subsidiaries’ internal control over financial reporting;</w:t>
      </w:r>
    </w:p>
    <w:p>
      <w:pPr>
        <w:spacing w:after="0" w:line="80"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and evaluates “disclosure controls and procedures” (as such term is defined in Rule 13a-15 and 14d-15 under the Exchange Act) and “internal control over financial reporting” (as such term is defined in Rule 13a-15 and 15d-15 under the Exchange Act); such disclosure controls and procedures are designed to ensure that material information relating to the Company, including its consolidated subsidiaries, is made known to the Company’s Chief Executive Officer and its Chief Financial Officer (or persons performing such functions) by others within those entities, and such disclosure controls and procedures are effective to perform the functions for which they were established; the Company’s independent auditors and the Audit Committee of the Board of Directors of the Company have been advised of: (i) all significant deficiencies, if any, in the design or operation of internal controls which could adversely affect the Company’s ability to record, process, summarize and report financial data and (ii) all fraud, if any, whether or not material, that involves management or other employees who have a role in the Company’s internal controls; all material weaknesses, if any, in internal controls have been identified to the Company’s independent auditors; all “significant deficiencies” and “material weaknesses” (as such terms are defined in Rule 1-02(a)(4) of Regulation S-X under the Act), if any, of the Company have been disclosed in the Registration Statement (excluding the exhibits thereto), the Pricing Prospectus and the Prospectus; since the date of the most recent evaluation of such disclosure controls and procedures and internal controls, there have been no significant changes in internal controls or in other factors that could significantly affect internal controls, including any corrective actions with regard to significant deficiencies and material weaknesses, if any; the principal executive and financial officers (or their equivalents) of the Company have made all certifications required by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any related rules and regulations promulgated by the Commission, and the statements contained in each such certification are complete and correct; the Company, its subsidiaries and the Company’s directors and officers are each in compliance in all material respects with all applicable effective provisions of the Sarbanes-Oxley Act and the rules and regulations of the Commission and NASDAQ promulgated thereunder;</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20"/>
          </w:cols>
          <w:pgMar w:left="880" w:top="270" w:right="499" w:bottom="1440" w:gutter="0" w:footer="0" w:header="0"/>
        </w:sectPr>
      </w:pPr>
    </w:p>
    <w:bookmarkStart w:id="12" w:name="page13"/>
    <w:bookmarkEnd w:id="12"/>
    <w:p>
      <w:pPr>
        <w:ind w:right="20" w:firstLine="419"/>
        <w:spacing w:after="0" w:line="256" w:lineRule="auto"/>
        <w:tabs>
          <w:tab w:leader="none" w:pos="7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and statistical data included in the Registration Statement, the Pricing Disclosure Package and the Prospectus present fairly the financial position of the Company and its subsidiaries as of the dates shown and their results of operations and cash flows for the periods shown, and such financial statements have been prepared in compliance with the Act and the Exchange Act and in conformity with the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and any schedules included in the Registration Statement present fairly the information required to be stated therein. All non-GAAP financial information included in the Registration Statement, if any, complies with the requirements of Item 10 of Regulation S-K under the Securities Act;</w:t>
      </w:r>
    </w:p>
    <w:p>
      <w:pPr>
        <w:spacing w:after="0" w:line="79" w:lineRule="exact"/>
        <w:rPr>
          <w:rFonts w:ascii="Times New Roman" w:cs="Times New Roman" w:eastAsia="Times New Roman" w:hAnsi="Times New Roman"/>
          <w:sz w:val="18"/>
          <w:szCs w:val="18"/>
          <w:color w:val="auto"/>
        </w:rPr>
      </w:pPr>
    </w:p>
    <w:p>
      <w:pPr>
        <w:ind w:firstLine="419"/>
        <w:spacing w:after="0" w:line="269" w:lineRule="auto"/>
        <w:tabs>
          <w:tab w:leader="none" w:pos="67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to the knowledge of the Company, any director, officer, agent, employee,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w:t>
      </w:r>
    </w:p>
    <w:p>
      <w:pPr>
        <w:spacing w:after="0" w:line="70" w:lineRule="exact"/>
        <w:rPr>
          <w:rFonts w:ascii="Times New Roman" w:cs="Times New Roman" w:eastAsia="Times New Roman" w:hAnsi="Times New Roman"/>
          <w:sz w:val="17"/>
          <w:szCs w:val="17"/>
          <w:color w:val="auto"/>
        </w:rPr>
      </w:pPr>
    </w:p>
    <w:p>
      <w:pPr>
        <w:ind w:right="40" w:firstLine="419"/>
        <w:spacing w:after="0" w:line="255"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80" w:lineRule="exact"/>
        <w:rPr>
          <w:rFonts w:ascii="Times New Roman" w:cs="Times New Roman" w:eastAsia="Times New Roman" w:hAnsi="Times New Roman"/>
          <w:sz w:val="18"/>
          <w:szCs w:val="18"/>
          <w:color w:val="auto"/>
        </w:rPr>
      </w:pPr>
    </w:p>
    <w:p>
      <w:pPr>
        <w:ind w:right="160" w:firstLine="419"/>
        <w:spacing w:after="0" w:line="258" w:lineRule="auto"/>
        <w:tabs>
          <w:tab w:leader="none" w:pos="66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any of its subsidiaries located, organized or resident in a country or territory that is the subject or target of Sanctions, including, without limitation, each of the so-called Donetsk People’s Republic and Luhansk People’s Republic, the non-government controlled areas of the Zaporizhzhia and Kherson regions and the Crimea region of Ukraine, Cuba, Iran, North Korea and Syria (with respect to Syria only until July 1, 2025) (each, a “</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initial purchaser, advisor, investor or otherwise) of Sanctions. Since April 24, 2019, the Company and its subsidiaries have not knowingly engaged in, are not now knowingly engaged in any dealings or transactions with any person that at the time of the dealing or transaction is or was the subject or the target of Sanctions or with any Sanctioned Country;</w:t>
      </w:r>
    </w:p>
    <w:p>
      <w:pPr>
        <w:spacing w:after="0" w:line="84" w:lineRule="exact"/>
        <w:rPr>
          <w:sz w:val="20"/>
          <w:szCs w:val="20"/>
          <w:color w:val="auto"/>
        </w:rPr>
      </w:pPr>
    </w:p>
    <w:p>
      <w:pPr>
        <w:ind w:right="40" w:firstLine="419"/>
        <w:spacing w:after="0" w:line="272" w:lineRule="auto"/>
        <w:tabs>
          <w:tab w:leader="none" w:pos="74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(i) are in compliance with any and all applicable federal, state, local and foreign laws, rules, regulations, requirements, decisions and orders relating to the protection of human health and safety, the environment or hazardous or toxic substances or wastes, pollutants, contaminants (collectively, “</w:t>
      </w: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(ii) have received and are in compliance with all permits, licenses, certificates or other authorizations or approvals required of them under applicable Environmental Laws to conduct their respective businesses; and (iii) have not received notice of any actual or potential liability for the investigation or remediation of any disposal or release of hazardous or toxic substances or wastes, pollutants or contaminants; and there are no costs or liabilities associated with Environmental Laws of or relating to the Company or its subsidiaries, except in each case above, for any such failure to comply, or failure to receive required permits, licenses or approvals, or cost or liability, as would not, individually or in the aggregate, reasonably be expected to have a Material Adverse Effect.</w:t>
      </w:r>
    </w:p>
    <w:p>
      <w:pPr>
        <w:spacing w:after="0" w:line="63" w:lineRule="exact"/>
        <w:rPr>
          <w:rFonts w:ascii="Times New Roman" w:cs="Times New Roman" w:eastAsia="Times New Roman" w:hAnsi="Times New Roman"/>
          <w:sz w:val="17"/>
          <w:szCs w:val="17"/>
          <w:color w:val="auto"/>
        </w:rPr>
      </w:pPr>
    </w:p>
    <w:p>
      <w:pPr>
        <w:ind w:right="20" w:firstLine="419"/>
        <w:spacing w:after="0" w:line="254" w:lineRule="auto"/>
        <w:tabs>
          <w:tab w:leader="none" w:pos="7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Except as would not, singly or in the aggregate, reasonably be expected to have a Material Adverse Effect, (i)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used in connection with their businesses, and (ii) there have been no breaches, violations, outages</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left="440"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unauthorized uses of or accesses to the same, except for those that have been remedied without material cost or liability or the duty to notify any other person, nor any incidents under internal review or investigations relating to the same. Except as would not, singly or in the aggregate, reasonably be expected to have a Material Adverse Effect, the Company and its subsidiaries are presently in compliance with all applicable laws or statutes and all applicable judgments, orders, rules and regulations of any court or arbitrator or governmental or regulatory authority, internal policies and contractual obligations relating to (A) machine learning or other artificial intelligence technologies, (B) the privacy and security of IT Systems and Personal Data, and (C) the protection of such IT Systems and Personal Data from unauthorized use, access, misappropriation or modification.</w:t>
      </w:r>
    </w:p>
    <w:p>
      <w:pPr>
        <w:spacing w:after="0" w:line="189" w:lineRule="exact"/>
        <w:rPr>
          <w:sz w:val="20"/>
          <w:szCs w:val="20"/>
          <w:color w:val="auto"/>
        </w:rPr>
      </w:pPr>
    </w:p>
    <w:p>
      <w:pPr>
        <w:ind w:right="180" w:firstLine="436"/>
        <w:spacing w:after="0" w:line="261"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the Company agrees to issue and sell to each of the Underwriters, and each of the Underwriters agrees, severally and not jointly, to purchase from the Company, at a purchase price of 99.000% of the principal amount thereof, plus accrued interest, if any, from May 15, 2026 to the Time of Delivery (as defined below) hereunder, the principal amount of Securities set forth opposite the name of such Underwriter in Schedule I hereto.</w:t>
      </w:r>
    </w:p>
    <w:p>
      <w:pPr>
        <w:spacing w:after="0" w:line="179" w:lineRule="exact"/>
        <w:rPr>
          <w:rFonts w:ascii="Times New Roman" w:cs="Times New Roman" w:eastAsia="Times New Roman" w:hAnsi="Times New Roman"/>
          <w:sz w:val="18"/>
          <w:szCs w:val="18"/>
          <w:color w:val="auto"/>
        </w:rPr>
      </w:pPr>
    </w:p>
    <w:p>
      <w:pPr>
        <w:ind w:right="260" w:firstLine="436"/>
        <w:spacing w:after="0" w:line="282"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authorization by the Underwriters of the release of the Securities, the Underwriters propose to offer the Securities for sale upon the terms and conditions set forth in the Prospectus.</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Securities to be purchased by each Underwriter will be represented by one or more definitive global securities in book-entry form which will be deposited by or on behalf of the Company with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or its designated custodian. The Company will deliver the Securities to J.P. Morgan Securities LLC, for the account of each Underwriter, against payment by or on behalf of such Underwriter of the purchase price therefor by wire transfer of Federal (same-day) funds to the account(s) specified by the Company to J.P. Morgan Securities LLC at least 48 hours in advance, by causing DTC to credit the Securities to the account of J.P. Morgan Securities LLC at DTC. The Company will cause the certificates representing the Securities to be made available to J.P. Morgan Securities LLC for checking at least 24 hours prior to the Time of Delivery (as defined below) at the office of DTC or its designated custodian (the “</w:t>
      </w:r>
      <w:r>
        <w:rPr>
          <w:rFonts w:ascii="Times New Roman" w:cs="Times New Roman" w:eastAsia="Times New Roman" w:hAnsi="Times New Roman"/>
          <w:sz w:val="18"/>
          <w:szCs w:val="18"/>
          <w:u w:val="single" w:color="auto"/>
          <w:color w:val="auto"/>
        </w:rPr>
        <w:t>Designated Office</w:t>
      </w:r>
      <w:r>
        <w:rPr>
          <w:rFonts w:ascii="Times New Roman" w:cs="Times New Roman" w:eastAsia="Times New Roman" w:hAnsi="Times New Roman"/>
          <w:sz w:val="18"/>
          <w:szCs w:val="18"/>
          <w:color w:val="auto"/>
        </w:rPr>
        <w:t>”). The time and date of such delivery and payment shall be 9:30 a.m., New York City time, on May 15, 2026 or such other time and date as J.P. Morgan Securities LLC and the Company may agree upon in writing. Such time and date are herein called the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6"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to be delivered at the Time of Delivery by or on behalf of the parties hereto pursuant to Section 8 hereof, including the cross-receipt for the Securities and any additional documents reasonably requested by the Representatives pursuant to Section 8(j) hereof, will be delivered at the offices of Simpson Thacher &amp; Bartlett LLP, 425 Lexington Avenue, New York, New York 10017 (the “</w:t>
      </w:r>
      <w:r>
        <w:rPr>
          <w:rFonts w:ascii="Times New Roman" w:cs="Times New Roman" w:eastAsia="Times New Roman" w:hAnsi="Times New Roman"/>
          <w:sz w:val="18"/>
          <w:szCs w:val="18"/>
          <w:u w:val="single" w:color="auto"/>
          <w:color w:val="auto"/>
        </w:rPr>
        <w:t>Closing Location</w:t>
      </w:r>
      <w:r>
        <w:rPr>
          <w:rFonts w:ascii="Times New Roman" w:cs="Times New Roman" w:eastAsia="Times New Roman" w:hAnsi="Times New Roman"/>
          <w:sz w:val="18"/>
          <w:szCs w:val="18"/>
          <w:color w:val="auto"/>
        </w:rPr>
        <w:t>”), and the Securities will be delivered at the Designated Office, all at the Time of Delivery. A meeting will be held at the Closing Location at 4:00 p.m., New York City time, on the New York Business Day next preceding the Time of Delivery, at which meeting the final drafts of the documents to be delivered pursuant to the preceding sentence will be available for review by the parties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5" w:name="page16"/>
    <w:bookmarkEnd w:id="15"/>
    <w:p>
      <w:pPr>
        <w:ind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this Section 4, “</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shall mean each Monday, Tuesday, Wednesday, Thursday and Friday that is not a day on which banking institutions in New York City are generally authorized or obligated by law or executive order to close.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 The Company agrees with each of the Underwriters:</w:t>
      </w:r>
    </w:p>
    <w:p>
      <w:pPr>
        <w:spacing w:after="0" w:line="225" w:lineRule="exact"/>
        <w:rPr>
          <w:sz w:val="20"/>
          <w:szCs w:val="20"/>
          <w:color w:val="auto"/>
        </w:rPr>
      </w:pPr>
    </w:p>
    <w:p>
      <w:pPr>
        <w:ind w:firstLine="436"/>
        <w:spacing w:after="0" w:line="267" w:lineRule="auto"/>
        <w:tabs>
          <w:tab w:leader="none" w:pos="68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prepare the Prospectus in a form approved by the Representatives and to file such Prospectus pursuant to Rule 424(b) under the Act not later than the Commission’s close of business on the second business day following the date of this Agreement; to make no further amendment or any supplement to the Registration Statement, the Basic Prospectus or the Prospectus prior to the Time of Delivery which shall be reasonably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Prospectus has been filed and to furnish the Representatives with copies thereof; to prepare a final term sheet, containing solely a description of the Securities, in a form reasonably satisfactory to the Representatives and to file such term sheet pursuant to Rule 433(d) under the Act within the time required by such Rule; to file all other material required to be filed by the Company with the Commission pursuant to Rule 433(d) under the Act within the time required by such rule; to file within the applicable time periods specified by the Exchange Act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the Representatives promptly after it receives notice thereof, of the issuance by the Commission of any stop order or of any order preventing or suspending the use of any Preliminary Prospectus or other prospectus in respect of the Securities, of any notice of objection of the Commission to the use of the Registration Statement or any post-effective amendment thereto pursuant to Rule 401(g)(2) under the Act, of the suspension of the qualification of the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reasonable best efforts to obtain the withdrawal of such order; and in the event of any such issuance of a notice of objection, promptly to take such steps including, without limitation, amending the Registration Statement or filing a new registration statement, at its own expense, as may be reasonably necessary to permit offers and sales of the Securities by the Underwriters (references herein to the Registration Statement shall include any such amendment or new registration statement);</w:t>
      </w:r>
    </w:p>
    <w:p>
      <w:pPr>
        <w:spacing w:after="0" w:line="200" w:lineRule="exact"/>
        <w:rPr>
          <w:rFonts w:ascii="Times New Roman" w:cs="Times New Roman" w:eastAsia="Times New Roman" w:hAnsi="Times New Roman"/>
          <w:sz w:val="17"/>
          <w:szCs w:val="17"/>
          <w:color w:val="auto"/>
        </w:rPr>
      </w:pPr>
    </w:p>
    <w:p>
      <w:pPr>
        <w:spacing w:after="0" w:line="202" w:lineRule="exact"/>
        <w:rPr>
          <w:rFonts w:ascii="Times New Roman" w:cs="Times New Roman" w:eastAsia="Times New Roman" w:hAnsi="Times New Roman"/>
          <w:sz w:val="17"/>
          <w:szCs w:val="17"/>
          <w:color w:val="auto"/>
        </w:rPr>
      </w:pPr>
    </w:p>
    <w:p>
      <w:pPr>
        <w:ind w:right="100" w:firstLine="436"/>
        <w:spacing w:after="0" w:line="266" w:lineRule="auto"/>
        <w:tabs>
          <w:tab w:leader="none" w:pos="6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Rule 430B(h) under the Act, to prepare a form of prospectus in a form approved by the Representatives and to file such form of prospectus pursuant to Rule 424(b) under the Act not later than may be required by Rule 424(b) under the Act; and to make no further amendment or supplement to such form of prospectus which shall be disapproved by the Representatives promptly after reasonable notice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6" w:name="page17"/>
    <w:bookmarkEnd w:id="16"/>
    <w:p>
      <w:pPr>
        <w:ind w:right="260" w:firstLine="436"/>
        <w:spacing w:after="0" w:line="281" w:lineRule="auto"/>
        <w:tabs>
          <w:tab w:leader="none" w:pos="68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take such action as the Representatives may reasonably request to qualify the Securities for offering and sale under the securities laws of such jurisdictions as the Representatives may reasonably request and to comply with such laws so as to permit the continuance of sales and dealings therein in such jurisdictions for as long as may be reasonably necessary to complete the distribution of the Securities, provided that in connection therewith the Company shall not be required to qualify as a foreign corporation or to file a general consent to service of process in any jurisdiction;</w:t>
      </w:r>
    </w:p>
    <w:p>
      <w:pPr>
        <w:spacing w:after="0" w:line="164"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and from time to time, to furnish the Underwriters with written and electronic copies of the Prospectus in New York City in such quantities as the Underwriters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the Representatives and upon their request to file such document and to prepare and furnish without charge to each Underwriter and to any dealer in securities as many written and electronic copies as they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the request of such Underwriter but at the expense of such Underwriter, to prepare and deliver to such Underwriter as many written and electronic copies as it may reasonably request of an amended or supplemented Prospectus complying with Section 10(a)(3) of the Act;</w:t>
      </w:r>
    </w:p>
    <w:p>
      <w:pPr>
        <w:spacing w:after="0" w:line="195"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79" w:lineRule="exact"/>
        <w:rPr>
          <w:rFonts w:ascii="Times New Roman" w:cs="Times New Roman" w:eastAsia="Times New Roman" w:hAnsi="Times New Roman"/>
          <w:sz w:val="18"/>
          <w:szCs w:val="18"/>
          <w:color w:val="auto"/>
        </w:rPr>
      </w:pPr>
    </w:p>
    <w:p>
      <w:pPr>
        <w:ind w:right="360" w:firstLine="436"/>
        <w:spacing w:after="0" w:line="261"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from the date hereof and continuing to and including the Time of Delivery, not to 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Securities, or publicly disclose the intention to make any such offer, sale, pledge, disposition or filing;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7" w:name="page18"/>
    <w:bookmarkEnd w:id="17"/>
    <w:p>
      <w:pPr>
        <w:ind w:right="140" w:firstLine="436"/>
        <w:spacing w:after="0" w:line="282"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pay the required Commission filing fees relating to the Securities within the time required by Rule 456(b)(1) under the Act without regard to the proviso therein and otherwise in accordance with Rules 456(b) and 457(r) under the Act; and</w:t>
      </w:r>
    </w:p>
    <w:p>
      <w:pPr>
        <w:spacing w:after="0" w:line="161" w:lineRule="exact"/>
        <w:rPr>
          <w:rFonts w:ascii="Times New Roman" w:cs="Times New Roman" w:eastAsia="Times New Roman" w:hAnsi="Times New Roman"/>
          <w:sz w:val="18"/>
          <w:szCs w:val="18"/>
          <w:color w:val="auto"/>
        </w:rPr>
      </w:pPr>
    </w:p>
    <w:p>
      <w:pPr>
        <w:ind w:right="660" w:firstLine="436"/>
        <w:spacing w:after="0" w:line="282"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it from the sale of the Securities pursuant to this Agreement in the manner specified in the Pricing Prospectus under the caption “Use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jc w:val="both"/>
        <w:ind w:right="20" w:firstLine="436"/>
        <w:spacing w:after="0" w:line="266" w:lineRule="auto"/>
        <w:tabs>
          <w:tab w:leader="none" w:pos="6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represents and agrees that, other than the final term sheet prepared and filed pursuant to Section 5(a) hereof, without the prior consent of the Representatives, it has not made and will not make any offer relating to the Securities that would constitute a “free writing prospectus” as defined in Rule 405 under the Act;</w:t>
      </w:r>
    </w:p>
    <w:p>
      <w:pPr>
        <w:spacing w:after="0" w:line="176" w:lineRule="exact"/>
        <w:rPr>
          <w:sz w:val="20"/>
          <w:szCs w:val="20"/>
          <w:color w:val="auto"/>
        </w:rPr>
      </w:pPr>
    </w:p>
    <w:p>
      <w:pPr>
        <w:ind w:right="80" w:firstLine="436"/>
        <w:spacing w:after="0" w:line="266" w:lineRule="auto"/>
        <w:tabs>
          <w:tab w:leader="none" w:pos="7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represents and agrees that, without the prior consent of the Company and each other Underwriter, other than one or more term sheets relating to the Securities containing customary information and conveyed to purchasers of Securities, it has not made and will not make any offer relating to the Securities that would constitute a free writing prospectus; and</w:t>
      </w:r>
    </w:p>
    <w:p>
      <w:pPr>
        <w:spacing w:after="0" w:line="175" w:lineRule="exact"/>
        <w:rPr>
          <w:rFonts w:ascii="Times New Roman" w:cs="Times New Roman" w:eastAsia="Times New Roman" w:hAnsi="Times New Roman"/>
          <w:sz w:val="18"/>
          <w:szCs w:val="18"/>
          <w:color w:val="auto"/>
        </w:rPr>
      </w:pPr>
    </w:p>
    <w:p>
      <w:pPr>
        <w:ind w:right="220" w:firstLine="436"/>
        <w:spacing w:after="0" w:line="312" w:lineRule="auto"/>
        <w:tabs>
          <w:tab w:leader="none" w:pos="7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Underwriters acknowledge that any such free writing prospectus the use of which has been consented to by the Company and the Representatives (including the final term sheet prepared and filed pursuant to Section 5(a) hereof) is listed on Schedule II(a) hereto;</w:t>
      </w:r>
    </w:p>
    <w:p>
      <w:pPr>
        <w:spacing w:after="0" w:line="140" w:lineRule="exact"/>
        <w:rPr>
          <w:sz w:val="20"/>
          <w:szCs w:val="20"/>
          <w:color w:val="auto"/>
        </w:rPr>
      </w:pPr>
    </w:p>
    <w:p>
      <w:pPr>
        <w:ind w:right="820" w:firstLine="436"/>
        <w:spacing w:after="0" w:line="282"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and will comply with the requirements of Rule 433 under the Act applicable to any Issuer Free Writing Prospectus, including timely filing with the Commission or retention where required and legending; and</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reasonably requested by any Representative, will prepare and furnish without charge to each Underwriter an Issuer Free Writing Prospectus or other document which will correct such conflict, statement or omission; provided, however, that this representation and warranty shall not apply to any statements or omissions in an Issuer Free Writing Prospectus made in reliance upon and in conformity with information furnished in writing to the Company by an Underwriter expressly for use therein, it being understood and agreed that the only such information is that described as such in Section 9(b) 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18" w:name="page19"/>
    <w:bookmarkEnd w:id="18"/>
    <w:p>
      <w:pPr>
        <w:ind w:left="624" w:hanging="184"/>
        <w:spacing w:after="0"/>
        <w:tabs>
          <w:tab w:leader="none" w:pos="62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covenants and agrees with the Underwriters that the Company will pay or cause to be paid the following: (i) the fees,</w:t>
      </w:r>
    </w:p>
    <w:p>
      <w:pPr>
        <w:spacing w:after="0" w:line="27" w:lineRule="exact"/>
        <w:rPr>
          <w:rFonts w:ascii="Times New Roman" w:cs="Times New Roman" w:eastAsia="Times New Roman" w:hAnsi="Times New Roman"/>
          <w:sz w:val="18"/>
          <w:szCs w:val="18"/>
          <w:color w:val="auto"/>
        </w:rPr>
      </w:pPr>
    </w:p>
    <w:p>
      <w:pPr>
        <w:ind w:left="4"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and expenses of the Company’s counsel, accountants and other advisors to the Company and in connection with the registration of the Securities under the Act and all other expenses in connection with the preparation, printing, reproduction and filing of the Registration Statement, the Basic Prospectus, any Preliminary Prospectus, any Issuer Free Writing Prospectus and the Prospectus and amendments and supplements thereto and the mailing and delivering of copies thereof to the Underwriters and dealers; (ii) the cost of printing or producing the Indenture,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5(c) hereof;</w:t>
      </w:r>
    </w:p>
    <w:p>
      <w:pPr>
        <w:spacing w:after="0" w:line="2"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charged by securities rating services for rating the Securities; (v) the cost of preparing the Securities; (vi) the fees and expenses of the</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any agent of the Trustee and the fees and disbursements of counsel for the Trustee in connection with the Indenture and the Securities; and</w:t>
      </w:r>
    </w:p>
    <w:p>
      <w:pPr>
        <w:spacing w:after="0" w:line="9" w:lineRule="exact"/>
        <w:rPr>
          <w:rFonts w:ascii="Times New Roman" w:cs="Times New Roman" w:eastAsia="Times New Roman" w:hAnsi="Times New Roman"/>
          <w:sz w:val="18"/>
          <w:szCs w:val="18"/>
          <w:color w:val="auto"/>
        </w:rPr>
      </w:pPr>
    </w:p>
    <w:p>
      <w:pPr>
        <w:ind w:left="4" w:right="40" w:hanging="4"/>
        <w:spacing w:after="0" w:line="253" w:lineRule="auto"/>
        <w:tabs>
          <w:tab w:leader="none" w:pos="3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costs and expenses of the Company incident to the performance of its obligations hereunder which are not otherwise specifically provided for in this Section. It is understood, however, that, except as provided in this Section 7 and Sections 9 and 12 hereof, each Underwriter will pay all of their own costs and expenses, including the fees of their counsel, transfer taxes on resale of any of the Securities by them, and any advertising expenses connected with any offers they may make.</w:t>
      </w:r>
    </w:p>
    <w:p>
      <w:pPr>
        <w:spacing w:after="0" w:line="188" w:lineRule="exact"/>
        <w:rPr>
          <w:rFonts w:ascii="Times New Roman" w:cs="Times New Roman" w:eastAsia="Times New Roman" w:hAnsi="Times New Roman"/>
          <w:sz w:val="18"/>
          <w:szCs w:val="18"/>
          <w:color w:val="auto"/>
        </w:rPr>
      </w:pPr>
    </w:p>
    <w:p>
      <w:pPr>
        <w:ind w:left="4" w:firstLine="436"/>
        <w:spacing w:after="0" w:line="266" w:lineRule="auto"/>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shall be subject, in their discretion, to the condition that all representations and warranties and other statements of the Company herein are, at and as of the Time of Delivery, true and correct, the condition that the Company shall have performed all of its obligations hereunder theretofore to be performed, and the following additional conditions:</w:t>
      </w:r>
    </w:p>
    <w:p>
      <w:pPr>
        <w:spacing w:after="0" w:line="176" w:lineRule="exact"/>
        <w:rPr>
          <w:sz w:val="20"/>
          <w:szCs w:val="20"/>
          <w:color w:val="auto"/>
        </w:rPr>
      </w:pPr>
    </w:p>
    <w:p>
      <w:pPr>
        <w:ind w:left="4" w:right="40" w:firstLine="436"/>
        <w:spacing w:after="0" w:line="254" w:lineRule="auto"/>
        <w:tabs>
          <w:tab w:leader="none" w:pos="6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the final term sheet contemplated by Section 5(a) hereof, and any other material required to be filed by the Company pursuant to Rule 433(d) under the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Time of Delivery, the Company shall have furnished to the Representatives a certificate, dated the respective dates of delivery thereof and addressed to the Underwriters, of its chief financial officer with respect to certain financial data contained in the Pricing Disclosure Package, providing “management comfort” with respect to such information, in form and substance reasonably satisfactory to the Representatives.</w:t>
      </w:r>
    </w:p>
    <w:p>
      <w:pPr>
        <w:spacing w:after="0" w:line="179"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Simpson Thacher &amp; Bartlett LLP, counsel for the Underwriters, shall have furnished to the Underwriters such written opinion or opinions, dated the Time of Delivery, in form and substance satisfactory to the Representatives, and such counsel shall have received such papers and information as they may reasonably request to enable them to represent the Underwriters;</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4"/>
          </w:cols>
          <w:pgMar w:left="436" w:top="270" w:right="499" w:bottom="1440" w:gutter="0" w:footer="0" w:header="0"/>
        </w:sectPr>
      </w:pPr>
    </w:p>
    <w:bookmarkStart w:id="19" w:name="page20"/>
    <w:bookmarkEnd w:id="19"/>
    <w:p>
      <w:pPr>
        <w:ind w:right="480" w:firstLine="436"/>
        <w:spacing w:after="0" w:line="282"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Davis Polk &amp; Wardwell LLP, counsel for the Company, shall have furnished to the Underwriters their written opinion, dated the Time of Delivery,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Nicolas Jafarieh, Executive Vice President and Chief Legal, Government Affairs, and Communications Officer of the Company, shall have furnished to the Underwriters his written opinion, dated the Time of Delivery, in form and substance satisfactory to the Representatives;</w:t>
      </w:r>
    </w:p>
    <w:p>
      <w:pPr>
        <w:spacing w:after="0" w:line="161" w:lineRule="exact"/>
        <w:rPr>
          <w:rFonts w:ascii="Times New Roman" w:cs="Times New Roman" w:eastAsia="Times New Roman" w:hAnsi="Times New Roman"/>
          <w:sz w:val="18"/>
          <w:szCs w:val="18"/>
          <w:color w:val="auto"/>
        </w:rPr>
      </w:pPr>
    </w:p>
    <w:p>
      <w:pPr>
        <w:ind w:right="120" w:firstLine="436"/>
        <w:spacing w:after="0" w:line="266" w:lineRule="auto"/>
        <w:tabs>
          <w:tab w:leader="none" w:pos="6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at 9:30 a.m., New York City time, on the effective date of any post-effective amendment to the Registration Statement filed subsequent to the date of this Agreement and also at the Time of Delivery, KPMG LLP shall have furnished to the Underwriters a letter or letters, dated the respective dates of delivery thereof, in form and substance satisfactory to the Representatives;</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or long term debt of the Company or any of its subsidiaries or any change, or any development involving a prospective change, in or affecting the general affairs, management, financial position, stockholders’ equity or results of operations of the Company and its subsidiaries, otherwise than as set forth or contemplated in the Pricing Prospectus, the effect of which, in any such case described in clause (i) or (ii), is in the judgment of the Representatives so material and adverse as to make it impracticable or inadvisable to proceed with the public offering or the delivery of the Securities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(i) no downgrading shall have occurred in the rating accorded the debt securities of the Company or any of its subsidiaries by any “nationally recognized statistical rating organization,” as that term is defined by the Commission for purposes of Section 3(a)(62) of the Exchange Act, and (ii) no such organization shall have publicly announced that it has under surveillance or review, with possible negative implications, its rating of any debt securities of the Company or any of its subsidiaries;</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w:t>
      </w:r>
    </w:p>
    <w:p>
      <w:pPr>
        <w:spacing w:after="0" w:line="27"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generally on the New York Stock Exchange or on NASDAQ; (ii) a suspension or material limitation in trading in the Company’s securities on NASDAQ;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0" w:name="page21"/>
    <w:bookmarkEnd w:id="20"/>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Securities on the terms and in the manner contemplated in the Prospectus;</w:t>
      </w:r>
    </w:p>
    <w:p>
      <w:pPr>
        <w:spacing w:after="0" w:line="176" w:lineRule="exact"/>
        <w:rPr>
          <w:sz w:val="20"/>
          <w:szCs w:val="20"/>
          <w:color w:val="auto"/>
        </w:rPr>
      </w:pPr>
    </w:p>
    <w:p>
      <w:pPr>
        <w:ind w:left="4" w:right="200" w:firstLine="436"/>
        <w:spacing w:after="0" w:line="282" w:lineRule="auto"/>
        <w:tabs>
          <w:tab w:leader="none" w:pos="65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5(d) hereof with respect to the furnishing of prospectuses on the New York Business Day next succeeding the date of this Agreement; and</w:t>
      </w:r>
    </w:p>
    <w:p>
      <w:pPr>
        <w:spacing w:after="0" w:line="161"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Underwriters at the Time of Delivery certificates of officers of the Company satisfactory to the Representatives as to the accuracy of the representations and warranties of the Company herein at and as of such time, as to the performance by the Company of all of its obligations hereunder to be performed at or prior to such time, as to the matters set forth in subsections</w:t>
      </w:r>
    </w:p>
    <w:p>
      <w:pPr>
        <w:spacing w:after="0" w:line="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 of this Section and as to such other matters as the Representatives may reasonably request.</w:t>
      </w:r>
    </w:p>
    <w:p>
      <w:pPr>
        <w:spacing w:after="0" w:line="207" w:lineRule="exact"/>
        <w:rPr>
          <w:sz w:val="20"/>
          <w:szCs w:val="20"/>
          <w:color w:val="auto"/>
        </w:rPr>
      </w:pPr>
    </w:p>
    <w:p>
      <w:pPr>
        <w:ind w:left="4" w:right="40" w:firstLine="436"/>
        <w:spacing w:after="0" w:line="269" w:lineRule="auto"/>
        <w:tabs>
          <w:tab w:leader="none" w:pos="62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Company agrees to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in reliance upon and in conformity with information furnished in writing to the Company by an Underwriter expressly for use therein, it being understood and agreed that the only such information is that described as such in Section 9(b) hereof.</w:t>
      </w:r>
    </w:p>
    <w:p>
      <w:pPr>
        <w:spacing w:after="0" w:line="179" w:lineRule="exact"/>
        <w:rPr>
          <w:sz w:val="20"/>
          <w:szCs w:val="20"/>
          <w:color w:val="auto"/>
        </w:rPr>
      </w:pPr>
    </w:p>
    <w:p>
      <w:pPr>
        <w:ind w:left="4" w:firstLine="436"/>
        <w:spacing w:after="0" w:line="256" w:lineRule="auto"/>
        <w:tabs>
          <w:tab w:leader="none" w:pos="6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to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21" w:name="page22"/>
    <w:bookmarkEnd w:id="21"/>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untrue statement or alleged untrue statement or omission or alleged omission was made in the Registration Statement, the Basic Prospectus, any Preliminary Prospectus, the Pricing Prospectus or the Prospectus or any such amendment or supplement thereto, or any Issuer Free Writing Prospectus, in reliance upon and in conformity with information furnished in writing to the Company by such Underwriter expressly for use therein, it being understood and agreed that the only such information furnished in writing to the Company by any Underwriter consists of the information set forth in the first two sentences of the fourth paragraph, the fourth and fifth sentences of the eighth paragraph, the ninth and tenth paragraphs and the third and fourth sentences of the eleventh paragraph under the heading “Underwriting” in the Preliminary Prospectus and the Pricing Prospectus; and will reimburse the Company for any legal or other expenses reasonably incurred by the Company in connection with investigating or defending any such action or claim as such expenses are incurred.</w:t>
      </w:r>
    </w:p>
    <w:p>
      <w:pPr>
        <w:spacing w:after="0" w:line="192" w:lineRule="exact"/>
        <w:rPr>
          <w:sz w:val="20"/>
          <w:szCs w:val="20"/>
          <w:color w:val="auto"/>
        </w:rPr>
      </w:pPr>
    </w:p>
    <w:p>
      <w:pPr>
        <w:ind w:left="4" w:firstLine="436"/>
        <w:spacing w:after="0" w:line="252" w:lineRule="auto"/>
        <w:tabs>
          <w:tab w:leader="none" w:pos="68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Notwithstanding the foregoing, in no event shall more than one such counsel, in addition to one local counsel in each jurisdiction where an action is commenced, be retained for all indemnified parties together.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jc w:val="both"/>
        <w:ind w:left="4" w:right="140" w:hanging="4"/>
        <w:spacing w:after="0" w:line="273" w:lineRule="auto"/>
        <w:tabs>
          <w:tab w:leader="none" w:pos="249"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or</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2" w:name="page23"/>
    <w:bookmarkEnd w:id="2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9" w:lineRule="exact"/>
        <w:rPr>
          <w:sz w:val="20"/>
          <w:szCs w:val="20"/>
          <w:color w:val="auto"/>
        </w:rPr>
      </w:pPr>
    </w:p>
    <w:p>
      <w:pPr>
        <w:ind w:firstLine="436"/>
        <w:spacing w:after="0" w:line="256"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9 shall be in addition to any liability which the Company may otherwise have and shall extend, upon the same terms and conditions, to each partner, director and officer of any Underwriter and to each person, if any, who controls any Underwriter within the meaning of Section 15 of the Act or Section 20 of the Exchange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Section 15 of the Act or Section 20 of the Exchange Act.</w:t>
      </w:r>
    </w:p>
    <w:p>
      <w:pPr>
        <w:spacing w:after="0" w:line="187" w:lineRule="exact"/>
        <w:rPr>
          <w:sz w:val="20"/>
          <w:szCs w:val="20"/>
          <w:color w:val="auto"/>
        </w:rPr>
      </w:pPr>
    </w:p>
    <w:p>
      <w:pPr>
        <w:ind w:right="40" w:firstLine="436"/>
        <w:spacing w:after="0" w:line="261"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Securities which it has agreed to purchase hereunder, the non-defaulting Underwriters may in their discretion arrange to, or arrange for another party or other parties to, purchase such Securities on the terms contained herein. If within thirty-six hours after such default by any Underwriter the non-defaulting Underwriters do not arrange for the purchase of such Securities, then the</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440" w:top="270" w:right="51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shall be entitled to a further period of thirty-six hours within which to procure another party or other parties satisfactory to the non-defaulting Underwriters to purchase such Securities on such terms. In the event that, within the respective prescribed periods, the non-defaulting Underwriters notify the Company that they have so arranged for the purchase of such Securities, or the Company notifies the non-defaulting Underwriters that it has so arranged for the purchase of such Securities, the non-defaulting Underwriters or the Company shall have the right to postpone the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the opinion of the non-defaulting Underwriters may thereby be made necessary. The term “Underwriter” as used in this Agreement shall include any person substituted under this Section with like effect as if such person had originally been a party to this Agreement with respect to such Securities.</w:t>
      </w:r>
    </w:p>
    <w:p>
      <w:pPr>
        <w:spacing w:after="0" w:line="188" w:lineRule="exact"/>
        <w:rPr>
          <w:sz w:val="20"/>
          <w:szCs w:val="20"/>
          <w:color w:val="auto"/>
        </w:rPr>
      </w:pPr>
    </w:p>
    <w:p>
      <w:pPr>
        <w:ind w:right="80" w:firstLine="436"/>
        <w:spacing w:after="0" w:line="255" w:lineRule="auto"/>
        <w:tabs>
          <w:tab w:leader="none" w:pos="6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subsection (a) above, the aggregate principal amount of such Securities which remains unpurchased does not exceed one-eleventh of the aggregate principal amount of all the Securities, then the Company shall have the right to require each non-defaulting Underwriter to purchase the principal amount of Securities which such Underwriter agreed to purchase hereunder and, in addition, to require each non-defaulting Underwriter to purchase its pro rata share (based on the principal amount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Underwriter or Underwriters by the non-defaulting Underwriters and the Company as provided in subsection (a) above, the aggregate principal amount of Securities which remains unpurchased exceeds one-eleventh of the aggregate principal amount of all the Securities, or if the Company shall not exercise the right described in subsection (b) above to require non-defaulting Underwriters to 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89" w:lineRule="exact"/>
        <w:rPr>
          <w:sz w:val="20"/>
          <w:szCs w:val="20"/>
          <w:color w:val="auto"/>
        </w:rPr>
      </w:pPr>
    </w:p>
    <w:p>
      <w:pPr>
        <w:ind w:right="20" w:firstLine="436"/>
        <w:spacing w:after="0" w:line="261" w:lineRule="auto"/>
        <w:tabs>
          <w:tab w:leader="none" w:pos="7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4" w:name="page25"/>
    <w:bookmarkEnd w:id="24"/>
    <w:p>
      <w:pPr>
        <w:ind w:left="-40" w:right="140" w:firstLine="436"/>
        <w:spacing w:after="0" w:line="258"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pursuant to Section 10 hereof, the Company shall not then be under any liability to any Underwriter except as provided in Sections 7 and 9 hereof; but, if for any other reason, the Securities are not delivered by or on behalf of the Company as provided herein, the Company will reimburse the Underwriters for all out-of-pocket expenses approved in writing by the Underwriters, including fees and disbursements of counsel, reasonably incurred by the Underwriters in making preparations for the purchase, sale and delivery of the Securities, but the Company shall then be under no further liability to any Underwriter except as provided in Sections 7 and 9 hereof.</w:t>
      </w:r>
    </w:p>
    <w:p>
      <w:pPr>
        <w:spacing w:after="0" w:line="183" w:lineRule="exact"/>
        <w:rPr>
          <w:rFonts w:ascii="Times New Roman" w:cs="Times New Roman" w:eastAsia="Times New Roman" w:hAnsi="Times New Roman"/>
          <w:sz w:val="18"/>
          <w:szCs w:val="18"/>
          <w:color w:val="auto"/>
        </w:rPr>
      </w:pPr>
    </w:p>
    <w:p>
      <w:pPr>
        <w:ind w:left="-40" w:firstLine="436"/>
        <w:spacing w:after="0" w:line="233"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or facsimile transmission to J.P. Morgan Securities LLC, 270 Park Avenue, New York, New York 10017 (fax: 212-834-6081), Attention: Investment Grade Syndicate Desk; and Barclays Capital Inc., 745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Avenue, New York, NY 10019, Attention: Syndicate Registration, facsimile: (646) 834-8133; and if to the Company shall be delivered or sent by mail or facsimile transmission to the address of the Company set forth in the Registration Statement, Attention: Secretary. Any such statements, requests, notices or agreements shall take effect upon receipt thereof.</w:t>
      </w:r>
    </w:p>
    <w:p>
      <w:pPr>
        <w:spacing w:after="0" w:line="201" w:lineRule="exact"/>
        <w:rPr>
          <w:rFonts w:ascii="Times New Roman" w:cs="Times New Roman" w:eastAsia="Times New Roman" w:hAnsi="Times New Roman"/>
          <w:sz w:val="18"/>
          <w:szCs w:val="18"/>
          <w:color w:val="auto"/>
        </w:rPr>
      </w:pPr>
    </w:p>
    <w:p>
      <w:pPr>
        <w:ind w:left="-40" w:right="40" w:firstLine="436"/>
        <w:spacing w:after="0" w:line="289" w:lineRule="auto"/>
        <w:tabs>
          <w:tab w:leader="none" w:pos="67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57" w:lineRule="exact"/>
        <w:rPr>
          <w:rFonts w:ascii="Times New Roman" w:cs="Times New Roman" w:eastAsia="Times New Roman" w:hAnsi="Times New Roman"/>
          <w:sz w:val="17"/>
          <w:szCs w:val="17"/>
          <w:color w:val="auto"/>
        </w:rPr>
      </w:pPr>
    </w:p>
    <w:p>
      <w:pPr>
        <w:ind w:left="-40" w:firstLine="436"/>
        <w:spacing w:after="0" w:line="261"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79" w:lineRule="exact"/>
        <w:rPr>
          <w:rFonts w:ascii="Times New Roman" w:cs="Times New Roman" w:eastAsia="Times New Roman" w:hAnsi="Times New Roman"/>
          <w:sz w:val="18"/>
          <w:szCs w:val="18"/>
          <w:color w:val="auto"/>
        </w:rPr>
      </w:pPr>
    </w:p>
    <w:p>
      <w:pPr>
        <w:ind w:left="-40" w:right="60" w:firstLine="436"/>
        <w:spacing w:after="0" w:line="282"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40" w:right="160" w:firstLine="436"/>
        <w:spacing w:after="0" w:line="272" w:lineRule="auto"/>
        <w:tabs>
          <w:tab w:leader="none" w:pos="67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480" w:top="270" w:right="499" w:bottom="1440" w:gutter="0" w:footer="0" w:header="0"/>
        </w:sectPr>
      </w:pPr>
    </w:p>
    <w:bookmarkStart w:id="25" w:name="page26"/>
    <w:bookmarkEnd w:id="25"/>
    <w:p>
      <w:pPr>
        <w:ind w:right="100" w:firstLine="436"/>
        <w:spacing w:after="0" w:line="282"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supersedes all prior agreements and understandings (whether written or oral) between the Company and the Underwriters, or any of them, with respect to the subject matter hereof.</w:t>
      </w:r>
    </w:p>
    <w:p>
      <w:pPr>
        <w:spacing w:after="0" w:line="157" w:lineRule="exact"/>
        <w:rPr>
          <w:rFonts w:ascii="Times New Roman" w:cs="Times New Roman" w:eastAsia="Times New Roman" w:hAnsi="Times New Roman"/>
          <w:sz w:val="18"/>
          <w:szCs w:val="18"/>
          <w:color w:val="auto"/>
        </w:rPr>
      </w:pPr>
    </w:p>
    <w:p>
      <w:pPr>
        <w:ind w:right="20" w:firstLine="436"/>
        <w:spacing w:after="0" w:line="257"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the engagement of the Underwriters may be tried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86" w:lineRule="exact"/>
        <w:rPr>
          <w:rFonts w:ascii="Times New Roman" w:cs="Times New Roman" w:eastAsia="Times New Roman" w:hAnsi="Times New Roman"/>
          <w:sz w:val="18"/>
          <w:szCs w:val="18"/>
          <w:color w:val="auto"/>
        </w:rPr>
      </w:pPr>
    </w:p>
    <w:p>
      <w:pPr>
        <w:ind w:right="240" w:firstLine="436"/>
        <w:spacing w:after="0" w:line="282"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respective counterparts shall together constitute one and the same instrument.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7" w:lineRule="exact"/>
        <w:rPr>
          <w:rFonts w:ascii="Times New Roman" w:cs="Times New Roman" w:eastAsia="Times New Roman" w:hAnsi="Times New Roman"/>
          <w:sz w:val="18"/>
          <w:szCs w:val="18"/>
          <w:color w:val="auto"/>
        </w:rPr>
      </w:pPr>
    </w:p>
    <w:p>
      <w:pPr>
        <w:ind w:right="120" w:firstLine="436"/>
        <w:spacing w:after="0" w:line="258" w:lineRule="auto"/>
        <w:tabs>
          <w:tab w:leader="none" w:pos="7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w:t>
      </w:r>
    </w:p>
    <w:p>
      <w:pPr>
        <w:spacing w:after="0" w:line="117" w:lineRule="exact"/>
        <w:rPr>
          <w:sz w:val="20"/>
          <w:szCs w:val="20"/>
          <w:color w:val="auto"/>
        </w:rPr>
      </w:pPr>
    </w:p>
    <w:p>
      <w:pPr>
        <w:jc w:val="both"/>
        <w:ind w:left="440" w:right="80" w:firstLine="419"/>
        <w:spacing w:after="0" w:line="261" w:lineRule="auto"/>
        <w:tabs>
          <w:tab w:leader="none" w:pos="110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6" w:name="page27"/>
    <w:bookmarkEnd w:id="26"/>
    <w:p>
      <w:pPr>
        <w:ind w:firstLine="419"/>
        <w:spacing w:after="0" w:line="261" w:lineRule="auto"/>
        <w:tabs>
          <w:tab w:leader="none" w:pos="6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used in this Section 23:</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1200" w:hanging="212"/>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260" w:hanging="272"/>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300" w:hanging="312"/>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117"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54" w:lineRule="exact"/>
        <w:rPr>
          <w:sz w:val="20"/>
          <w:szCs w:val="20"/>
          <w:color w:val="auto"/>
        </w:rPr>
      </w:pPr>
    </w:p>
    <w:p>
      <w:pPr>
        <w:ind w:left="540" w:right="18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6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00"/>
          </w:cols>
          <w:pgMar w:left="880" w:top="270" w:right="5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26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SLM CORPORATION</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Name:Peter M. Graham</w:t>
      </w:r>
    </w:p>
    <w:p>
      <w:pPr>
        <w:spacing w:after="0" w:line="27" w:lineRule="exact"/>
        <w:rPr>
          <w:sz w:val="20"/>
          <w:szCs w:val="20"/>
          <w:color w:val="auto"/>
        </w:rPr>
      </w:pPr>
    </w:p>
    <w:p>
      <w:pPr>
        <w:ind w:left="3880" w:right="420" w:firstLine="3095"/>
        <w:spacing w:after="0" w:line="433" w:lineRule="auto"/>
        <w:rPr>
          <w:sz w:val="20"/>
          <w:szCs w:val="20"/>
          <w:color w:val="auto"/>
        </w:rPr>
      </w:pPr>
      <w:r>
        <w:rPr>
          <w:rFonts w:ascii="Times New Roman" w:cs="Times New Roman" w:eastAsia="Times New Roman" w:hAnsi="Times New Roman"/>
          <w:sz w:val="18"/>
          <w:szCs w:val="18"/>
          <w:color w:val="auto"/>
        </w:rPr>
        <w:t>Title:Co-President and Chief Financial Officer [Signature Page to Underwriting Agreement]</w:t>
      </w:r>
    </w:p>
    <w:p>
      <w:pPr>
        <w:sectPr>
          <w:pgSz w:w="11900" w:h="16838" w:orient="portrait"/>
          <w:cols w:equalWidth="0" w:num="1">
            <w:col w:w="10740"/>
          </w:cols>
          <w:pgMar w:left="440" w:top="270"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L. Sheiner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Stephen L. Sheiner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Tom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Tom Burgess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 FIG DCM, AM</w:t>
      </w:r>
    </w:p>
    <w:p>
      <w:pPr>
        <w:spacing w:after="0" w:line="139"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0019"/>
          </w:cols>
          <w:pgMar w:left="440" w:top="270" w:right="1440"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73"/>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9180" w:type="dxa"/>
            <w:vAlign w:val="bottom"/>
            <w:vMerge w:val="restart"/>
          </w:tcPr>
          <w:p>
            <w:pPr>
              <w:spacing w:after="0"/>
              <w:rPr>
                <w:sz w:val="15"/>
                <w:szCs w:val="15"/>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33"/>
        </w:trPr>
        <w:tc>
          <w:tcPr>
            <w:tcW w:w="780" w:type="dxa"/>
            <w:vAlign w:val="bottom"/>
            <w:tcBorders>
              <w:bottom w:val="single" w:sz="8" w:color="auto"/>
            </w:tcBorders>
            <w:vMerge w:val="continue"/>
          </w:tcPr>
          <w:p>
            <w:pPr>
              <w:spacing w:after="0"/>
              <w:rPr>
                <w:sz w:val="11"/>
                <w:szCs w:val="11"/>
                <w:color w:val="auto"/>
              </w:rPr>
            </w:pPr>
          </w:p>
        </w:tc>
        <w:tc>
          <w:tcPr>
            <w:tcW w:w="9180" w:type="dxa"/>
            <w:vAlign w:val="bottom"/>
            <w:vMerge w:val="continue"/>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$200,000,000</w:t>
            </w: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23"/>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500,000,000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30" w:name="page31"/>
    <w:bookmarkEnd w:id="30"/>
    <w:p>
      <w:pPr>
        <w:ind w:left="44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29" w:lineRule="exact"/>
        <w:rPr>
          <w:sz w:val="20"/>
          <w:szCs w:val="20"/>
          <w:color w:val="auto"/>
        </w:rPr>
      </w:pPr>
    </w:p>
    <w:p>
      <w:pPr>
        <w:ind w:left="244" w:hanging="244"/>
        <w:spacing w:after="0"/>
        <w:tabs>
          <w:tab w:leader="none" w:pos="24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Issuer Free Writing Prospectuses not included in the Pricing Disclosure Package: Electronic Roadshow dated May 5, 2026</w:t>
      </w:r>
    </w:p>
    <w:p>
      <w:pPr>
        <w:spacing w:after="0" w:line="23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Documents Incorporated by Reference: None.</w:t>
      </w:r>
    </w:p>
    <w:p>
      <w:pPr>
        <w:sectPr>
          <w:pgSz w:w="11900" w:h="16838" w:orient="portrait"/>
          <w:cols w:equalWidth="0" w:num="1">
            <w:col w:w="9583"/>
          </w:cols>
          <w:pgMar w:left="876" w:top="266" w:right="1440"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SLM CORPORATION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DEUTSCHE BANK NATIONAL TRUST COMPANY,</w:t>
      </w:r>
    </w:p>
    <w:p>
      <w:pPr>
        <w:spacing w:after="0" w:line="23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FIFTH SUPPLEMENTAL INDENTURE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May 15, 2026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Dated as of June 17,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628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430"/>
        </w:trPr>
        <w:tc>
          <w:tcPr>
            <w:tcW w:w="4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Relation to Base Indenture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Definition of Terms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ONDITIONS OF 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Principal Amount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Maturity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Form, Payment and Appointment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Global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No Sinking Fund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Satisfaction and Discharge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Events of Default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EDEMPTION OF THE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Optional Redemption by the Company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Redemption following a Change of Control Repurchase Offer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 Selection of Notes to be Redeemed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Payment of Redemption Price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HANGE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ONTROL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EPURCHASE</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VENT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Purchase of Notes Upon a Change of Control Repurchase Event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2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ARTICULAR</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OVENANTS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Limitation On Disposition of Voting Stock of our Significant 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Limitation on Creation of Liens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ORMS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Forms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414"/>
        </w:trPr>
        <w:tc>
          <w:tcPr>
            <w:tcW w:w="4340" w:type="dxa"/>
            <w:vAlign w:val="bottom"/>
          </w:tcPr>
          <w:p>
            <w:pPr>
              <w:spacing w:after="0"/>
              <w:rPr>
                <w:sz w:val="24"/>
                <w:szCs w:val="24"/>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w w:val="98"/>
              </w:rPr>
              <w:t>ARTICLE 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6280" w:type="dxa"/>
            <w:vAlign w:val="bottom"/>
            <w:gridSpan w:val="2"/>
          </w:tcPr>
          <w:p>
            <w:pPr>
              <w:jc w:val="center"/>
              <w:ind w:right="4000"/>
              <w:spacing w:after="0"/>
              <w:rPr>
                <w:sz w:val="20"/>
                <w:szCs w:val="20"/>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RIGINAL</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SSUE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Original Issue of Notes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64"/>
        </w:trPr>
        <w:tc>
          <w:tcPr>
            <w:tcW w:w="4340" w:type="dxa"/>
            <w:vAlign w:val="bottom"/>
          </w:tcPr>
          <w:p>
            <w:pPr>
              <w:spacing w:after="0"/>
              <w:rPr>
                <w:sz w:val="24"/>
                <w:szCs w:val="24"/>
                <w:color w:val="auto"/>
              </w:rPr>
            </w:pPr>
          </w:p>
        </w:tc>
        <w:tc>
          <w:tcPr>
            <w:tcW w:w="6280" w:type="dxa"/>
            <w:vAlign w:val="bottom"/>
            <w:gridSpan w:val="2"/>
          </w:tcPr>
          <w:p>
            <w:pPr>
              <w:jc w:val="center"/>
              <w:ind w:right="3960"/>
              <w:spacing w:after="0"/>
              <w:rPr>
                <w:sz w:val="20"/>
                <w:szCs w:val="20"/>
                <w:color w:val="auto"/>
              </w:rPr>
            </w:pPr>
            <w:r>
              <w:rPr>
                <w:rFonts w:ascii="Times New Roman" w:cs="Times New Roman" w:eastAsia="Times New Roman" w:hAnsi="Times New Roman"/>
                <w:sz w:val="18"/>
                <w:szCs w:val="18"/>
                <w:color w:val="auto"/>
                <w:w w:val="78"/>
              </w:rPr>
              <w:t>i</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216"/>
        </w:trPr>
        <w:tc>
          <w:tcPr>
            <w:tcW w:w="830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ARTICLE 8</w:t>
            </w:r>
          </w:p>
        </w:tc>
        <w:tc>
          <w:tcPr>
            <w:tcW w:w="2660" w:type="dxa"/>
            <w:vAlign w:val="bottom"/>
          </w:tcPr>
          <w:p>
            <w:pPr>
              <w:spacing w:after="0"/>
              <w:rPr>
                <w:sz w:val="18"/>
                <w:szCs w:val="18"/>
                <w:color w:val="auto"/>
              </w:rPr>
            </w:pPr>
          </w:p>
        </w:tc>
      </w:tr>
      <w:tr>
        <w:trPr>
          <w:trHeight w:val="234"/>
        </w:trPr>
        <w:tc>
          <w:tcPr>
            <w:tcW w:w="830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c>
          <w:tcPr>
            <w:tcW w:w="2660" w:type="dxa"/>
            <w:vAlign w:val="bottom"/>
          </w:tcPr>
          <w:p>
            <w:pPr>
              <w:spacing w:after="0"/>
              <w:rPr>
                <w:sz w:val="20"/>
                <w:szCs w:val="20"/>
                <w:color w:val="auto"/>
              </w:rPr>
            </w:pPr>
          </w:p>
        </w:tc>
      </w:tr>
      <w:tr>
        <w:trPr>
          <w:trHeight w:val="412"/>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Ratification of Indenture</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Trustee Not Responsible for Recitals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Governing Law</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Waiver of Trial by Jury</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Table of Contents, Headings, etc.</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Execution in Counterparts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Separability; Benefits</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59"/>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EXHIBIT A   Form of 6.495% Fixed-to-Floating Rate Senior Notes due 2032</w:t>
            </w: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364"/>
        </w:trPr>
        <w:tc>
          <w:tcPr>
            <w:tcW w:w="830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ii</w:t>
            </w:r>
          </w:p>
        </w:tc>
        <w:tc>
          <w:tcPr>
            <w:tcW w:w="26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4" w:name="page35"/>
    <w:bookmarkEnd w:id="34"/>
    <w:p>
      <w:pPr>
        <w:ind w:right="6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FIFTH SUPPLEMENTAL INDENTURE (this “</w:t>
      </w:r>
      <w:r>
        <w:rPr>
          <w:rFonts w:ascii="Times New Roman" w:cs="Times New Roman" w:eastAsia="Times New Roman" w:hAnsi="Times New Roman"/>
          <w:sz w:val="17"/>
          <w:szCs w:val="17"/>
          <w:b w:val="1"/>
          <w:bCs w:val="1"/>
          <w:color w:val="auto"/>
        </w:rPr>
        <w:t>Supplemental Indenture</w:t>
      </w:r>
      <w:r>
        <w:rPr>
          <w:rFonts w:ascii="Times New Roman" w:cs="Times New Roman" w:eastAsia="Times New Roman" w:hAnsi="Times New Roman"/>
          <w:sz w:val="17"/>
          <w:szCs w:val="17"/>
          <w:color w:val="auto"/>
        </w:rPr>
        <w:t>”), dated as of May 15, 2026, is between SLM CORPORATION,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Deutsche Bank National Trust Company, a national banking association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Company has executed and delivered to the Trustee an Indenture, dated as of June 17, 2015, between the Company and the Trustee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and, as supplemented by this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providing for the issuance from time to time of series of Securities of the Company;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WHEREAS, Section 10.01(c) of the Base Indenture provides for the Company and the Trustee to enter into an indenture supplemental to the Base Indenture to establish the forms or terms of Securities of any series as permitted by Section 2.01 and Section 2.02 of the Base Indenture;</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 2.02 of the Base Indenture, the Company wishes to provide for the issuance of a new series of Securities to be known as its 6.495% Fixed-to-Floating Rate Senior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form and terms of such Notes and the terms, provisions and conditions thereof to be set forth as provided in this Supplemental Indenture; and</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WHEREAS, the Company has requested that the Trustee execute and deliver this Supplemental Indenture, and all requirements necessary to make this Supplemental Indenture a valid, binding and enforceable instrument in accordance with its terms, and to make the Notes, when executed by the Company and authenticated and delivered by the Trustee, the valid, binding and enforceable obligations of the Company, have been done and performed, and the execution and delivery of this Supplemental Indenture has been duly authorized in all respects;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covenants and agreements set forth herein and for other good and valuable consideration, the receipt and sufficiency of which are hereby acknowledged, the parties hereto hereby agree as follows:</w:t>
      </w:r>
    </w:p>
    <w:p>
      <w:pPr>
        <w:spacing w:after="0" w:line="37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Relation to Base Indenture</w:t>
      </w:r>
      <w:r>
        <w:rPr>
          <w:rFonts w:ascii="Times New Roman" w:cs="Times New Roman" w:eastAsia="Times New Roman" w:hAnsi="Times New Roman"/>
          <w:sz w:val="18"/>
          <w:szCs w:val="18"/>
          <w:color w:val="auto"/>
        </w:rPr>
        <w:t>. This Supplemental Indenture constitutes an integral part of the Base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Definition of Terms</w:t>
      </w:r>
      <w:r>
        <w:rPr>
          <w:rFonts w:ascii="Times New Roman" w:cs="Times New Roman" w:eastAsia="Times New Roman" w:hAnsi="Times New Roman"/>
          <w:sz w:val="18"/>
          <w:szCs w:val="18"/>
          <w:color w:val="auto"/>
        </w:rPr>
        <w:t>. For all purposes of this Supplemental Indenture:</w:t>
      </w:r>
    </w:p>
    <w:p>
      <w:pPr>
        <w:spacing w:after="0" w:line="254" w:lineRule="exact"/>
        <w:rPr>
          <w:sz w:val="20"/>
          <w:szCs w:val="20"/>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herein without definition shall have the meanings set forth in the Base Indenture;</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defined anywhere in this Supplemental Indenture has the same meaning throughout;</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of reference only and do not affect interpretation;</w:t>
      </w:r>
    </w:p>
    <w:p>
      <w:pPr>
        <w:spacing w:after="0" w:line="25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have the meanings given to them in this Section 1.02(e):</w:t>
      </w:r>
    </w:p>
    <w:p>
      <w:pPr>
        <w:spacing w:after="0" w:line="221"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shall mean, initially, Compounded SOFR; provided that if a Benchmark Transition Event and its related Benchmark Replacement Date have occurred with respect to Compounded SOFR (or the published SOFR Index used in the calculation thereof) or the then-current Benchmark, then “Benchmark” shall mean the applicable Benchmark Replacement.</w:t>
      </w:r>
    </w:p>
    <w:p>
      <w:pPr>
        <w:spacing w:after="0" w:line="17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shall mean the first alternative set forth in the order below that can be determined by the Company or its designee as of the Benchmark Replacement Date; provided that if the Benchmark Replacement cannot be determined in accordance with clause (1) below as of the Benchmark Replacement Date and the Company or its designee shall have determined that the ISDA Fallback Rate determined in accordance with clause (2) below is not an industry-accepted rate of interest as a replacement for the then-current Benchmark for U.S. dollar-denominated floating rate notes at such time, then clause (2) below shall be disregarded, and the Benchmark Replacement shall be determined in accordance with clause (3) below:</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0"/>
          </w:cols>
          <w:pgMar w:left="440" w:top="266" w:right="479" w:bottom="1440" w:gutter="0" w:footer="0" w:header="0"/>
        </w:sectPr>
      </w:pPr>
    </w:p>
    <w:bookmarkStart w:id="35" w:name="page36"/>
    <w:bookmarkEnd w:id="35"/>
    <w:p>
      <w:pPr>
        <w:ind w:right="80" w:firstLine="436"/>
        <w:spacing w:after="0" w:line="28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(a) an alternate rate of interest that has been selected or recommended by the Relevant Governmental Body as the replacement for the then-current Benchmark and (b) the Benchmark Replacement Adjustment;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225" w:lineRule="exact"/>
        <w:rPr>
          <w:rFonts w:ascii="Times New Roman" w:cs="Times New Roman" w:eastAsia="Times New Roman" w:hAnsi="Times New Roman"/>
          <w:sz w:val="18"/>
          <w:szCs w:val="18"/>
          <w:color w:val="auto"/>
        </w:rPr>
      </w:pPr>
    </w:p>
    <w:p>
      <w:pPr>
        <w:ind w:right="460" w:firstLine="436"/>
        <w:spacing w:after="0" w:line="266"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Company or its designee as the replacement for the then-current Benchmark giving due consideration to any industry-accepted rate of interest as a replacement for the then-current Benchmark for U.S. dollar-denominated floating rate notes at such time and (b) the Benchmark Replacement Adjustment.</w:t>
      </w:r>
    </w:p>
    <w:p>
      <w:pPr>
        <w:spacing w:after="0" w:line="17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shall mean the first alternative set forth in the order below that can be determined by the Company or its designee as of the Benchmark Replacement Date:</w:t>
      </w:r>
    </w:p>
    <w:p>
      <w:pPr>
        <w:spacing w:after="0" w:line="159" w:lineRule="exact"/>
        <w:rPr>
          <w:sz w:val="20"/>
          <w:szCs w:val="20"/>
          <w:color w:val="auto"/>
        </w:rPr>
      </w:pPr>
    </w:p>
    <w:p>
      <w:pPr>
        <w:ind w:right="180" w:firstLine="436"/>
        <w:spacing w:after="0" w:line="282"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or method for calculating or determining such spread adjustment, that has been selected or recommended by the Relevant Governmental Body for the applicable Unadjusted Benchmark Replacement;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 ISDA Fallback Adjustment; or</w:t>
      </w:r>
    </w:p>
    <w:p>
      <w:pPr>
        <w:spacing w:after="0" w:line="22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Company or its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72" w:lineRule="exact"/>
        <w:rPr>
          <w:sz w:val="20"/>
          <w:szCs w:val="20"/>
          <w:color w:val="auto"/>
        </w:rPr>
      </w:pPr>
    </w:p>
    <w:p>
      <w:pPr>
        <w:ind w:right="4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Replacement Conforming Changes</w:t>
      </w:r>
      <w:r>
        <w:rPr>
          <w:rFonts w:ascii="Times New Roman" w:cs="Times New Roman" w:eastAsia="Times New Roman" w:hAnsi="Times New Roman"/>
          <w:sz w:val="17"/>
          <w:szCs w:val="17"/>
          <w:color w:val="auto"/>
        </w:rPr>
        <w:t>” shall mean, with respect to any Benchmark Replacement, any technical, administrative or operational changes (including changes to the definitions or interpretations of interest period, the timing and frequency of determining rates and making payments of interest, the rounding of amounts or tenors, and other administrative matters) that the Company or its designee decides may be appropriate to reflect the adoption of such Benchmark Replacement in a manner substantially consistent with market practice (or, if the Company or its designee decides that adoption of any portion of such market practice is not administratively feasible or if the Company or its designee determines that no market practice for use of the Benchmark Replacement exists, in such other manner as the Company or its designee determines is reasonably practicable).</w:t>
      </w:r>
    </w:p>
    <w:p>
      <w:pPr>
        <w:spacing w:after="0" w:line="168"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shall mean the earliest to occur of the following events with respect to the then-current Benchmark (including any daily published component used in the calculation thereof):</w:t>
      </w:r>
    </w:p>
    <w:p>
      <w:pPr>
        <w:spacing w:after="0" w:line="159" w:lineRule="exact"/>
        <w:rPr>
          <w:sz w:val="20"/>
          <w:szCs w:val="20"/>
          <w:color w:val="auto"/>
        </w:rPr>
      </w:pPr>
    </w:p>
    <w:p>
      <w:pPr>
        <w:ind w:firstLine="436"/>
        <w:spacing w:after="0" w:line="266"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w:t>
      </w:r>
    </w:p>
    <w:p>
      <w:pPr>
        <w:spacing w:after="0" w:line="175"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 Time in respect of any determination, the Benchmark Replacement Date shall be deemed to have occurred prior to the Reference Time for such determination.</w:t>
      </w:r>
    </w:p>
    <w:p>
      <w:pPr>
        <w:spacing w:after="0" w:line="172"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 (including the daily published component used in the calculation thereof):</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6" w:name="page37"/>
    <w:bookmarkEnd w:id="36"/>
    <w:p>
      <w:pPr>
        <w:ind w:right="160" w:firstLine="436"/>
        <w:spacing w:after="0" w:line="26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public statement or publication of information by or on behalf of the administrator of the Benchmark (or such component) announcing that such administrator has ceased or will cease to provide the Benchmark (or such component), permanently or indefinitely,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at the time of such statement or publication, there is no successor administrator that will continue to provide the Benchmark (or such component);</w:t>
      </w:r>
    </w:p>
    <w:p>
      <w:pPr>
        <w:spacing w:after="0" w:line="175" w:lineRule="exact"/>
        <w:rPr>
          <w:rFonts w:ascii="Times New Roman" w:cs="Times New Roman" w:eastAsia="Times New Roman" w:hAnsi="Times New Roman"/>
          <w:sz w:val="18"/>
          <w:szCs w:val="18"/>
          <w:color w:val="auto"/>
        </w:rPr>
      </w:pPr>
    </w:p>
    <w:p>
      <w:pPr>
        <w:ind w:right="60" w:firstLine="436"/>
        <w:spacing w:after="0" w:line="274" w:lineRule="auto"/>
        <w:tabs>
          <w:tab w:leader="none" w:pos="69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for the Benchmark (or such component) has ceased or will cease to provide the Benchmark (or such component) permanently or indefinitely,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at the time of such statement or publication, there is no successor administrator that will continue to provide the Benchmark (or such component); or</w:t>
      </w:r>
    </w:p>
    <w:p>
      <w:pPr>
        <w:spacing w:after="0" w:line="172" w:lineRule="exact"/>
        <w:rPr>
          <w:rFonts w:ascii="Times New Roman" w:cs="Times New Roman" w:eastAsia="Times New Roman" w:hAnsi="Times New Roman"/>
          <w:sz w:val="17"/>
          <w:szCs w:val="17"/>
          <w:color w:val="auto"/>
        </w:rPr>
      </w:pPr>
    </w:p>
    <w:p>
      <w:pPr>
        <w:ind w:right="44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5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unless otherwise specified, any calendar day that is not a Saturday, Sunday or a day on which commercial banking institutions are not required to be open for business in The City of New York, New York.</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Calculation Agent</w:t>
      </w:r>
      <w:r>
        <w:rPr>
          <w:rFonts w:ascii="Times New Roman" w:cs="Times New Roman" w:eastAsia="Times New Roman" w:hAnsi="Times New Roman"/>
          <w:sz w:val="18"/>
          <w:szCs w:val="18"/>
          <w:color w:val="auto"/>
        </w:rPr>
        <w:t>” shall mean the firm appointed by the Company prior to the commencement of the applicable Floating Rate Period. The Company or an affiliate of the Company may assume the duties of the Calculation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the occurrence of any of the following:</w:t>
      </w:r>
    </w:p>
    <w:p>
      <w:pPr>
        <w:spacing w:after="0" w:line="229" w:lineRule="exact"/>
        <w:rPr>
          <w:sz w:val="20"/>
          <w:szCs w:val="20"/>
          <w:color w:val="auto"/>
        </w:rPr>
      </w:pPr>
    </w:p>
    <w:p>
      <w:pPr>
        <w:jc w:val="both"/>
        <w:ind w:right="120" w:firstLine="436"/>
        <w:spacing w:after="0" w:line="26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of related persons (as such terms are used in Sections 13(d) and 14(d) of the Exchange Act) becomes the beneficial owner (as defined in Rules 13d-3 and 13d-5 under the Exchange Act), directly or indirectly, of a majority of the total voting power of the Voting Stock of the Company (or its successors by merger, consolidation or purchase of all or substantially all of its assets);</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assignment, lease, transfer, conveyance or other disposition (other than by way of merger or consolidation), in one or a series of related transactions, of all or substantially all of the assets of the Company and its Subsidiaries taken as a whole to any “person” (as such term is used in Sections 13(d) and 14(d) of the Exchange Act) other than a Subsidiary; or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stockholders of the Company of a plan or proposal for the liquidation or dissolution of the Company.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has the meaning assigned to that term in Section 4.01(a).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 Repurchase Event</w:t>
      </w:r>
      <w:r>
        <w:rPr>
          <w:rFonts w:ascii="Times New Roman" w:cs="Times New Roman" w:eastAsia="Times New Roman" w:hAnsi="Times New Roman"/>
          <w:sz w:val="18"/>
          <w:szCs w:val="18"/>
          <w:color w:val="auto"/>
        </w:rPr>
        <w:t>” shall mean the occurrence of both a Change of Control and a Ratings Event.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Compounded SOFR,”</w:t>
      </w:r>
      <w:r>
        <w:rPr>
          <w:rFonts w:ascii="Times New Roman" w:cs="Times New Roman" w:eastAsia="Times New Roman" w:hAnsi="Times New Roman"/>
          <w:sz w:val="18"/>
          <w:szCs w:val="18"/>
          <w:color w:val="auto"/>
        </w:rPr>
        <w:t xml:space="preserve"> with respect to any Floating Rate Period, shall be determined by the Calculation Agent in accordance with the following formula (and the resulting percentage will be rounded, if necessary, to the nearest one hundred-thousandth of a percentage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wp:posOffset>
            </wp:positionH>
            <wp:positionV relativeFrom="paragraph">
              <wp:posOffset>129540</wp:posOffset>
            </wp:positionV>
            <wp:extent cx="1842770" cy="4540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4277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116" w:lineRule="exact"/>
        <w:rPr>
          <w:sz w:val="20"/>
          <w:szCs w:val="20"/>
          <w:color w:val="auto"/>
        </w:rPr>
      </w:pPr>
    </w:p>
    <w:p>
      <w:pPr>
        <w:ind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SOFR Index</w:t>
      </w:r>
      <w:r>
        <w:rPr>
          <w:rFonts w:ascii="Times New Roman" w:cs="Times New Roman" w:eastAsia="Times New Roman" w:hAnsi="Times New Roman"/>
          <w:sz w:val="25"/>
          <w:szCs w:val="25"/>
          <w:i w:val="1"/>
          <w:iCs w:val="1"/>
          <w:color w:val="auto"/>
          <w:vertAlign w:val="subscript"/>
        </w:rPr>
        <w:t>Start</w:t>
      </w:r>
      <w:r>
        <w:rPr>
          <w:rFonts w:ascii="Times New Roman" w:cs="Times New Roman" w:eastAsia="Times New Roman" w:hAnsi="Times New Roman"/>
          <w:sz w:val="17"/>
          <w:szCs w:val="17"/>
          <w:color w:val="auto"/>
        </w:rPr>
        <w:t>” shall mean, for periods other than the initial interest period in the applicable Floating Rate Period, the SOFR Index value on the preceding Interest Payment Determination Date, and, for the initial interest period in the applicable Floating Rate Period, the SOFR Index value on the</w:t>
      </w:r>
    </w:p>
    <w:p>
      <w:pPr>
        <w:ind w:right="380"/>
        <w:spacing w:after="0" w:line="260" w:lineRule="auto"/>
        <w:rPr>
          <w:sz w:val="20"/>
          <w:szCs w:val="20"/>
          <w:color w:val="auto"/>
        </w:rPr>
      </w:pPr>
      <w:r>
        <w:rPr>
          <w:rFonts w:ascii="Times New Roman" w:cs="Times New Roman" w:eastAsia="Times New Roman" w:hAnsi="Times New Roman"/>
          <w:sz w:val="18"/>
          <w:szCs w:val="18"/>
          <w:color w:val="auto"/>
        </w:rPr>
        <w:t>date that is two U.S. Government Securities Business Days before the first day of such initial interest period (such first day expected to be May 15, 2031);</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7" w:name="page38"/>
    <w:bookmarkEnd w:id="37"/>
    <w:p>
      <w:pPr>
        <w:ind w:right="40" w:firstLine="440"/>
        <w:spacing w:after="0" w:line="26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SOFR Index</w:t>
      </w:r>
      <w:r>
        <w:rPr>
          <w:rFonts w:ascii="Times New Roman" w:cs="Times New Roman" w:eastAsia="Times New Roman" w:hAnsi="Times New Roman"/>
          <w:sz w:val="26"/>
          <w:szCs w:val="26"/>
          <w:i w:val="1"/>
          <w:iCs w:val="1"/>
          <w:color w:val="auto"/>
          <w:vertAlign w:val="subscript"/>
        </w:rPr>
        <w:t>End</w:t>
      </w:r>
      <w:r>
        <w:rPr>
          <w:rFonts w:ascii="Times New Roman" w:cs="Times New Roman" w:eastAsia="Times New Roman" w:hAnsi="Times New Roman"/>
          <w:sz w:val="18"/>
          <w:szCs w:val="18"/>
          <w:color w:val="auto"/>
        </w:rPr>
        <w:t>” shall mean the SOFR Index value on the Interest Payment Determination Date relating to the applicable Floating Rate Period Interest Payment Date (or in the Floating Rate Period Interest Payment Date of the Notes, relating to the Maturity Date, or, in the case of the redemption of the Notes, relating to the applicable Redemption Date); and</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is the number of calendar days in the relevant Observation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Compounded SOFR,</w:t>
      </w:r>
    </w:p>
    <w:p>
      <w:pPr>
        <w:spacing w:after="0" w:line="223"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Payment Determination Date</w:t>
      </w:r>
      <w:r>
        <w:rPr>
          <w:rFonts w:ascii="Times New Roman" w:cs="Times New Roman" w:eastAsia="Times New Roman" w:hAnsi="Times New Roman"/>
          <w:sz w:val="18"/>
          <w:szCs w:val="18"/>
          <w:color w:val="auto"/>
        </w:rPr>
        <w:t>” shall mean the date two U.S. Government Securities Business Days before each Floating Rate Period Interest Payment Date (or, in the case of the redemption of the Notes, preceding the applicable Redemption Date).</w:t>
      </w:r>
    </w:p>
    <w:p>
      <w:pPr>
        <w:spacing w:after="0" w:line="158"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Observation Period</w:t>
      </w:r>
      <w:r>
        <w:rPr>
          <w:rFonts w:ascii="Times New Roman" w:cs="Times New Roman" w:eastAsia="Times New Roman" w:hAnsi="Times New Roman"/>
          <w:sz w:val="18"/>
          <w:szCs w:val="18"/>
          <w:color w:val="auto"/>
        </w:rPr>
        <w:t>” shall mean, in respect of each Floating Rate Period the period from, and including, the date two U.S. Government Securities Business Days preceding the first date of the relevant Floating Rate Period, but excluding, the date two U.S. Government Securities Business Days prior to the relevant Floating Rate Period Interest Payment Date for such Floating Rate Period (or in the Floating Rate Period, preceding the Maturity Date or, in the case of the redemption of the Notes, preceding the applicable Redemption Date).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w:t>
      </w:r>
      <w:r>
        <w:rPr>
          <w:rFonts w:ascii="Times New Roman" w:cs="Times New Roman" w:eastAsia="Times New Roman" w:hAnsi="Times New Roman"/>
          <w:sz w:val="18"/>
          <w:szCs w:val="18"/>
          <w:color w:val="auto"/>
        </w:rPr>
        <w:t>” shall mean the daily secured overnight financing rate as provided by the SOFR Administrator on the SOFR Administrator’s Website.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w:t>
      </w:r>
      <w:r>
        <w:rPr>
          <w:rFonts w:ascii="Times New Roman" w:cs="Times New Roman" w:eastAsia="Times New Roman" w:hAnsi="Times New Roman"/>
          <w:sz w:val="18"/>
          <w:szCs w:val="18"/>
          <w:color w:val="auto"/>
        </w:rPr>
        <w:t>” shall mean the Federal Reserve Bank of New York (the “FRBNY”) (or a successor administrator of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Administrator’s Website</w:t>
      </w:r>
      <w:r>
        <w:rPr>
          <w:rFonts w:ascii="Times New Roman" w:cs="Times New Roman" w:eastAsia="Times New Roman" w:hAnsi="Times New Roman"/>
          <w:sz w:val="18"/>
          <w:szCs w:val="18"/>
          <w:color w:val="auto"/>
        </w:rPr>
        <w:t>” shall mean the website of the FRBNY, currently at www.newyorkfed.org, or any successor source.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Index</w:t>
      </w:r>
      <w:r>
        <w:rPr>
          <w:rFonts w:ascii="Times New Roman" w:cs="Times New Roman" w:eastAsia="Times New Roman" w:hAnsi="Times New Roman"/>
          <w:sz w:val="18"/>
          <w:szCs w:val="18"/>
          <w:color w:val="auto"/>
        </w:rPr>
        <w:t>” shall mean, with respect to any U.S. Government Securities Business Day:</w:t>
      </w:r>
    </w:p>
    <w:p>
      <w:pPr>
        <w:spacing w:after="0" w:line="119" w:lineRule="exact"/>
        <w:rPr>
          <w:sz w:val="20"/>
          <w:szCs w:val="20"/>
          <w:color w:val="auto"/>
        </w:rPr>
      </w:pPr>
    </w:p>
    <w:p>
      <w:pPr>
        <w:ind w:left="44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SOFR Index value as published by the SOFR Administrator as such index appears on the SOFR Administrator’s Website at 3:00 p.m. (New York time) on such U.S. Government Securities Business Day (the “SOFR Index Determination Time”); or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SOFR Index value does not so appear as specified in (1) above at the SOFR Index Determination Time, then: (i) if a Benchmark Transition Event and its related Benchmark Replacement Date have not occurred with respect to SOFR, Compounded SOFR shall be the rate determined pursuant to the “SOFR Index unavailable provisions” described below; or (ii) if a Benchmark Transition Event and its related Benchmark Replacement Date have occurred with respect to SOFR, Compounded SOFR shall be the rate determined pursuant to the “Benchmark Transition Provisions” provisions described in Section 2.05(f).</w:t>
      </w:r>
    </w:p>
    <w:p>
      <w:pPr>
        <w:spacing w:after="0" w:line="181"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Government Securities Business Day</w:t>
      </w:r>
      <w:r>
        <w:rPr>
          <w:rFonts w:ascii="Times New Roman" w:cs="Times New Roman" w:eastAsia="Times New Roman" w:hAnsi="Times New Roman"/>
          <w:sz w:val="18"/>
          <w:szCs w:val="18"/>
          <w:color w:val="auto"/>
        </w:rPr>
        <w:t>” shall mean any day except for a Saturday, a Sunday or a day on which the Securities Industry and Financial Markets Association or any successor organization recommends that the fixed income departments of its members be closed for the entire day for purposes of trading in U.S. government securities.</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Subsidiary</w:t>
      </w:r>
      <w:r>
        <w:rPr>
          <w:rFonts w:ascii="Times New Roman" w:cs="Times New Roman" w:eastAsia="Times New Roman" w:hAnsi="Times New Roman"/>
          <w:sz w:val="18"/>
          <w:szCs w:val="18"/>
          <w:color w:val="auto"/>
        </w:rPr>
        <w:t>” shall mean a Subsidiary of the Company in respect of which at least 80% of the outstanding shares of the Voting Stock of such Subsidiary is at the time owned by the Company, by one or more of its Subsidiaries or by the Company and one or more of its Controlled Subsidiaries.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shall have the meaning set forth in Section 2.04(a).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160" w:right="45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First Par Call Date</w:t>
      </w:r>
      <w:r>
        <w:rPr>
          <w:rFonts w:ascii="Times New Roman" w:cs="Times New Roman" w:eastAsia="Times New Roman" w:hAnsi="Times New Roman"/>
          <w:sz w:val="18"/>
          <w:szCs w:val="18"/>
          <w:color w:val="auto"/>
        </w:rPr>
        <w:t>” shall have the meaning set forth in Section 3.01(a).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Rate Period</w:t>
      </w:r>
      <w:r>
        <w:rPr>
          <w:rFonts w:ascii="Times New Roman" w:cs="Times New Roman" w:eastAsia="Times New Roman" w:hAnsi="Times New Roman"/>
          <w:sz w:val="18"/>
          <w:szCs w:val="18"/>
          <w:color w:val="auto"/>
        </w:rPr>
        <w:t>” shall have the meaning set forth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Rate Period Interest Payment Date</w:t>
      </w:r>
      <w:r>
        <w:rPr>
          <w:rFonts w:ascii="Times New Roman" w:cs="Times New Roman" w:eastAsia="Times New Roman" w:hAnsi="Times New Roman"/>
          <w:sz w:val="18"/>
          <w:szCs w:val="18"/>
          <w:color w:val="auto"/>
        </w:rPr>
        <w:t>” shall have the meaning set forth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“Fixed Rate Period Record Date” </w:t>
      </w:r>
      <w:r>
        <w:rPr>
          <w:rFonts w:ascii="Times New Roman" w:cs="Times New Roman" w:eastAsia="Times New Roman" w:hAnsi="Times New Roman"/>
          <w:sz w:val="18"/>
          <w:szCs w:val="18"/>
          <w:color w:val="auto"/>
        </w:rPr>
        <w:t>shall have the meaning set forth in Section 2.05(a).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Floating Rate Period</w:t>
      </w:r>
      <w:r>
        <w:rPr>
          <w:rFonts w:ascii="Times New Roman" w:cs="Times New Roman" w:eastAsia="Times New Roman" w:hAnsi="Times New Roman"/>
          <w:sz w:val="18"/>
          <w:szCs w:val="18"/>
          <w:color w:val="auto"/>
        </w:rPr>
        <w:t>” shall have the meaning set forth in Section 2.05(b).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“Floating Rate Period Interest Payment Dates” </w:t>
      </w:r>
      <w:r>
        <w:rPr>
          <w:rFonts w:ascii="Times New Roman" w:cs="Times New Roman" w:eastAsia="Times New Roman" w:hAnsi="Times New Roman"/>
          <w:sz w:val="18"/>
          <w:szCs w:val="18"/>
          <w:color w:val="auto"/>
        </w:rPr>
        <w:t>shall have the meaning set forth in Section 2.05(b).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“Floating Rate Period Record Date</w:t>
      </w:r>
      <w:r>
        <w:rPr>
          <w:rFonts w:ascii="Times New Roman" w:cs="Times New Roman" w:eastAsia="Times New Roman" w:hAnsi="Times New Roman"/>
          <w:sz w:val="18"/>
          <w:szCs w:val="18"/>
          <w:color w:val="auto"/>
        </w:rPr>
        <w:t>” shall have the meaning set forth in Section 2.05(b).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shall have the meaning set forth in Section 2.04(a).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shall mean a Fixed Rate Period Interest Payment Date or a Floating Rate Period Interest Payment Date, as applicable.</w:t>
      </w:r>
    </w:p>
    <w:p>
      <w:pPr>
        <w:spacing w:after="0" w:line="225"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w:t>
      </w:r>
      <w:r>
        <w:rPr>
          <w:rFonts w:ascii="Times New Roman" w:cs="Times New Roman" w:eastAsia="Times New Roman" w:hAnsi="Times New Roman"/>
          <w:sz w:val="18"/>
          <w:szCs w:val="18"/>
          <w:color w:val="auto"/>
        </w:rPr>
        <w:t>” shall mean (1) BBB- (with a stable outlook) or above, in the case of S&amp;P (or its equivalent under any successor rating categories of S&amp;P) and Baa3 (with a stable outlook) or above, in the case of Moody’s (or its equivalent under any successor rating categories of Moody’s), or (2) the equivalent in respect of the Rating Category of any Rating Agencies.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w:t>
      </w:r>
      <w:r>
        <w:rPr>
          <w:rFonts w:ascii="Times New Roman" w:cs="Times New Roman" w:eastAsia="Times New Roman" w:hAnsi="Times New Roman"/>
          <w:sz w:val="18"/>
          <w:szCs w:val="18"/>
          <w:color w:val="auto"/>
        </w:rPr>
        <w:t>” shall mean the International Swaps and Derivatives Association, Inc. or any successor thereto</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shall mean the 2006 ISDA Definitions published by ISDA, as amended or supplemented from time to time, or any successor definitional booklet for interest rate derivatives published from time to time.</w:t>
      </w:r>
    </w:p>
    <w:p>
      <w:pPr>
        <w:spacing w:after="0" w:line="155" w:lineRule="exact"/>
        <w:rPr>
          <w:sz w:val="20"/>
          <w:szCs w:val="20"/>
          <w:color w:val="auto"/>
        </w:rPr>
      </w:pPr>
    </w:p>
    <w:p>
      <w:pPr>
        <w:ind w:right="6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Fallback Adjustment</w:t>
      </w:r>
      <w:r>
        <w:rPr>
          <w:rFonts w:ascii="Times New Roman" w:cs="Times New Roman" w:eastAsia="Times New Roman" w:hAnsi="Times New Roman"/>
          <w:sz w:val="18"/>
          <w:szCs w:val="18"/>
          <w:color w:val="auto"/>
        </w:rPr>
        <w:t>” shall mean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Fallback Rate</w:t>
      </w:r>
      <w:r>
        <w:rPr>
          <w:rFonts w:ascii="Times New Roman" w:cs="Times New Roman" w:eastAsia="Times New Roman" w:hAnsi="Times New Roman"/>
          <w:sz w:val="18"/>
          <w:szCs w:val="18"/>
          <w:color w:val="auto"/>
        </w:rPr>
        <w:t>” shall mean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shall have the meaning set forth in Section 2.02.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shall mean Moody’s Investors Service, Inc. and its successors.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Optional Redemption Price</w:t>
      </w:r>
      <w:r>
        <w:rPr>
          <w:rFonts w:ascii="Times New Roman" w:cs="Times New Roman" w:eastAsia="Times New Roman" w:hAnsi="Times New Roman"/>
          <w:sz w:val="18"/>
          <w:szCs w:val="18"/>
          <w:color w:val="auto"/>
        </w:rPr>
        <w:t>” shall mean, with respect to any redemption of Notes, the redemption price for such Notes set forth in subsection (a) or (b) of Section 3.01, as applicable.</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limited liability company, partnership, joint venture, trust, unincorporated organization or government or any agency or political subdivision thereof.</w:t>
      </w:r>
    </w:p>
    <w:p>
      <w:pPr>
        <w:spacing w:after="0" w:line="155"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Agencies</w:t>
      </w:r>
      <w:r>
        <w:rPr>
          <w:rFonts w:ascii="Times New Roman" w:cs="Times New Roman" w:eastAsia="Times New Roman" w:hAnsi="Times New Roman"/>
          <w:sz w:val="18"/>
          <w:szCs w:val="18"/>
          <w:color w:val="auto"/>
        </w:rPr>
        <w:t>” shall mean (1) S&amp;P and Moody’s or (2) if S&amp;P or Moody’s or both of them are not making ratings publicly available, a nationally recognized statistical rating organization within the meaning of Section 3(a)(62) of the Exchange Act, as the case may be, selected by the Company, which shall be substituted for S&amp;P or Moody’s or both, as the case may be.</w:t>
      </w:r>
    </w:p>
    <w:p>
      <w:pPr>
        <w:spacing w:after="0" w:line="1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Category</w:t>
      </w:r>
      <w:r>
        <w:rPr>
          <w:rFonts w:ascii="Times New Roman" w:cs="Times New Roman" w:eastAsia="Times New Roman" w:hAnsi="Times New Roman"/>
          <w:sz w:val="18"/>
          <w:szCs w:val="18"/>
          <w:color w:val="auto"/>
        </w:rPr>
        <w:t>” shall mean (i)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rating from BB+ to BB, as well as from BB- to B+, will constitute a decrease of one gradation).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39" w:name="page40"/>
    <w:bookmarkEnd w:id="39"/>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Ratings Event</w:t>
      </w:r>
      <w:r>
        <w:rPr>
          <w:rFonts w:ascii="Times New Roman" w:cs="Times New Roman" w:eastAsia="Times New Roman" w:hAnsi="Times New Roman"/>
          <w:sz w:val="18"/>
          <w:szCs w:val="18"/>
          <w:color w:val="auto"/>
        </w:rPr>
        <w:t xml:space="preserve">” shall mean (i) if the Notes are rated by one or both of the Rating Agencies as Investment Grade, a decrease in, or withdrawal of, the rating of the Notes so that such Notes are not rated as Investment Grade by both Rating Agencies or (ii) if the Notes are rated below Investment Grade by both Rating Agencies, (x) a decrease of one or more gradations (including gradations within Rating Categories as well as between Rating Categories) in the rating of the Notes by both Rating Agencies, (y) a decrease of one or more gradations (including gradations within Rating Categories as well as between Rating Categories) in the rating of the Notes by one Rating Agency and a withdrawal of the rating of the Notes by the other Rating Agency, or (z) a withdrawal of the rating of the Notes by both Rating Agencies, in each of (i) and (ii), directly as a result of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decrease or withdrawal occurs on, or within 30 days following, the earlier of (x) the occurrence of a Change of Control or</w:t>
      </w:r>
    </w:p>
    <w:p>
      <w:pPr>
        <w:spacing w:after="0" w:line="1" w:lineRule="exact"/>
        <w:rPr>
          <w:sz w:val="20"/>
          <w:szCs w:val="20"/>
          <w:color w:val="auto"/>
        </w:rPr>
      </w:pPr>
    </w:p>
    <w:p>
      <w:pPr>
        <w:ind w:left="4" w:right="40" w:hanging="4"/>
        <w:spacing w:after="0" w:line="252"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public notice of the occurrence of a Change of Control or of the intention by the Company, or a stockholder of the Company, as applicable, to effect a Change of Control, which period shall be extended so long as the rating of the Notes relating to the Change of Control as noted by the Rating Agency is under publicly announced consideration for downgrade by the applicable Rating Agency. Unless both Rating Agencies are providing a rating for the Notes on the earlier of (x) the occurrence of a Change of Control or (y) the date of public notice of the occurrence of a Change of Control or of the intention by the Company, or a stockholder of the Company, as applicable, to effect a Change of Control, a Ratings Event shall be deemed to have occurred.</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shall have the meaning set forth in Section 2.05(b).</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mean, with respect to any redemption of Notes, the date fixed for such redemption pursuant to the Indenture and such Notes.</w:t>
      </w:r>
    </w:p>
    <w:p>
      <w:pPr>
        <w:spacing w:after="0" w:line="15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shall mean with respect to any determination of the Benchmark, (1) if the Benchmark is Compounded SOFR, the SOFR Index Determination Time, as such time is defined herein, and (2) if the Benchmark is not Compounded SOFR, the time determined by the Company or its designee in accordance with the Benchmark Replacement Conforming Changes.</w:t>
      </w:r>
    </w:p>
    <w:p>
      <w:pPr>
        <w:spacing w:after="0" w:line="171"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shall mean the Federal Reserve Board and/or the FRBNY, or a committee officially endorsed or convened by the Federal Reserve Board and/or the FRBNY or any successor thereto.</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shall mean S&amp;P Global Ratings, a division of S&amp;P Global, Inc., and its successors.</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shall mean any Subsidiary that satisfies the criteria for a “significant subsidiary” set forth in Rule 1-02(w) of Regulation S-X under the Exchange Act.</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shall mean any corporation, association or other business entity of which more than 50%, by number of votes, of the Voting Stock is at the time directly or indirectly owned by the Company.</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shall mean, with respect to any Redemption Date, the yield determined by the Company in accordance with the following two paragraphs.</w:t>
      </w:r>
    </w:p>
    <w:p>
      <w:pPr>
        <w:spacing w:after="0" w:line="159"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Company shall select, as applicable: (1) the yield for the Treasury constant maturity on H.15 exactly equal to the period from the Redemption Date to the First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40" w:name="page41"/>
    <w:bookmarkEnd w:id="4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the Company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Benchmark Replacement excluding the Benchmark Replacement Adjustment.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xml:space="preserve">” of any specified Person as of any date shall mean the capital stock or other equity interests of such Person of the class or classes having general voting power under ordinary circumstances to elect at least a majority of the board of directors, managers or trustees of such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purposes hereof, capital stock or equity interests which carry only the right to vote conditionally on the happening of an event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considered “Voting Stock” whether or not such event shall have happened.</w:t>
      </w:r>
    </w:p>
    <w:p>
      <w:pPr>
        <w:spacing w:after="0" w:line="176"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shall have the respective meanings set forth in the recitals to this Supplemental Indenture and the paragraph preceding such recitals.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Terms and Conditions of the Notes</w:t>
      </w:r>
    </w:p>
    <w:p>
      <w:pPr>
        <w:spacing w:after="0" w:line="205"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Designation and Principal Amount</w:t>
      </w:r>
      <w:r>
        <w:rPr>
          <w:rFonts w:ascii="Times New Roman" w:cs="Times New Roman" w:eastAsia="Times New Roman" w:hAnsi="Times New Roman"/>
          <w:sz w:val="18"/>
          <w:szCs w:val="18"/>
          <w:color w:val="auto"/>
        </w:rPr>
        <w:t>. The Notes may be issued from time to time upon written order of the Company for the authentication and delivery of Notes pursuant to Section 2.03 of the Base Indenture.</w:t>
      </w:r>
    </w:p>
    <w:p>
      <w:pPr>
        <w:spacing w:after="0" w:line="160" w:lineRule="exact"/>
        <w:rPr>
          <w:sz w:val="20"/>
          <w:szCs w:val="20"/>
          <w:color w:val="auto"/>
        </w:rPr>
      </w:pPr>
    </w:p>
    <w:p>
      <w:pPr>
        <w:ind w:right="80" w:firstLine="436"/>
        <w:spacing w:after="0" w:line="261"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There is hereby authorized a series of Securities designated as 6.495% Fixed-to-Floating Rate Senior Notes due 2032, initially limited in aggregate principal amount to U.S. $500,000,000 (except for Notes authenticated and delivered in accordance with the last paragraph of Section 2.02 of the Base Indenture or upon registration of transfer of, or in exchange for, or in lieu of, other Notes pursuant to Sections 2.06, 2.07, 2.08, 2.09, 3.03 or 10.04 of the Base Indenture).</w:t>
      </w:r>
    </w:p>
    <w:p>
      <w:pPr>
        <w:spacing w:after="0" w:line="178"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Maturity</w:t>
      </w:r>
      <w:r>
        <w:rPr>
          <w:rFonts w:ascii="Times New Roman" w:cs="Times New Roman" w:eastAsia="Times New Roman" w:hAnsi="Times New Roman"/>
          <w:sz w:val="18"/>
          <w:szCs w:val="18"/>
          <w:color w:val="auto"/>
        </w:rPr>
        <w:t>. The date upon which the Notes shall become due and payable at final maturity, together with any accrued and unpaid interest, is May 15, 2032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Form, Payment and Appointment</w:t>
      </w:r>
      <w:r>
        <w:rPr>
          <w:rFonts w:ascii="Times New Roman" w:cs="Times New Roman" w:eastAsia="Times New Roman" w:hAnsi="Times New Roman"/>
          <w:sz w:val="18"/>
          <w:szCs w:val="18"/>
          <w:color w:val="auto"/>
        </w:rPr>
        <w:t>. Except as provided in Section 2.04, the Notes shall be issued in fully registered, certificated form, bearing identical terms. Principal of and interest on the Notes will be payable, the transfer of such Notes will be registrable, and such Notes will be exchangeable for Notes of a like aggregate principal amount bearing identical terms and provisions, at the office or agency of the Company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1" w:name="page42"/>
    <w:bookmarkEnd w:id="41"/>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maintained for such purpose in the Borough of Manhattan, The City of New York, which shall initially be the Principal Office of the Trustee in the Borough of Manhattan, The City of New York;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paying agent shall have received written notice of such account designation at least five Business Days prior to the date of such payment (subject to surrender of the relevant Note in the case of a payment of interest on a Redemption Date or Maturity Date).</w:t>
      </w:r>
    </w:p>
    <w:p>
      <w:pPr>
        <w:spacing w:after="0" w:line="16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registration of transfer or exchange of the Notes, but the Company may require payment from the holder of a sum sufficient to cover any tax or other governmental charge that may be imposed in connection therewith.</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Security Registrar and paying agent for the Notes shall initially be the Trustee.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Specified Currency of the Notes shall be U.S. Dollars.</w:t>
      </w:r>
    </w:p>
    <w:p>
      <w:pPr>
        <w:spacing w:after="0" w:line="22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(a) The Notes shall be issued initially in the form of one or more permanent Global Securities in registered form (each, a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shall initially act as the Depositary for the Notes. Each Global Note (i) shall be deposited with the Depositary or its custodian and registered in the name of DTC’s nominee, (ii) shall be delivered by the Trustee to such Depositary or pursuant to such Depositary’s instructions, and (iii) shall bear a legend substantially to the effect set forth in Section 2.12 of the Base Indenture.</w:t>
      </w:r>
    </w:p>
    <w:p>
      <w:pPr>
        <w:spacing w:after="0" w:line="182" w:lineRule="exact"/>
        <w:rPr>
          <w:sz w:val="20"/>
          <w:szCs w:val="20"/>
          <w:color w:val="auto"/>
        </w:rPr>
      </w:pPr>
    </w:p>
    <w:p>
      <w:pPr>
        <w:ind w:right="40" w:firstLine="436"/>
        <w:spacing w:after="0" w:line="261"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Outstanding Notes represented by any Global Note may from time to time be increased or decreased to reflect exchanges. The Trustee may make any endorsement on a Global Note to reflect the amount, or any increase or decrease in the amount, or changes in the rights of holders of the Notes represented thereby, in each case in accordance with the terms of the Indenture and the Notes. Each Global Note shall represent the aggregate amount of Notes from time to time endorsed thereon.</w:t>
      </w:r>
    </w:p>
    <w:p>
      <w:pPr>
        <w:spacing w:after="0" w:line="179" w:lineRule="exact"/>
        <w:rPr>
          <w:rFonts w:ascii="Times New Roman" w:cs="Times New Roman" w:eastAsia="Times New Roman" w:hAnsi="Times New Roman"/>
          <w:sz w:val="18"/>
          <w:szCs w:val="18"/>
          <w:color w:val="auto"/>
        </w:rPr>
      </w:pPr>
    </w:p>
    <w:p>
      <w:pPr>
        <w:jc w:val="both"/>
        <w:ind w:right="160" w:firstLine="436"/>
        <w:spacing w:after="0" w:line="289" w:lineRule="auto"/>
        <w:tabs>
          <w:tab w:leader="none" w:pos="68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and until any Global Note is exchanged for Notes in certificated form, such Global Note may be transferred, in whole but not in part, and any payments on the Notes evidenced by such Global Note shall be made, only to the Depositary or a nominee of the Depositary, or to a successor Depositary selected or approved by the Company or to a nominee of such successor Depositary, in each case as the Securityholder of such Notes.</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20" w:firstLine="436"/>
        <w:spacing w:after="0" w:line="261"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any Interest Payment Date, the Maturity Date or, if applicable, a Redemption Date, shall be the amount of interest accrued from, and including, the immediately preceding Interest Payment Date in respect of which interest has been paid or duly provided for (or from and including the original issue date of May 15, 2026, if no interest has been paid or duly provided for with respect to the Notes) to, but excluding, such Interest Payment Date, Maturity Date or, if applicable, Redemption Date, as the case may be.</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Rate Period.</w:t>
      </w:r>
    </w:p>
    <w:p>
      <w:pPr>
        <w:spacing w:after="0" w:line="113" w:lineRule="exact"/>
        <w:rPr>
          <w:sz w:val="20"/>
          <w:szCs w:val="20"/>
          <w:color w:val="auto"/>
        </w:rPr>
      </w:pPr>
    </w:p>
    <w:p>
      <w:pPr>
        <w:ind w:left="980"/>
        <w:spacing w:after="0" w:line="256" w:lineRule="auto"/>
        <w:rPr>
          <w:sz w:val="20"/>
          <w:szCs w:val="20"/>
          <w:color w:val="auto"/>
        </w:rPr>
      </w:pPr>
      <w:r>
        <w:rPr>
          <w:rFonts w:ascii="Times New Roman" w:cs="Times New Roman" w:eastAsia="Times New Roman" w:hAnsi="Times New Roman"/>
          <w:sz w:val="18"/>
          <w:szCs w:val="18"/>
          <w:color w:val="auto"/>
        </w:rPr>
        <w:t>During the period from and including the issue date to, but excluding May 15, 2031 (the “</w:t>
      </w:r>
      <w:r>
        <w:rPr>
          <w:rFonts w:ascii="Times New Roman" w:cs="Times New Roman" w:eastAsia="Times New Roman" w:hAnsi="Times New Roman"/>
          <w:sz w:val="18"/>
          <w:szCs w:val="18"/>
          <w:b w:val="1"/>
          <w:bCs w:val="1"/>
          <w:color w:val="auto"/>
        </w:rPr>
        <w:t>Fixed Rate Period”</w:t>
      </w:r>
      <w:r>
        <w:rPr>
          <w:rFonts w:ascii="Times New Roman" w:cs="Times New Roman" w:eastAsia="Times New Roman" w:hAnsi="Times New Roman"/>
          <w:sz w:val="18"/>
          <w:szCs w:val="18"/>
          <w:color w:val="auto"/>
        </w:rPr>
        <w:t>), the Notes shall bear interest at the rate of 6.495% per annum. Such interest shall be payable semi-annually, in arrears, on May 15 and November 15 of each year, beginning on November 15, 2026, and ending on May 15, 2031 (each, a “</w:t>
      </w:r>
      <w:r>
        <w:rPr>
          <w:rFonts w:ascii="Times New Roman" w:cs="Times New Roman" w:eastAsia="Times New Roman" w:hAnsi="Times New Roman"/>
          <w:sz w:val="18"/>
          <w:szCs w:val="18"/>
          <w:b w:val="1"/>
          <w:bCs w:val="1"/>
          <w:color w:val="auto"/>
        </w:rPr>
        <w:t>Fixed Rate Period Interest Payment Date</w:t>
      </w:r>
      <w:r>
        <w:rPr>
          <w:rFonts w:ascii="Times New Roman" w:cs="Times New Roman" w:eastAsia="Times New Roman" w:hAnsi="Times New Roman"/>
          <w:sz w:val="18"/>
          <w:szCs w:val="18"/>
          <w:color w:val="auto"/>
        </w:rPr>
        <w:t>”). Interest shall be payable to the persons in whose names the Notes are registered at the close of business on May 1 and November 1 (whether or not a Business Day) (each, a “</w:t>
      </w:r>
      <w:r>
        <w:rPr>
          <w:rFonts w:ascii="Times New Roman" w:cs="Times New Roman" w:eastAsia="Times New Roman" w:hAnsi="Times New Roman"/>
          <w:sz w:val="18"/>
          <w:szCs w:val="18"/>
          <w:b w:val="1"/>
          <w:bCs w:val="1"/>
          <w:color w:val="auto"/>
        </w:rPr>
        <w:t>Fixed Rate Period Record Date</w:t>
      </w:r>
      <w:r>
        <w:rPr>
          <w:rFonts w:ascii="Times New Roman" w:cs="Times New Roman" w:eastAsia="Times New Roman" w:hAnsi="Times New Roman"/>
          <w:sz w:val="18"/>
          <w:szCs w:val="18"/>
          <w:color w:val="auto"/>
        </w:rPr>
        <w:t>”), respectively, immediately prior to each Fixed Rate Period Interest Payment Date; provided that the interest due on any Redemption Date or the Maturity Date (whether or not a Fixed Rate Period Interest Payment Date) shall be paid to the person to whom principal is payable.</w:t>
      </w:r>
    </w:p>
    <w:p>
      <w:pPr>
        <w:spacing w:after="0" w:line="7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The amount of interest payable for any full semi-annual interest period during the Fixed Rate Period in respect of the Notes shall be computed on the basis of a 360-day year consisting of twelve 30-day months. The amount of interest payable for any period shorter than a full semi-annual interest period during the Fixed Rate Period in respect of the Notes shall be computed on the basis of a 30-day month and, for any period less than a month, on the basis of the actual number of days elapsed per 30-day month.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2" w:name="page43"/>
    <w:bookmarkEnd w:id="42"/>
    <w:p>
      <w:pPr>
        <w:jc w:val="both"/>
        <w:ind w:left="540"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scheduled Fixed Rate Period Interest Payment Date, Maturity Date or any Redemption Date falls on a day that is not a Business Day, then payment of any interest, principal or premium payable on such date shall be postponed to the next succeeding Business Day, with the same force and effect as if made on the date such payment was due, and no interest or other payment shall accrue as a result of such delay.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Floating Rate Period.</w:t>
      </w:r>
    </w:p>
    <w:p>
      <w:pPr>
        <w:spacing w:after="0" w:line="117" w:lineRule="exact"/>
        <w:rPr>
          <w:sz w:val="20"/>
          <w:szCs w:val="20"/>
          <w:color w:val="auto"/>
        </w:rPr>
      </w:pPr>
    </w:p>
    <w:p>
      <w:pPr>
        <w:ind w:left="540" w:right="100"/>
        <w:spacing w:after="0" w:line="253" w:lineRule="auto"/>
        <w:rPr>
          <w:sz w:val="20"/>
          <w:szCs w:val="20"/>
          <w:color w:val="auto"/>
        </w:rPr>
      </w:pPr>
      <w:r>
        <w:rPr>
          <w:rFonts w:ascii="Times New Roman" w:cs="Times New Roman" w:eastAsia="Times New Roman" w:hAnsi="Times New Roman"/>
          <w:sz w:val="18"/>
          <w:szCs w:val="18"/>
          <w:color w:val="auto"/>
        </w:rPr>
        <w:t>During the period from and including, May 15, 2031, to, but excluding, the Maturity Date (the “Floating Rate Period”), the Notes shall bear interest at a floating rate per annum equal to the Benchmark plus 271 basis points, as determined in arrears by the Calculation Agent in the manner described herein. Such interest shall be payable quarterly, in arrears, on August 15, 2031, November 15, 2031, February 15, 2032 and the Maturity Date (each, a “</w:t>
      </w:r>
      <w:r>
        <w:rPr>
          <w:rFonts w:ascii="Times New Roman" w:cs="Times New Roman" w:eastAsia="Times New Roman" w:hAnsi="Times New Roman"/>
          <w:sz w:val="18"/>
          <w:szCs w:val="18"/>
          <w:b w:val="1"/>
          <w:bCs w:val="1"/>
          <w:color w:val="auto"/>
        </w:rPr>
        <w:t>Floating Rate Period Interest Payment Date</w:t>
      </w:r>
      <w:r>
        <w:rPr>
          <w:rFonts w:ascii="Times New Roman" w:cs="Times New Roman" w:eastAsia="Times New Roman" w:hAnsi="Times New Roman"/>
          <w:sz w:val="18"/>
          <w:szCs w:val="18"/>
          <w:color w:val="auto"/>
        </w:rPr>
        <w:t>”). Interest shall be payable to the persons in whose names the Notes are registered at the close of business on August 1, November 1, February 1 and May 1 (whether or not a Business Day) (each, a “</w:t>
      </w:r>
      <w:r>
        <w:rPr>
          <w:rFonts w:ascii="Times New Roman" w:cs="Times New Roman" w:eastAsia="Times New Roman" w:hAnsi="Times New Roman"/>
          <w:sz w:val="18"/>
          <w:szCs w:val="18"/>
          <w:b w:val="1"/>
          <w:bCs w:val="1"/>
          <w:color w:val="auto"/>
        </w:rPr>
        <w:t>Floating Rate Period Record Date</w:t>
      </w:r>
      <w:r>
        <w:rPr>
          <w:rFonts w:ascii="Times New Roman" w:cs="Times New Roman" w:eastAsia="Times New Roman" w:hAnsi="Times New Roman"/>
          <w:sz w:val="18"/>
          <w:szCs w:val="18"/>
          <w:color w:val="auto"/>
        </w:rPr>
        <w:t>,” and together with each Fixed Rate Period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respectively, immediately prior to each Floating Rate Period Interest Payment Date; provided that the interest due on any applicable Redemption Date or on the Maturity Date (whether or not a Floating Rate Period Interest Payment Date) shall be paid to the person to whom principal is payable. Benchmark for each Floating Rate Period shall be calculated by the Calculation Agent in accordance with the formula set forth herein with respect to the Observation Period relating to such Floating Rate Period.</w:t>
      </w:r>
    </w:p>
    <w:p>
      <w:pPr>
        <w:spacing w:after="0" w:line="86"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The amount of interest payable for any interest period during the Floating Rate Period shall be computed on the basis of the actual number of days in each interest period during the Floating Rate Period (or any other relevant period) and a 360-day year. The amount of accrued interest payable on the Notes for each interest period during the Floating Rate Period shall be computed by multiplying (i) the outstanding principal amount of the Notes by (ii) the product of (a) the interest rate for the relevant interest period during the Floating Rate Period multiplied by (b) the quotient of the actual number of calendar days in the applicable Observation Period relating to such interest period during the Floating Rate Period (or any other relevant period) divided by 360. The interest rate on the Notes shall in no event be lower than zero.</w:t>
      </w:r>
    </w:p>
    <w:p>
      <w:pPr>
        <w:spacing w:after="0" w:line="81" w:lineRule="exact"/>
        <w:rPr>
          <w:sz w:val="20"/>
          <w:szCs w:val="20"/>
          <w:color w:val="auto"/>
        </w:rPr>
      </w:pPr>
    </w:p>
    <w:p>
      <w:pPr>
        <w:ind w:left="540" w:right="100"/>
        <w:spacing w:after="0" w:line="255" w:lineRule="auto"/>
        <w:rPr>
          <w:sz w:val="20"/>
          <w:szCs w:val="20"/>
          <w:color w:val="auto"/>
        </w:rPr>
      </w:pPr>
      <w:r>
        <w:rPr>
          <w:rFonts w:ascii="Times New Roman" w:cs="Times New Roman" w:eastAsia="Times New Roman" w:hAnsi="Times New Roman"/>
          <w:sz w:val="18"/>
          <w:szCs w:val="18"/>
          <w:color w:val="auto"/>
        </w:rPr>
        <w:t>If any scheduled Floating Rate Period Interest Payment Date (other than the Maturity Date or any Redemption Date) falls on a day that is not a Business Day, such Floating Rate Period Interest Payment Date shall be postponed to the next succeeding Business Day, except that, if the next succeeding Business Day falls in the next calendar month, then such Floating Rate Period Interest Payment Date shall be advanced to the immediately preceding day that is a Business Day. If any such Floating Rate Period Interest Payment Date (other than the Maturity Date or any Redemption Date) is postponed or brought forward as described above, the payment of interest due on such postponed or brought forward Floating Rate Period Interest Payment Date shall include interest accrued to but excluding such postponed or brought forward Floating Rate Period Interest Payment Date.</w:t>
      </w:r>
    </w:p>
    <w:p>
      <w:pPr>
        <w:spacing w:after="0" w:line="81"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The Calculation Agent shall determine the Benchmark, the interest rate and accrued interest for each interest period in arrears as soon as reasonably practicable on or after the Interest Payment Determination Date for such interest period and prior to the relevant Interest Payment Date and shall notify the Trustee and the Company (if the Company is not the Calculation Agent) of the Benchmark, such interest rate and accrued interest for each interest period as soon as reasonably practicable after such determination, but in any event by the Business Day immediately prior to the Floating Rate Period Interest Payment Date. At the request of a holder of the Notes, the Company shall provide the Benchmark, the interest rate and the amount of interest accrued with respect to any interest period, after the Benchmark, such interest rate and accrued interest have been determined. The Calculation Agent’s determination of any interest rate, and its calculation of interest payments for any Floating Rate Period, shall be maintained on file at the Calculation Agent’s principal offices and shall be provided in writing to the Trustee.</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80"/>
          </w:cols>
          <w:pgMar w:left="880" w:top="270" w:right="439" w:bottom="1440" w:gutter="0" w:footer="0" w:header="0"/>
        </w:sectPr>
      </w:pPr>
    </w:p>
    <w:bookmarkStart w:id="43" w:name="page44"/>
    <w:bookmarkEnd w:id="43"/>
    <w:p>
      <w:pPr>
        <w:ind w:right="40" w:firstLine="436"/>
        <w:spacing w:after="0" w:line="254" w:lineRule="auto"/>
        <w:tabs>
          <w:tab w:leader="none" w:pos="6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Maturity Date or a Redemption Date for any Note falls on a day that is not a Business Day, then the related payments of principal, premium, if any, and interest shall be made on the next succeeding day that is a Business Day (and no additional interest shall accrue on the amount payable for the period from and after such Maturity Date or Redemption Date, as the case may be). If a Redemption Date of any Note falls within the applicable Floating Rate Period but does not occur on a Floating Rate Period Interest Payment Date, (i) the related Interest Payment Determination Date shall be deemed to be the date that is two U.S. Government Securities Business Days prior to such Redemption Date, (ii) the related Observation Period shall be deemed to end on (and exclude) the second U.S. Government Securities Business Day falling prior to such Redemption Date, (iii) the Floating Rate Period shall be deemed to be shortened accordingly and (iv) corresponding adjustments shall be deemed to be made to the Benchmark.</w:t>
      </w:r>
    </w:p>
    <w:p>
      <w:pPr>
        <w:spacing w:after="0" w:line="84"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Index Unavailable Provisions. If a SOFR Index</w:t>
      </w:r>
      <w:r>
        <w:rPr>
          <w:rFonts w:ascii="Times New Roman" w:cs="Times New Roman" w:eastAsia="Times New Roman" w:hAnsi="Times New Roman"/>
          <w:sz w:val="26"/>
          <w:szCs w:val="26"/>
          <w:color w:val="auto"/>
          <w:vertAlign w:val="subscript"/>
        </w:rPr>
        <w:t>Start</w:t>
      </w:r>
      <w:r>
        <w:rPr>
          <w:rFonts w:ascii="Times New Roman" w:cs="Times New Roman" w:eastAsia="Times New Roman" w:hAnsi="Times New Roman"/>
          <w:sz w:val="18"/>
          <w:szCs w:val="18"/>
          <w:color w:val="auto"/>
        </w:rPr>
        <w:t xml:space="preserve"> or SOFR Index</w:t>
      </w:r>
      <w:r>
        <w:rPr>
          <w:rFonts w:ascii="Times New Roman" w:cs="Times New Roman" w:eastAsia="Times New Roman" w:hAnsi="Times New Roman"/>
          <w:sz w:val="26"/>
          <w:szCs w:val="26"/>
          <w:color w:val="auto"/>
          <w:vertAlign w:val="subscript"/>
        </w:rPr>
        <w:t>End</w:t>
      </w:r>
      <w:r>
        <w:rPr>
          <w:rFonts w:ascii="Times New Roman" w:cs="Times New Roman" w:eastAsia="Times New Roman" w:hAnsi="Times New Roman"/>
          <w:sz w:val="18"/>
          <w:szCs w:val="18"/>
          <w:color w:val="auto"/>
        </w:rPr>
        <w:t xml:space="preserve">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currently at </w:t>
      </w:r>
      <w:r>
        <w:rPr>
          <w:rFonts w:ascii="Times New Roman" w:cs="Times New Roman" w:eastAsia="Times New Roman" w:hAnsi="Times New Roman"/>
          <w:sz w:val="18"/>
          <w:szCs w:val="18"/>
          <w:u w:val="single" w:color="auto"/>
          <w:color w:val="auto"/>
        </w:rPr>
        <w:t>https://www.newyorkfed.org/markets/reference-rates/sofr-averages-and-index</w:t>
      </w:r>
      <w:r>
        <w:rPr>
          <w:rFonts w:ascii="Times New Roman" w:cs="Times New Roman" w:eastAsia="Times New Roman" w:hAnsi="Times New Roman"/>
          <w:sz w:val="18"/>
          <w:szCs w:val="18"/>
          <w:color w:val="auto"/>
        </w:rPr>
        <w:t>, or any successor source. For the purposes of this provision, references in the SOFR Averages compounding formula and related definitions to “calculation period” shall be replaced with “Observation Period” and the words “that is, 30-, 90-, or 180- calendar days” shall be removed. If SOFR (“SOFRi”) does not so appear for any day, “i” in the Observation Period, SOFRi for such day “i” shall be SOFR published in respect of the first preceding U.S. Government Securities Business Day for which SOFR was published on the SOFR Administrator’s Website.</w:t>
      </w:r>
    </w:p>
    <w:p>
      <w:pPr>
        <w:spacing w:after="0" w:line="190"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Transition Provisions</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5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In the event that the Company or its designee determines that a Benchmark Transition Event and its related Benchmark Replacement Date have occurred on or prior to the applicable Reference Time in respect of any determination of the Benchmark on any date, the applicable Benchmark Replacement shall replace the then-current Benchmark for all purposes relating to the Notes in respect of such determination on such date and all determinations on all subsequent dates.</w:t>
      </w:r>
    </w:p>
    <w:p>
      <w:pPr>
        <w:spacing w:after="0" w:line="71" w:lineRule="exact"/>
        <w:rPr>
          <w:rFonts w:ascii="Times New Roman" w:cs="Times New Roman" w:eastAsia="Times New Roman" w:hAnsi="Times New Roman"/>
          <w:sz w:val="18"/>
          <w:szCs w:val="18"/>
          <w:color w:val="auto"/>
        </w:rPr>
      </w:pPr>
    </w:p>
    <w:p>
      <w:pPr>
        <w:ind w:left="980" w:right="580" w:firstLine="408"/>
        <w:spacing w:after="0" w:line="282" w:lineRule="auto"/>
        <w:tabs>
          <w:tab w:leader="none" w:pos="16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implementation of a Benchmark Replacement, the Company or its designee will have the right to make Benchmark Replacement Conforming Changes from time to time.</w:t>
      </w:r>
    </w:p>
    <w:p>
      <w:pPr>
        <w:spacing w:after="0" w:line="53" w:lineRule="exact"/>
        <w:rPr>
          <w:rFonts w:ascii="Times New Roman" w:cs="Times New Roman" w:eastAsia="Times New Roman" w:hAnsi="Times New Roman"/>
          <w:sz w:val="18"/>
          <w:szCs w:val="18"/>
          <w:color w:val="auto"/>
        </w:rPr>
      </w:pPr>
    </w:p>
    <w:p>
      <w:pPr>
        <w:ind w:left="980" w:firstLine="408"/>
        <w:spacing w:after="0" w:line="253" w:lineRule="auto"/>
        <w:tabs>
          <w:tab w:leader="none" w:pos="169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Decisions and Determinations</w:t>
      </w:r>
      <w:r>
        <w:rPr>
          <w:rFonts w:ascii="Times New Roman" w:cs="Times New Roman" w:eastAsia="Times New Roman" w:hAnsi="Times New Roman"/>
          <w:sz w:val="18"/>
          <w:szCs w:val="18"/>
          <w:color w:val="auto"/>
        </w:rPr>
        <w:t>. All determinations, decisions, elections and any calculations made by the Company or its designee for the purposes of determining the Benchmark Replacement, the Benchmark Replacement Adjustment and any Benchmark Replacement Conforming Changes: shall be conclusive and binding on the holders of the Notes, the Company, the Calculation Agent, the Trustee and the paying agent, absent manifest error; if made by the Company as Calculation Agent, will be made in the Company’s sole discretion; if made by the Company’s designee, such determinations, decisions, elections and calculations shall be made after consulting with the Company, and such designees shall not make any such determination, decision, election or calculation to which the Company objects; and notwithstanding anything to the contrary in the Indenture, any determinations, decisions, calculations or elections made in accordance with this provision shall become effective without consent from the holders of the Notes or any other party. Any determination, decision or election pursuant to the benchmark replacement provisions shall be made by the Company or its designee (which may be the Company’s affiliate) on the basis as described above, and in no event shall the Trustee or the Calculation Agent be responsible for making any such determination, decision or election. None of the Trustee, paying agent, or the Calculation Agent (if other than the Company or its affiliate) shall be under any obligation (i) to monitor,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4" w:name="page45"/>
    <w:bookmarkEnd w:id="44"/>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determine or verify the unavailability or cessation of SOFR or the SOFR Index, or whether or when there has occurred, or to give notice to any other transaction party of the occurrence of, any Benchmark Transition Event or related Benchmark Replacement Date, (ii) to select, determine or designate any Benchmark Replacement, or other successor or replacement benchmark index, or whether any conditions to the designation of such a rate or index have been satisfied,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including, but not limited to, adjustments as to any alternative spread thereon, the business day convention, interest determination dates or any other relevant methodology applicable to such substitute or successor benchmark. In connection with the foregoing, each of the Trustee, paying agent, and Calculation Agent (if other than the Company or its affiliate) shall be entitled to conclusively rely on any determinations made by the Company or its designee without independent investigation, and none of the Trustee, paying agent, and Calculation Agent (if other than the Company or its affiliate) will have any liability for actions taken at the direction of the Company in connection therewith. None of the Trustee, paying agent, or the Calculation Agent (if other than the Company or its affiliate) shall be liable for any inability, failure or delay on its part to perform any of its duties set forth in this Supplemental Indenture or the Notes as a result of the unavailability of SOFR, or other applicable Benchmark Replacement, including as a result of any failure, inability, delay, error or inaccuracy on the part of any other transaction party in providing any direction, instruction, notice or information required or contemplated by the terms of this Supplemental Indenture or the Notes and reasonably required for the performance of such duties. None of the Trustee, paying agent, or Calculation Agent (if other than the Company or its affiliate) shall be responsible or liable for the Company’s actions or omissions or for those of any of the Company’s designees, or for any failure or delay in the performance by the Company or any of its designees, nor shall any of the Trustee, paying agent, or Calculation Agent (if other than the Company or its affiliate) be under any obligation to oversee or monitor the Company’s performance or the performance of any of the Company’s designees. The Trustee and paying agent may conclusively rely, without investigation, on the Calculation Agent’s determination of the interest rate during the Floating Rate Period.</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No Sinking Fund</w:t>
      </w:r>
      <w:r>
        <w:rPr>
          <w:rFonts w:ascii="Times New Roman" w:cs="Times New Roman" w:eastAsia="Times New Roman" w:hAnsi="Times New Roman"/>
          <w:sz w:val="18"/>
          <w:szCs w:val="18"/>
          <w:color w:val="auto"/>
        </w:rPr>
        <w:t>. The Notes are not entitled to the benefit of any sinking fund.</w:t>
      </w:r>
    </w:p>
    <w:p>
      <w:pPr>
        <w:spacing w:after="0" w:line="22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Article 12 of the Base Indenture contains provisions for discharge of the Indenture and defeasance of the obligations of the Company with respect to any Securities at any time upon compliance by the Company with certain conditions set forth therein, which provisions shall apply to the Notes.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In addition to the Events of Default contained in Section 6.01 of the Base Indenture, each of the following is 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with respect to the Notes:</w:t>
      </w:r>
    </w:p>
    <w:p>
      <w:pPr>
        <w:spacing w:after="0" w:line="207" w:lineRule="exact"/>
        <w:rPr>
          <w:sz w:val="20"/>
          <w:szCs w:val="20"/>
          <w:color w:val="auto"/>
        </w:rPr>
      </w:pPr>
    </w:p>
    <w:p>
      <w:pPr>
        <w:ind w:right="40" w:firstLine="436"/>
        <w:spacing w:after="0" w:line="254"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for borrowed money of the Company or any Significant Subsidiary shall have been accelerated by its terms so that the same shall be or become due and payable prior to the date on which the same would otherwise have become due and payable, and the aggregate principal amount of any indebtedness with respect to which such acceleration has occurred exceeds $75,000,000, and such indebtedness has not been discharged or such acceleration shall not have been rescinded or annulled within fifteen (15) days after written notice thereof shall have been given to the Company by the Trustee by registered mail, or to the Company and the Trustee by the holders of at least 25% in aggregate principal amount of the Notes at the time Outstanding; provided, however, that if any default with respect to such indebtedness giving rise to such acceleration shall be remedied, cured or waived, as the case may be, then the Event of Default hereunder by reason thereof shall be deemed likewise to have been thereupon remedied, cured or waived without further action upon the part of either the Trustee or any of the holders of such Notes;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5" w:name="page46"/>
    <w:bookmarkEnd w:id="45"/>
    <w:p>
      <w:pPr>
        <w:ind w:left="4" w:right="80" w:firstLine="436"/>
        <w:spacing w:after="0" w:line="256" w:lineRule="auto"/>
        <w:tabs>
          <w:tab w:leader="none" w:pos="69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involuntary proceeding shall be commenced or an involuntary petition shall be filed seeking (i) liquidation, reorganization or other relief in respect of any Significant Subsidiary (or any successor thereof) or its debts, or of a substantial part of its assets, under any Federal, state or foreign bankruptcy, insolvency, receivership or similar law now or hereafter in effect or (ii) the appointment of a receiver, trustee, custodian, sequestrator, conservator or similar official for any Significant Subsidiary (or any successor thereof) for a substantial part of its assets, and, in any such case, such proceeding or petition shall continue undismissed for 60 days, or an order or decree or other action approving or ordering any of the foregoing shall be entered, including by any Bank Regulatory Authority; or</w:t>
      </w:r>
    </w:p>
    <w:p>
      <w:pPr>
        <w:spacing w:after="0" w:line="187" w:lineRule="exact"/>
        <w:rPr>
          <w:rFonts w:ascii="Times New Roman" w:cs="Times New Roman" w:eastAsia="Times New Roman" w:hAnsi="Times New Roman"/>
          <w:sz w:val="18"/>
          <w:szCs w:val="18"/>
          <w:color w:val="auto"/>
        </w:rPr>
      </w:pPr>
    </w:p>
    <w:p>
      <w:pPr>
        <w:ind w:left="4" w:right="200" w:firstLine="436"/>
        <w:spacing w:after="0" w:line="276" w:lineRule="auto"/>
        <w:tabs>
          <w:tab w:leader="none" w:pos="689"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Subsidiary (or any successor thereof) shall: (i) voluntarily commence any proceeding or file any petition seeking liquidation, reorganization or other relief under any Federal, state or foreign bankruptcy, insolvency, receivership or similar law now or hereafter in effect; or</w:t>
      </w:r>
    </w:p>
    <w:p>
      <w:pPr>
        <w:ind w:left="264" w:hanging="264"/>
        <w:spacing w:after="0"/>
        <w:tabs>
          <w:tab w:leader="none" w:pos="2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institution of, or fail to contest in a timely and appropriate manner, any proceeding or petition described in Section 2.08(b) hereof; or</w:t>
      </w:r>
    </w:p>
    <w:p>
      <w:pPr>
        <w:spacing w:after="0" w:line="9" w:lineRule="exact"/>
        <w:rPr>
          <w:rFonts w:ascii="Times New Roman" w:cs="Times New Roman" w:eastAsia="Times New Roman" w:hAnsi="Times New Roman"/>
          <w:sz w:val="18"/>
          <w:szCs w:val="18"/>
          <w:color w:val="auto"/>
        </w:rPr>
      </w:pPr>
    </w:p>
    <w:p>
      <w:pPr>
        <w:ind w:left="4" w:right="20" w:hanging="4"/>
        <w:spacing w:after="0" w:line="253"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for or consent to the appointment of a receiver, trustee, custodian, sequestrator, conservator or similar official for any Significant Subsidiary (or any successor thereof) or for a substantial part of its assets; or (iv) file an answer admitting the material allegations of a petition filed against it in any such proceeding; or (v) make a general assignment for the benefit of creditors; or (vi) take any action for the purpose of effecting any of the foregoing; or (vii) admit in writing its inability to pay its debts as they become due.</w:t>
      </w:r>
    </w:p>
    <w:p>
      <w:pPr>
        <w:spacing w:after="0" w:line="187"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Specified Foreign Entity.</w:t>
      </w:r>
      <w:r>
        <w:rPr>
          <w:rFonts w:ascii="Times New Roman" w:cs="Times New Roman" w:eastAsia="Times New Roman" w:hAnsi="Times New Roman"/>
          <w:sz w:val="18"/>
          <w:szCs w:val="18"/>
          <w:color w:val="auto"/>
        </w:rPr>
        <w:t xml:space="preserve"> Each holder and beneficial owner, by its acquisition of the Notes (or an interest therein), shall be deemed to have represented, warranted and agreed that it is not a “specified foreign entity” as defined in Section 7701(a)(51)(B) of the Internal Revenue Code of 1986, as amended.</w:t>
      </w:r>
    </w:p>
    <w:p>
      <w:pPr>
        <w:spacing w:after="0" w:line="3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Redemption of the Notes</w:t>
      </w:r>
    </w:p>
    <w:p>
      <w:pPr>
        <w:spacing w:after="0" w:line="205"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Optional Redemption by the Company</w:t>
      </w:r>
      <w:r>
        <w:rPr>
          <w:rFonts w:ascii="Times New Roman" w:cs="Times New Roman" w:eastAsia="Times New Roman" w:hAnsi="Times New Roman"/>
          <w:sz w:val="18"/>
          <w:szCs w:val="18"/>
          <w:color w:val="auto"/>
        </w:rPr>
        <w:t>. (a) Except as otherwise may be specified in this Supplemental Indenture, at any time and from time to time prior to May 15, 2031 (the date that is one year prior to the Maturity Date) (the “</w:t>
      </w:r>
      <w:r>
        <w:rPr>
          <w:rFonts w:ascii="Times New Roman" w:cs="Times New Roman" w:eastAsia="Times New Roman" w:hAnsi="Times New Roman"/>
          <w:sz w:val="18"/>
          <w:szCs w:val="18"/>
          <w:b w:val="1"/>
          <w:bCs w:val="1"/>
          <w:color w:val="auto"/>
        </w:rPr>
        <w:t>First Par Call Date</w:t>
      </w:r>
      <w:r>
        <w:rPr>
          <w:rFonts w:ascii="Times New Roman" w:cs="Times New Roman" w:eastAsia="Times New Roman" w:hAnsi="Times New Roman"/>
          <w:sz w:val="18"/>
          <w:szCs w:val="18"/>
          <w:color w:val="auto"/>
        </w:rPr>
        <w:t>”), the Company shall have the right to redeem the Notes, in whole or in part, at its option, at a redemption price (expressed as a percentage of principal amount and rounded to three decimal places) equal to the greater of:</w:t>
      </w:r>
    </w:p>
    <w:p>
      <w:pPr>
        <w:spacing w:after="0" w:line="74" w:lineRule="exact"/>
        <w:rPr>
          <w:sz w:val="20"/>
          <w:szCs w:val="20"/>
          <w:color w:val="auto"/>
        </w:rPr>
      </w:pPr>
    </w:p>
    <w:p>
      <w:pPr>
        <w:ind w:left="1604" w:hanging="212"/>
        <w:spacing w:after="0"/>
        <w:tabs>
          <w:tab w:leader="none" w:pos="160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principal amount of the Notes to be redeemed; and</w:t>
      </w:r>
    </w:p>
    <w:p>
      <w:pPr>
        <w:spacing w:after="0" w:line="117" w:lineRule="exact"/>
        <w:rPr>
          <w:rFonts w:ascii="Times New Roman" w:cs="Times New Roman" w:eastAsia="Times New Roman" w:hAnsi="Times New Roman"/>
          <w:sz w:val="18"/>
          <w:szCs w:val="18"/>
          <w:color w:val="auto"/>
        </w:rPr>
      </w:pPr>
    </w:p>
    <w:p>
      <w:pPr>
        <w:ind w:left="984" w:right="120" w:firstLine="408"/>
        <w:spacing w:after="0" w:line="266" w:lineRule="auto"/>
        <w:tabs>
          <w:tab w:leader="none" w:pos="16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present values of the remaining scheduled payments of principal and interest thereon discounted to the Redemption Date (assuming the Notes matured on the First Par Call Date) on a semi-annual basis (assuming a 360-day year consisting of twelve 30-day months) at the applicable Treasury Rate plus 40 basis points less (b) interest accrued to the Redemption Date,</w:t>
      </w:r>
    </w:p>
    <w:p>
      <w:pPr>
        <w:spacing w:after="0" w:line="68"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4" w:firstLine="436"/>
        <w:spacing w:after="0" w:line="282" w:lineRule="auto"/>
        <w:tabs>
          <w:tab w:leader="none" w:pos="6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Par Call Date, the Company shall have the right to redeem the Notes, in whole but not in part, at a redemption price equal to 100% of the principal amount of the Notes to be redeemed, plus accrued and unpaid interest thereon to, the Redemption Date.</w:t>
      </w:r>
    </w:p>
    <w:p>
      <w:pPr>
        <w:spacing w:after="0" w:line="161" w:lineRule="exact"/>
        <w:rPr>
          <w:rFonts w:ascii="Times New Roman" w:cs="Times New Roman" w:eastAsia="Times New Roman" w:hAnsi="Times New Roman"/>
          <w:sz w:val="18"/>
          <w:szCs w:val="18"/>
          <w:color w:val="auto"/>
        </w:rPr>
      </w:pPr>
    </w:p>
    <w:p>
      <w:pPr>
        <w:ind w:left="4" w:right="320" w:firstLine="436"/>
        <w:spacing w:after="0" w:line="266" w:lineRule="auto"/>
        <w:tabs>
          <w:tab w:leader="none" w:pos="68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April 15, 2032 (the date that is one month prior to the Maturity Date), the Company shall have the right to redeem the Notes, in whole or in part, at any time and from time to time, at its option, at a redemption price equal to 100% of the principal amount of the Notes to be redeemed, plus accrued and unpaid interest thereon to, the Redemption Date.</w:t>
      </w:r>
    </w:p>
    <w:p>
      <w:pPr>
        <w:spacing w:after="0" w:line="175"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partial redemption, selection of the Notes for redemption shall be made pro rata, or by lot, or by such other method as the Company may determine in its sole discretion.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6" w:name="page47"/>
    <w:bookmarkEnd w:id="46"/>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Redemption Following a Change of Control Repurchase Offer.</w:t>
      </w:r>
      <w:r>
        <w:rPr>
          <w:rFonts w:ascii="Times New Roman" w:cs="Times New Roman" w:eastAsia="Times New Roman" w:hAnsi="Times New Roman"/>
          <w:sz w:val="18"/>
          <w:szCs w:val="18"/>
          <w:color w:val="auto"/>
        </w:rPr>
        <w:t xml:space="preserve"> If holders of not less than 90% in aggregate principal amount of the Outstanding Notes tender and do not withdraw such Notes in a Change of Control Offer and the Company, or any third party making a Change of Control Offer in lieu of the Company as described in Section 4.01 hereof, purchases all of the Notes validly tendered and not withdrawn by such holders, the Company or such third party shall have the right, upon at least 15 and not more than 60 days’ prior notice, given not more than 30 days following such purchase pursuant to such Change of Control Offer, to redeem all of the Notes that remain Outstanding following such purchase at a price in cash equal to the Change of Control Payment plus, to the extent not included in the Change of Control Payment, accrued and unpaid interest, if any, thereon, to, but excluding, the Redemption Date.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 Selection of Notes to be Redeemed</w:t>
      </w:r>
      <w:r>
        <w:rPr>
          <w:rFonts w:ascii="Times New Roman" w:cs="Times New Roman" w:eastAsia="Times New Roman" w:hAnsi="Times New Roman"/>
          <w:sz w:val="18"/>
          <w:szCs w:val="18"/>
          <w:color w:val="auto"/>
        </w:rPr>
        <w:t xml:space="preserve">. The Company shall mail (or otherwise deliver in accordance with the applicable procedures of the Depositary if the Notes to be redeemed are issued in the form of one or more Global Notes) notice of any redemption to the registered holders of the Notes to be redeemed pursuant to Section 3.01 or Section 3.02 hereof at least 10 and not more than 60 days prior to the Redemption Date. If the Notes are only partially redeemed pursuant to Section 3.01 hereof, the Notes to be redeemed will be selected by the Trustee in such manner as in its sole discretion it shall deem appropriate and fair;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of redemption the Notes to be redeemed are registered as a Global Note, the Depositary shall determine, in accordance with its procedures, the principal amount of the Notes to be redeemed held by each of its participants that holds a position in such Notes.</w:t>
      </w:r>
    </w:p>
    <w:p>
      <w:pPr>
        <w:spacing w:after="0" w:line="18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Notice of any voluntary redemption of the Notes may, at the discretion of the Company, be subject to the satisfaction (or waiver by the Company in its sole discretion) of one or more conditions precedent described in such notice. If such redemption is subject to satisfaction of one or more conditions precedent, such notice may state that, in the Company’s discretion, the Redemption Date may be delayed until such time as any or all such conditions shall be satisfied (or waived by the Company in its sole discretion), or such redemption may not occur and such notice may be rescinded in the event that any or all such conditions shall not have been (or, in the Company’s sole determination, may not be) satisfied (or waived by the Company in its sole discretion) by the Redemption Date, or by the Redemption Date so delayed.</w:t>
      </w:r>
    </w:p>
    <w:p>
      <w:pPr>
        <w:spacing w:after="0" w:line="18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i w:val="1"/>
          <w:iCs w:val="1"/>
          <w:color w:val="auto"/>
        </w:rPr>
        <w:t>Payment of Redemption Price.</w:t>
      </w:r>
      <w:r>
        <w:rPr>
          <w:rFonts w:ascii="Times New Roman" w:cs="Times New Roman" w:eastAsia="Times New Roman" w:hAnsi="Times New Roman"/>
          <w:sz w:val="17"/>
          <w:szCs w:val="17"/>
          <w:color w:val="auto"/>
        </w:rPr>
        <w:t xml:space="preserve"> The Optional Redemption Price for any Notes to be redeemed pursuant to Section 3.01 or the redemption price for any Notes to be redeemed pursuant to Section 3.02 shall be paid prior to 12:00 noon, New York City time, on the Redemption Date or at such later time as is then permitted by the rules of the Depositary for the Notes (if then registered as a Global Note);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shall deposit with the Trustee an amount sufficient to pay the Optional Redemption Price for the Notes to be redeemed pursuant to Section 3.01 or the redemption price for any Notes to be redeemed pursuant to Section 3.02 by 10:00 a.m., New York City time, on the date such payment is to be made.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of Control Repurchase Event</w:t>
      </w:r>
    </w:p>
    <w:p>
      <w:pPr>
        <w:spacing w:after="0" w:line="20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Purchase of Notes Upon a Change of Control Repurchase Event</w:t>
      </w:r>
      <w:r>
        <w:rPr>
          <w:rFonts w:ascii="Times New Roman" w:cs="Times New Roman" w:eastAsia="Times New Roman" w:hAnsi="Times New Roman"/>
          <w:sz w:val="18"/>
          <w:szCs w:val="18"/>
          <w:color w:val="auto"/>
        </w:rPr>
        <w:t>. (a) If a Change of Control Repurchase Event occurs, unless the Company at such time has given written notice of redemption with respect to all Outstanding Notes, pursuant to Section 3.03 hereof, each holder of Notes shall have the right to require the Company to repurchase all or any part (equal to $2,000 or an integral multiple of $1,000 in excess thereof) of such holder’s Notes pursuant to the offer described in Section 4.01(b) hereof (such offer, the “</w:t>
      </w:r>
      <w:r>
        <w:rPr>
          <w:rFonts w:ascii="Times New Roman" w:cs="Times New Roman" w:eastAsia="Times New Roman" w:hAnsi="Times New Roman"/>
          <w:sz w:val="18"/>
          <w:szCs w:val="18"/>
          <w:b w:val="1"/>
          <w:bCs w:val="1"/>
          <w:color w:val="auto"/>
        </w:rPr>
        <w:t>Change of Control Offer</w:t>
      </w:r>
      <w:r>
        <w:rPr>
          <w:rFonts w:ascii="Times New Roman" w:cs="Times New Roman" w:eastAsia="Times New Roman" w:hAnsi="Times New Roman"/>
          <w:sz w:val="18"/>
          <w:szCs w:val="18"/>
          <w:color w:val="auto"/>
        </w:rPr>
        <w:t>”) at a purchase price in cash equal to 101% of the aggregate principal amount of Notes repurchased, plus accrued and unpaid interest, if any, on the Notes repurchased up to, but not including, the date of purchase (the “</w:t>
      </w:r>
      <w:r>
        <w:rPr>
          <w:rFonts w:ascii="Times New Roman" w:cs="Times New Roman" w:eastAsia="Times New Roman" w:hAnsi="Times New Roman"/>
          <w:sz w:val="18"/>
          <w:szCs w:val="18"/>
          <w:b w:val="1"/>
          <w:bCs w:val="1"/>
          <w:color w:val="auto"/>
        </w:rPr>
        <w:t>Change of Control Payment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180" w:firstLine="436"/>
        <w:spacing w:after="0" w:line="256" w:lineRule="auto"/>
        <w:tabs>
          <w:tab w:leader="none" w:pos="6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Repurchase Event, unless the Company at such time has given notice of redemption with respect to all Outstanding Notes pursuant to Section 3.03, the Company shall send a notice to each holder and the Trustee describing the transaction or transactions that constitute the Change of Control and offering to repurchase all Outstanding Notes on the date specified in the notice (the “</w:t>
      </w:r>
      <w:r>
        <w:rPr>
          <w:rFonts w:ascii="Times New Roman" w:cs="Times New Roman" w:eastAsia="Times New Roman" w:hAnsi="Times New Roman"/>
          <w:sz w:val="18"/>
          <w:szCs w:val="18"/>
          <w:b w:val="1"/>
          <w:b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Control Payment Date</w:t>
      </w:r>
      <w:r>
        <w:rPr>
          <w:rFonts w:ascii="Times New Roman" w:cs="Times New Roman" w:eastAsia="Times New Roman" w:hAnsi="Times New Roman"/>
          <w:sz w:val="18"/>
          <w:szCs w:val="18"/>
          <w:color w:val="auto"/>
        </w:rPr>
        <w:t>”), which date shall be no earlier than 15 days and no later than 60 days from the date such notice is sent,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required by the Indenture and described in such notice. The notice, if mailed prior to the date of consummation of the Change of Control, shall state that the Change of Control Offer 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47" w:name="page48"/>
    <w:bookmarkEnd w:id="47"/>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conditioned upon the Change of Control being consummated on or prior to the Change of Control Payment Date. If a Change of Control Payment Date is on or after a Record Date and on or before the related Interest Payment Date, any accrued and unpaid interest shall be paid to the Person in whose name such Note is registered at the close of business on such Record Date. The Company shall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this Section 4.01, the Company shall comply with the applicable securities laws and regulations and shall not be deemed to have breached the Company’s obligations pursuant to the Indenture by virtue of such compliance.</w:t>
      </w:r>
    </w:p>
    <w:p>
      <w:pPr>
        <w:spacing w:after="0" w:line="189" w:lineRule="exact"/>
        <w:rPr>
          <w:sz w:val="20"/>
          <w:szCs w:val="20"/>
          <w:color w:val="auto"/>
        </w:rPr>
      </w:pPr>
    </w:p>
    <w:p>
      <w:pPr>
        <w:ind w:left="680" w:hanging="244"/>
        <w:spacing w:after="0"/>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shall, to the extent lawful:</w:t>
      </w:r>
    </w:p>
    <w:p>
      <w:pPr>
        <w:spacing w:after="0" w:line="117" w:lineRule="exact"/>
        <w:rPr>
          <w:rFonts w:ascii="Times New Roman" w:cs="Times New Roman" w:eastAsia="Times New Roman" w:hAnsi="Times New Roman"/>
          <w:sz w:val="18"/>
          <w:szCs w:val="18"/>
          <w:color w:val="auto"/>
        </w:rPr>
      </w:pPr>
    </w:p>
    <w:p>
      <w:pPr>
        <w:ind w:left="980" w:right="260" w:firstLine="408"/>
        <w:spacing w:after="0" w:line="282" w:lineRule="auto"/>
        <w:tabs>
          <w:tab w:leader="none" w:pos="159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(equal to $2,000 or an integral multiple of $1,000 in excess thereof) properly tendered and not withdrawn pursuant to the Change of Control Offer;</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4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Notes or portions of Notes properly tendered and not withdrawn; and</w:t>
      </w:r>
    </w:p>
    <w:p>
      <w:pPr>
        <w:spacing w:after="0" w:line="53"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9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1" w:lineRule="exact"/>
        <w:rPr>
          <w:rFonts w:ascii="Times New Roman" w:cs="Times New Roman" w:eastAsia="Times New Roman" w:hAnsi="Times New Roman"/>
          <w:sz w:val="18"/>
          <w:szCs w:val="18"/>
          <w:color w:val="auto"/>
        </w:rPr>
      </w:pPr>
    </w:p>
    <w:p>
      <w:pPr>
        <w:ind w:right="220" w:firstLine="436"/>
        <w:spacing w:after="0" w:line="258"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shall promptly mail to each holder of Notes properly tendered and not withdrawn the Change of Control Payment for such Notes, and the Trustee shall promptly authenticate and mail (or cause to be transferred by book entry) to each holder a new Note equal in principal amount to any unpurchased portion of the Notes surrendered, if any; provided that each such new Note shall be in a minimum principal amount of $2,000 or an integral multiple of $1,000 in excess thereof. The Company shall publicly announce the results of the Change of Control Offer on or as soon as practicable after the Change of Control Payment Date.</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to make a Change of Control Offer with respect to the Notes upon a Change of Control Repurchase Event if (i) a third party makes the Change of Control Offer with respect to such Notes in the manner, at the times and otherwise in compliance with the requirements set forth in this Section 4.01 applicable to a Change of Control Offer made by the Company and purchases the Notes properly tendered and not withdrawn under the Change of Control Offer, or (ii) a notice of redemption has been given with respect to the Notes, pursuant to Section 3.03, at any time prior to 30 days following any Change of Control Repurchase Event,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if a definitive agreement is in place for the Change of Control at the time the Change of Control Offer is made.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Particular Covenants of the Company</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Limitation On Disposition of Voting Stock of our Significant Subsidiaries</w:t>
      </w:r>
      <w:r>
        <w:rPr>
          <w:rFonts w:ascii="Times New Roman" w:cs="Times New Roman" w:eastAsia="Times New Roman" w:hAnsi="Times New Roman"/>
          <w:sz w:val="18"/>
          <w:szCs w:val="18"/>
          <w:color w:val="auto"/>
        </w:rPr>
        <w:t>. (a) So long as any Notes remain Outstanding,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left="980" w:right="160" w:firstLine="408"/>
        <w:spacing w:after="0" w:line="255" w:lineRule="auto"/>
        <w:tabs>
          <w:tab w:leader="none" w:pos="15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and shall not permit any Subsidiary to, sell, assign, transfer or otherwise dispose of any shares of Voting Stock of a Significant Subsidiary or securities convertible into or options, warrants or rights to subscribe for or purchase shares of Voting Stock of a Significant Subsidiary, and shall not permit any Significant Subsidiary to issue any shares of, or securities convertible into or options, warrants or rights to subscribe for or purchase shares of, Voting Stock of a Significant Subsidiary, in each case if, after giving effect to such transaction and to the issuance of the maximum number of shares of Voting Stock of such Significant Subsidiary issuable upon the exercise of all such convertible securities, options, warrants or rights, such Significant Subsidiary would cease to be a Controlled Subsidiary;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8" w:name="page49"/>
    <w:bookmarkEnd w:id="48"/>
    <w:p>
      <w:pPr>
        <w:ind w:left="980" w:right="220" w:firstLine="408"/>
        <w:spacing w:after="0" w:line="261" w:lineRule="auto"/>
        <w:tabs>
          <w:tab w:leader="none" w:pos="164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permit any Significant Subsidiary to: (A) merge or consolidate with or into any corporation unless the survivor is the Company or is, or upon consummation of the merger or consolidation will become, a Controlled Subsidiary; or (B) lease, sell or transfer all or substantially all of its properties and assets to any Person, except to the Company or to a Controlled Subsidiary or a Person that, upon such lease, sale or transfer, will become a Controlled Subsidiary.</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5.01(a), any such sale, assignment or transfer of securities, any such merger or consolidation or any such lease, sale or transfer of properties and assets shall not be prohibited by this Section 5.01 if required by law, rule, regulation or order of any governmental agency or authority. In addition, for the avoidance of doubt, the limitations described in Section 5.01(a)(ii) shall not apply to any transfer of loan receivables, on customary terms and in the ordinary course of business, directly or indirectly to the Company’s or the Company’s subsidiaries’ securitization entities in connection with its securitization facilities.</w:t>
      </w:r>
    </w:p>
    <w:p>
      <w:pPr>
        <w:spacing w:after="0" w:line="18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Limitation on Creation of Liens</w:t>
      </w:r>
      <w:r>
        <w:rPr>
          <w:rFonts w:ascii="Times New Roman" w:cs="Times New Roman" w:eastAsia="Times New Roman" w:hAnsi="Times New Roman"/>
          <w:sz w:val="18"/>
          <w:szCs w:val="18"/>
          <w:color w:val="auto"/>
        </w:rPr>
        <w:t>. (a) So long as any Notes remain Outstanding, the Company shall not, and shall not permit any Subsidiary to, create, assume or incur any pledge, encumbrance or lien upon any shares of Voting Stock of a Significant Subsidiary, or upon securities convertible into or options, warrants or rights to subscribe for or purchase shares of, Voting Stock of any Significant Subsidiary, in each case to secure indebtedness for borrowed money, if, treating such pledge, encumbrance or lien as a transfer of the shares of Voting Stock of such Significant Subsidiary, or securities convertible into or options, warrants or rights to subscribe for or purchase shares of Voting Stock of such Significant Subsidiary to the secured party (in each case after giving effect to such transaction and to the issuance of the maximum number of shares of Voting Stock of such Significant Subsidiary issuable upon the exercise of all such convertible securities, options, warrants or rights), such Significant Subsidiary would cease to be a Controlled Subsidiary, unless the Notes are equally and ratably secured with any and all such indebtedness for so long as such indebtedness is so secured.</w:t>
      </w:r>
    </w:p>
    <w:p>
      <w:pPr>
        <w:spacing w:after="0" w:line="190" w:lineRule="exact"/>
        <w:rPr>
          <w:sz w:val="20"/>
          <w:szCs w:val="20"/>
          <w:color w:val="auto"/>
        </w:rPr>
      </w:pPr>
    </w:p>
    <w:p>
      <w:pPr>
        <w:ind w:right="240" w:firstLine="436"/>
        <w:spacing w:after="0" w:line="266" w:lineRule="auto"/>
        <w:tabs>
          <w:tab w:leader="none" w:pos="6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described in this Section 5.02 shall not apply to the incurrence of any pledge, encumbrance or lien upon loan receivables, on customary terms and in the ordinary course of business, in connection with the Company’s or the Company’s subsidiaries’ securitization financing facilities.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Forms of Notes</w:t>
      </w:r>
    </w:p>
    <w:p>
      <w:pPr>
        <w:spacing w:after="0" w:line="20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Forms of Notes</w:t>
      </w:r>
      <w:r>
        <w:rPr>
          <w:rFonts w:ascii="Times New Roman" w:cs="Times New Roman" w:eastAsia="Times New Roman" w:hAnsi="Times New Roman"/>
          <w:sz w:val="18"/>
          <w:szCs w:val="18"/>
          <w:color w:val="auto"/>
        </w:rPr>
        <w:t>. The Notes and the Trustee’s Certificate of Authentication to be endorsed thereon are to be substantially in the forms attached as Exhibit A hereto, with such changes therein as the Officers of the Company executing the Notes (by manual or facsimile signature) may approve, such approval to be conclusively evidenced by their execution thereof.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Original Issue of Notes</w:t>
      </w:r>
    </w:p>
    <w:p>
      <w:pPr>
        <w:spacing w:after="0" w:line="20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Original Issue of Notes</w:t>
      </w:r>
      <w:r>
        <w:rPr>
          <w:rFonts w:ascii="Times New Roman" w:cs="Times New Roman" w:eastAsia="Times New Roman" w:hAnsi="Times New Roman"/>
          <w:sz w:val="18"/>
          <w:szCs w:val="18"/>
          <w:color w:val="auto"/>
        </w:rPr>
        <w:t>. The Notes having an aggregate principal amount of U.S. $500,000,000 (subject to the last paragraph of Section 2.02 of the Base Indenture) may from time to time, upon execution of this Supplemental Indenture, be executed by the Company and delivered to the Trustee for authentication, and the Trustee shall thereupon authenticate and deliver said Notes to or upon the written order of the Company pursuant to Section 2.03 of the Base Indenture without any further action by the Company (other than as required by the Base Indenture).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5" w:lineRule="exact"/>
        <w:rPr>
          <w:sz w:val="20"/>
          <w:szCs w:val="20"/>
          <w:color w:val="auto"/>
        </w:rPr>
      </w:pPr>
    </w:p>
    <w:p>
      <w:pPr>
        <w:ind w:right="40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8.01. </w:t>
      </w:r>
      <w:r>
        <w:rPr>
          <w:rFonts w:ascii="Times New Roman" w:cs="Times New Roman" w:eastAsia="Times New Roman" w:hAnsi="Times New Roman"/>
          <w:sz w:val="17"/>
          <w:szCs w:val="17"/>
          <w:i w:val="1"/>
          <w:iCs w:val="1"/>
          <w:color w:val="auto"/>
        </w:rPr>
        <w:t>Ratification of Indenture</w:t>
      </w:r>
      <w:r>
        <w:rPr>
          <w:rFonts w:ascii="Times New Roman" w:cs="Times New Roman" w:eastAsia="Times New Roman" w:hAnsi="Times New Roman"/>
          <w:sz w:val="17"/>
          <w:szCs w:val="17"/>
          <w:color w:val="auto"/>
        </w:rPr>
        <w:t>. The Base Indenture, as supplemented by this Supplemental Indenture, is in all respects ratified and confirmed, and this Supplemental Indenture shall be deemed part of the Base Indenture in the manner and to the extent herein and therein provided.</w:t>
      </w:r>
    </w:p>
    <w:p>
      <w:pPr>
        <w:spacing w:after="0" w:line="135"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Trustee Not Responsible for Recitals</w:t>
      </w:r>
      <w:r>
        <w:rPr>
          <w:rFonts w:ascii="Times New Roman" w:cs="Times New Roman" w:eastAsia="Times New Roman" w:hAnsi="Times New Roman"/>
          <w:sz w:val="18"/>
          <w:szCs w:val="18"/>
          <w:color w:val="auto"/>
        </w:rPr>
        <w:t>. The recitals herein contained are made by the Company and not by the Trustee, and the Trustee assumes no responsibility for the correctness thereof. The Trustee makes no representation as to the validity or sufficiency of this Supplemental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49" w:name="page50"/>
    <w:bookmarkEnd w:id="49"/>
    <w:p>
      <w:pPr>
        <w:ind w:left="4" w:right="5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AND EACH NOTE, AND ANY CLAIM, CONTROVERSY OR DISPUTE ARISING UNDER OR RELATED TO THIS SUPPLEMENTAL INDENTURE OR ANY NOTE, SHALL BE GOVERNED BY AND CONSTRUED IN ACCORDANCE WITH THE LAWS OF THE STATE OF NEW YORK.</w:t>
      </w:r>
    </w:p>
    <w:p>
      <w:pPr>
        <w:spacing w:after="0" w:line="175"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Each of the parties hereto hereby submits to the personal jurisdiction of, and each agrees that all proceedings relating hereto may be brought in, courts located within the City and State of New York. The Company waives personal service of process and consents to service of process by certified or registered mail, return receipt requested, directed to it at the address last specified for notices hereunder, and such service shall be deemed completed ten</w:t>
      </w:r>
    </w:p>
    <w:p>
      <w:pPr>
        <w:spacing w:after="0" w:line="2" w:lineRule="exact"/>
        <w:rPr>
          <w:sz w:val="20"/>
          <w:szCs w:val="20"/>
          <w:color w:val="auto"/>
        </w:rPr>
      </w:pPr>
    </w:p>
    <w:p>
      <w:pPr>
        <w:ind w:left="4" w:right="140" w:hanging="4"/>
        <w:spacing w:after="0" w:line="255" w:lineRule="auto"/>
        <w:tabs>
          <w:tab w:leader="none" w:pos="3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after the same is so mailed. Any court order shall be accompanied by a legal opinion by counsel for the presenting party satisfactory to the Trustee to the effect that said opinion is final and nonappealeable. The Trustee shall act on such court order and legal opinions without further question.</w:t>
      </w:r>
    </w:p>
    <w:p>
      <w:pPr>
        <w:spacing w:after="0" w:line="184"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Waiver of Trial by Jury</w:t>
      </w:r>
      <w:r>
        <w:rPr>
          <w:rFonts w:ascii="Times New Roman" w:cs="Times New Roman" w:eastAsia="Times New Roman" w:hAnsi="Times New Roman"/>
          <w:sz w:val="18"/>
          <w:szCs w:val="18"/>
          <w:color w:val="auto"/>
        </w:rPr>
        <w:t>. EACH OF THE COMPANY, THE TRUSTEE AND EACH HOLDER OF NOTES, BY ITS ACCEPTANCE THEREOF, HEREBY IRREVOCABLY WAIVES, TO THE FULLEST EXTENT PERMITTED BY APPLICABLE LAW, ANY AND ALL RIGHT TO TRIAL BY JURY IN ANY LEGAL PROCEEDING ARISING OUT OF OR RELATING TO THIS INDENTURE, THE NOTES OR THE TRANSACTIONS CONTEMPLATED HEREBY.</w:t>
      </w:r>
    </w:p>
    <w:p>
      <w:pPr>
        <w:spacing w:after="0" w:line="180" w:lineRule="exact"/>
        <w:rPr>
          <w:sz w:val="20"/>
          <w:szCs w:val="20"/>
          <w:color w:val="auto"/>
        </w:rPr>
      </w:pPr>
    </w:p>
    <w:p>
      <w:pPr>
        <w:jc w:val="both"/>
        <w:ind w:left="4"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and the titles and headings of the articles and sections of this Supplemental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jc w:val="both"/>
        <w:ind w:left="4" w:right="1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Execution in Counterparts</w:t>
      </w:r>
      <w:r>
        <w:rPr>
          <w:rFonts w:ascii="Times New Roman" w:cs="Times New Roman" w:eastAsia="Times New Roman" w:hAnsi="Times New Roman"/>
          <w:sz w:val="18"/>
          <w:szCs w:val="18"/>
          <w:color w:val="auto"/>
        </w:rPr>
        <w:t>. This Supplemental Indenture may be executed in any number of counterparts, each of which shall be an original, but such counterparts shall together constitute but one and the same instrument.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82"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i w:val="1"/>
          <w:iCs w:val="1"/>
          <w:color w:val="auto"/>
        </w:rPr>
        <w:t>Separability; Benefits</w:t>
      </w:r>
      <w:r>
        <w:rPr>
          <w:rFonts w:ascii="Times New Roman" w:cs="Times New Roman" w:eastAsia="Times New Roman" w:hAnsi="Times New Roman"/>
          <w:sz w:val="18"/>
          <w:szCs w:val="18"/>
          <w:color w:val="auto"/>
        </w:rPr>
        <w:t>. In case any one or more of the provisions contained in this Supplemental Indenture or in the Notes shall for any reason be held to be invalid, illegal or unenforceable, in any respect, then, to the extent permitted by law, such invalidity, illegality or unenforceability of the remaining provisions shall not in any way be affected or impaired thereby. Nothing in this Supplemental Indenture or in the Notes, expressed or implied, shall give to any person, other than the parties hereto and their successors hereunder, and the holders of the Notes, any benefit or any legal or equitable right, remedy or claim under this Supplemental Indenture.</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8" w:right="439" w:bottom="1440" w:gutter="0" w:footer="0" w:header="0"/>
        </w:sectPr>
      </w:pPr>
    </w:p>
    <w:bookmarkStart w:id="50" w:name="page51"/>
    <w:bookmarkEnd w:id="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day and year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SLM CORPORATION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Peter M.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Name:Peter M. Graham</w:t>
      </w:r>
    </w:p>
    <w:p>
      <w:pPr>
        <w:spacing w:after="0" w:line="27" w:lineRule="exact"/>
        <w:rPr>
          <w:sz w:val="20"/>
          <w:szCs w:val="20"/>
          <w:color w:val="auto"/>
        </w:rPr>
      </w:pPr>
    </w:p>
    <w:p>
      <w:pPr>
        <w:ind w:left="3720" w:right="360" w:firstLine="3248"/>
        <w:spacing w:after="0" w:line="433" w:lineRule="auto"/>
        <w:rPr>
          <w:sz w:val="20"/>
          <w:szCs w:val="20"/>
          <w:color w:val="auto"/>
        </w:rPr>
      </w:pPr>
      <w:r>
        <w:rPr>
          <w:rFonts w:ascii="Times New Roman" w:cs="Times New Roman" w:eastAsia="Times New Roman" w:hAnsi="Times New Roman"/>
          <w:sz w:val="18"/>
          <w:szCs w:val="18"/>
          <w:color w:val="auto"/>
        </w:rPr>
        <w:t>Title:Co-President and Chief Financial Officer [Signature Page to Fifth Supplemental Indenture]</w:t>
      </w:r>
    </w:p>
    <w:p>
      <w:pPr>
        <w:sectPr>
          <w:pgSz w:w="11900" w:h="16838" w:orient="portrait"/>
          <w:cols w:equalWidth="0" w:num="1">
            <w:col w:w="10680"/>
          </w:cols>
          <w:pgMar w:left="440" w:top="270" w:right="779" w:bottom="1440" w:gutter="0" w:footer="0" w:header="0"/>
        </w:sectPr>
      </w:pPr>
    </w:p>
    <w:bookmarkStart w:id="51" w:name="page52"/>
    <w:bookmarkEnd w:id="5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DEUTSCHE BANK NATIONAL TRUST COMPANY, not</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 its individual capacity but solely as Trustee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Name:Timothy Johnson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Title:Assistant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Elisabeth Byers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Name:Elisabeth Byers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Title:Associate</w:t>
      </w:r>
    </w:p>
    <w:p>
      <w:pPr>
        <w:spacing w:after="0" w:line="13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[Signature Page to Fifth Supplemental Indenture]</w:t>
      </w:r>
    </w:p>
    <w:p>
      <w:pPr>
        <w:sectPr>
          <w:pgSz w:w="11900" w:h="16838" w:orient="portrait"/>
          <w:cols w:equalWidth="0" w:num="1">
            <w:col w:w="9900"/>
          </w:cols>
          <w:pgMar w:left="1440" w:top="270" w:right="559" w:bottom="1440" w:gutter="0" w:footer="0" w:header="0"/>
        </w:sectPr>
      </w:pPr>
    </w:p>
    <w:bookmarkStart w:id="52" w:name="page53"/>
    <w:bookmarkEnd w:id="52"/>
    <w:p>
      <w:pPr>
        <w:ind w:left="10184"/>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THIS NOTE IS A GLOBAL SECURITY WITHIN THE MEANING OF THE INDENTURE HEREINAFTER REFERRED TO AND IS REGISTERED IN THE NAME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OR A NOMINEE OF DTC. THIS NOTE IS EXCHANGEABLE FOR SECURITIES REGISTERED IN THE NAME OF A PERSON OTHER THAN DTC OR ITS NOMINEE ONLY IN THE LIMITED CIRCUMSTANCES DESCRIBED IN THE INDENTURE AND MAY NOT BE TRANSFERRED EXCEPT AS A WHOLE BY DTC TO A NOMINEE OF DTC, OR BY A NOMINEE OF DTC TO DTC OR ANOTHER NOMINEE OF DTC.</w:t>
      </w:r>
    </w:p>
    <w:p>
      <w:pPr>
        <w:spacing w:after="0" w:line="183"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ANY HOLDER OR BENEFICIAL OWNER SHALL BE DEEMED TO HAVE REPRESENTED, WARRANTED AND AGREED THAT IT IS NOT A “SPECIFIED FOREIGN ENTITY” AS DEFINED IN SECTION 7701(a)(51)(B) OF THE INTERNAL REVENUE CODE OF 1986, AS AMENDED.</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SLM CORPORATION</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6.495% Fixed-to-Floating Rate Senior Notes due 2032</w:t>
      </w:r>
    </w:p>
    <w:p>
      <w:pPr>
        <w:spacing w:after="0" w:line="225" w:lineRule="exact"/>
        <w:rPr>
          <w:sz w:val="20"/>
          <w:szCs w:val="20"/>
          <w:color w:val="auto"/>
        </w:rPr>
      </w:pPr>
    </w:p>
    <w:p>
      <w:pPr>
        <w:ind w:left="9504"/>
        <w:spacing w:after="0"/>
        <w:rPr>
          <w:sz w:val="20"/>
          <w:szCs w:val="20"/>
          <w:color w:val="auto"/>
        </w:rPr>
      </w:pPr>
      <w:r>
        <w:rPr>
          <w:rFonts w:ascii="Times New Roman" w:cs="Times New Roman" w:eastAsia="Times New Roman" w:hAnsi="Times New Roman"/>
          <w:sz w:val="18"/>
          <w:szCs w:val="18"/>
          <w:color w:val="auto"/>
        </w:rPr>
        <w:t>CUSIP: 78442PGG5</w:t>
      </w:r>
    </w:p>
    <w:p>
      <w:pPr>
        <w:sectPr>
          <w:pgSz w:w="11900" w:h="16838" w:orient="portrait"/>
          <w:cols w:equalWidth="0" w:num="1">
            <w:col w:w="11024"/>
          </w:cols>
          <w:pgMar w:left="436" w:top="117"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w:t>
      </w:r>
    </w:p>
    <w:p>
      <w:pPr>
        <w:spacing w:after="0" w:line="200" w:lineRule="exact"/>
        <w:rPr>
          <w:sz w:val="20"/>
          <w:szCs w:val="20"/>
          <w:color w:val="auto"/>
        </w:rPr>
      </w:pPr>
    </w:p>
    <w:p>
      <w:pPr>
        <w:sectPr>
          <w:pgSz w:w="11900" w:h="16838" w:orient="portrait"/>
          <w:cols w:equalWidth="0" w:num="2">
            <w:col w:w="9104" w:space="720"/>
            <w:col w:w="1200"/>
          </w:cols>
          <w:pgMar w:left="436" w:top="117" w:right="439" w:bottom="1440" w:gutter="0" w:footer="0" w:header="0"/>
          <w:type w:val="continuous"/>
        </w:sectPr>
      </w:pPr>
    </w:p>
    <w:p>
      <w:pPr>
        <w:spacing w:after="0" w:line="33" w:lineRule="exact"/>
        <w:rPr>
          <w:sz w:val="20"/>
          <w:szCs w:val="20"/>
          <w:color w:val="auto"/>
        </w:rPr>
      </w:pPr>
    </w:p>
    <w:p>
      <w:pPr>
        <w:jc w:val="both"/>
        <w:ind w:left="4" w:right="160"/>
        <w:spacing w:after="0" w:line="278" w:lineRule="auto"/>
        <w:rPr>
          <w:sz w:val="20"/>
          <w:szCs w:val="20"/>
          <w:color w:val="auto"/>
        </w:rPr>
      </w:pPr>
      <w:r>
        <w:rPr>
          <w:rFonts w:ascii="Times New Roman" w:cs="Times New Roman" w:eastAsia="Times New Roman" w:hAnsi="Times New Roman"/>
          <w:sz w:val="17"/>
          <w:szCs w:val="17"/>
          <w:color w:val="auto"/>
        </w:rPr>
        <w:t>SLM CORPORATION, a corporation organized and existing under the laws of Delaware (hereinafter called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which term includes any successor corporation under the Indenture hereinafter referred to), for value received, hereby promises to pay to _____________, or registered assigns,</w:t>
      </w:r>
    </w:p>
    <w:p>
      <w:pPr>
        <w:spacing w:after="0" w:line="1" w:lineRule="exact"/>
        <w:rPr>
          <w:sz w:val="20"/>
          <w:szCs w:val="20"/>
          <w:color w:val="auto"/>
        </w:rPr>
      </w:pPr>
    </w:p>
    <w:p>
      <w:pPr>
        <w:ind w:left="4" w:right="80"/>
        <w:spacing w:after="0" w:line="250" w:lineRule="auto"/>
        <w:rPr>
          <w:sz w:val="20"/>
          <w:szCs w:val="20"/>
          <w:color w:val="auto"/>
        </w:rPr>
      </w:pPr>
      <w:r>
        <w:rPr>
          <w:rFonts w:ascii="Times New Roman" w:cs="Times New Roman" w:eastAsia="Times New Roman" w:hAnsi="Times New Roman"/>
          <w:sz w:val="18"/>
          <w:szCs w:val="18"/>
          <w:color w:val="auto"/>
        </w:rPr>
        <w:t>the principal sum as set forth in the Schedule of Increases or Decreases In Note attached hereto on May 15, 2032 (such date is hereinafter referred to as the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and to pay interest thereon from May 15, 2026, or from the most recent Fixed Rate Period Interest Payment or Floating Rate Period Interest Payment Date, as applicable, to which interest has been paid or duly provided for during the period (a) from and including May 15, 2026 to, but excluding, May 15, 2031 (the “</w:t>
      </w:r>
      <w:r>
        <w:rPr>
          <w:rFonts w:ascii="Times New Roman" w:cs="Times New Roman" w:eastAsia="Times New Roman" w:hAnsi="Times New Roman"/>
          <w:sz w:val="18"/>
          <w:szCs w:val="18"/>
          <w:b w:val="1"/>
          <w:bCs w:val="1"/>
          <w:color w:val="auto"/>
        </w:rPr>
        <w:t>Fixed Rate Period</w:t>
      </w:r>
      <w:r>
        <w:rPr>
          <w:rFonts w:ascii="Times New Roman" w:cs="Times New Roman" w:eastAsia="Times New Roman" w:hAnsi="Times New Roman"/>
          <w:sz w:val="18"/>
          <w:szCs w:val="18"/>
          <w:color w:val="auto"/>
        </w:rPr>
        <w:t>”), at the rate of 6.495% per annum thereon, semi-annually in arrears on May 15 and November 15 of each year, with payment commencing on [●] and ending on May 15, 2031 (each a “</w:t>
      </w:r>
      <w:r>
        <w:rPr>
          <w:rFonts w:ascii="Times New Roman" w:cs="Times New Roman" w:eastAsia="Times New Roman" w:hAnsi="Times New Roman"/>
          <w:sz w:val="18"/>
          <w:szCs w:val="18"/>
          <w:b w:val="1"/>
          <w:bCs w:val="1"/>
          <w:color w:val="auto"/>
        </w:rPr>
        <w:t>Fixed Rate Period Interest Payment Date</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ind w:left="4" w:right="500" w:hanging="4"/>
        <w:spacing w:after="0" w:line="255"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including May 15, 2031 to, but excluding, the Maturity Date (the “</w:t>
      </w:r>
      <w:r>
        <w:rPr>
          <w:rFonts w:ascii="Times New Roman" w:cs="Times New Roman" w:eastAsia="Times New Roman" w:hAnsi="Times New Roman"/>
          <w:sz w:val="18"/>
          <w:szCs w:val="18"/>
          <w:b w:val="1"/>
          <w:bCs w:val="1"/>
          <w:color w:val="auto"/>
        </w:rPr>
        <w:t>Floating Rate Period</w:t>
      </w:r>
      <w:r>
        <w:rPr>
          <w:rFonts w:ascii="Times New Roman" w:cs="Times New Roman" w:eastAsia="Times New Roman" w:hAnsi="Times New Roman"/>
          <w:sz w:val="18"/>
          <w:szCs w:val="18"/>
          <w:color w:val="auto"/>
        </w:rPr>
        <w:t>”) at a floating rate per annum equal to the Benchmark plus 271 basis points, as determined in arrears by the Calculation Agent, quarterly in arrears on August 15, 2031, November 15, 2031, February 15, 2032 and the Maturity Date (each a “</w:t>
      </w:r>
      <w:r>
        <w:rPr>
          <w:rFonts w:ascii="Times New Roman" w:cs="Times New Roman" w:eastAsia="Times New Roman" w:hAnsi="Times New Roman"/>
          <w:sz w:val="18"/>
          <w:szCs w:val="18"/>
          <w:b w:val="1"/>
          <w:bCs w:val="1"/>
          <w:color w:val="auto"/>
        </w:rPr>
        <w:t>Floating Rate Period Interest Payment Date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amount of interest payable for any full semi-annual interest period during the Fixed Rate Period in respect of the Notes shall be computed on the basis of a 360-day year consisting of twelve 30-day months. The amount of interest payable for any period shorter than a full semi-annual interest period during the Fixed Rate Period in respect of the Notes shall be computed on the basis of a 30-day month and, for any period less than a month, on the basis of the actual number of days elapsed per 30-day month. If any scheduled Fixed Rate Period Interest Payment Date, Maturity Date or any Redemption Date falls on a day that is not a Business Day, then payment of any interest, principal or premium payable on such date shall be postponed to the next succeeding Business Day, with the same force and effect as if made on the date such payment was due, and no interest or other payment shall accrue as a result of such delay.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117" w:right="439" w:bottom="1440" w:gutter="0" w:footer="0" w:header="0"/>
          <w:type w:val="continuous"/>
        </w:sectPr>
      </w:pPr>
    </w:p>
    <w:bookmarkStart w:id="53" w:name="page54"/>
    <w:bookmarkEnd w:id="53"/>
    <w:p>
      <w:pPr>
        <w:jc w:val="both"/>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interest payable for any interest period during the Floating Rate Period shall be computed on the basis of the actual number of days in each interest period during the Floating Rate Period (or any other relevant period) and a 360-day year. The amount of accrued interest payable on the Notes for each interest period during the Floating Rate Period shall be computed by multiplying (i) the outstanding principal amount of the Notes by</w:t>
      </w:r>
    </w:p>
    <w:p>
      <w:pPr>
        <w:spacing w:after="0" w:line="2" w:lineRule="exact"/>
        <w:rPr>
          <w:sz w:val="20"/>
          <w:szCs w:val="20"/>
          <w:color w:val="auto"/>
        </w:rPr>
      </w:pPr>
    </w:p>
    <w:p>
      <w:pPr>
        <w:ind w:left="4" w:right="80" w:hanging="4"/>
        <w:spacing w:after="0" w:line="251"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(a) the interest rate for the relevant interest period during the Floating Rate Period multiplied by (b) the quotient of the actual number of calendar days in the applicable Observation Period relating to such interest period during the Floating Rate Period (or any other relevant period) divided by 360. The interest rate on the Notes shall in no event be lower than zero. If any scheduled Floating Rate Period Interest Payment Date (other than the Maturity Date or any Redemption Date) falls on a day that is not a Business Day, such Floating Rate Period Interest Payment Date shall be postponed to the next succeeding Business Day, except that, if the next succeeding Business Day falls in the next calendar month, then such Floating Rate Period Interest Payment Date shall be advanced to the immediately preceding day that is a Business Day. If any such Floating Rate Period Interest Payment Date (other than the Maturity Date or any Redemption Date) is postponed or brought forward as described above, the payment of interest due on such postponed or brought forward Floating Rate Period Interest Payment Date shall include interest accrued to but excluding such postponed or brought forward Floating Rate Period Interest Payment Date.</w:t>
      </w:r>
    </w:p>
    <w:p>
      <w:pPr>
        <w:spacing w:after="0" w:line="189" w:lineRule="exact"/>
        <w:rPr>
          <w:sz w:val="20"/>
          <w:szCs w:val="20"/>
          <w:color w:val="auto"/>
        </w:rPr>
      </w:pPr>
    </w:p>
    <w:p>
      <w:pPr>
        <w:ind w:left="4" w:right="480" w:firstLine="440"/>
        <w:spacing w:after="0" w:line="286" w:lineRule="auto"/>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calendar day that is not a Saturday, Sunday or a day on which commercial banking institutions are not required to be open for business in The City of New York, New York.</w:t>
      </w:r>
    </w:p>
    <w:p>
      <w:pPr>
        <w:spacing w:after="0" w:line="159"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interest so payable, and punctually paid or duly provided for, on any Interest Payment Date shall, as provided in such Indenture, be paid to the person in whose name the relevant Notes, or any predecessor Notes, are registered at the close of business on the Record Date for such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interest due on the Maturity Date or a Redemption Date (in each case, whether or not an Interest Payment Date) of a Note of this series shall be paid to the Person to whom principal of such Note is payable.</w:t>
      </w:r>
    </w:p>
    <w:p>
      <w:pPr>
        <w:spacing w:after="0" w:line="180"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Payment of the principal of and interest on this Note shall be made at the office or agency of the Company maintained for that purpose in the Borough of Manhattan, The City of New York, which shall initially be the Principal Office of the Trustee located therein,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payment of interest may be made at the option of the Company by check mailed to the Person entitled thereto at such address as shall appear in the Security Register or by wire transfer to an account appropriately designated by the Person entitled to 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paying agent shall have received written notice of such account designation at least five Business Days prior to the date of such payment (subject to surrender of the relevant Note in the case of a payment of interest on a Redemption Date or the Maturity Date).</w:t>
      </w:r>
    </w:p>
    <w:p>
      <w:pPr>
        <w:spacing w:after="0" w:line="189"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Note shall not be entitled to any benefit under the Indenture or be valid or obligatory for any purpose.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4"/>
          </w:cols>
          <w:pgMar w:left="436" w:top="270"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instrument to be duly executed.</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SLM CORPORATION</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579"/>
          </w:cols>
          <w:pgMar w:left="880" w:top="270" w:right="1440" w:bottom="1440" w:gutter="0" w:footer="0" w:header="0"/>
        </w:sectPr>
      </w:pPr>
    </w:p>
    <w:bookmarkStart w:id="55" w:name="page56"/>
    <w:bookmarkEnd w:id="55"/>
    <w:p>
      <w:pPr>
        <w:ind w:left="3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TRUSTEE’S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is one of the Securities of the series designated therein described in the within-mentioned Indenture.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NATIONAL TRUST COMPANY,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individual capacity but solely as Trustee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Note is one of a duly authorized issue of securities of the Company (herein called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and to be issued in one or more series under an Indenture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dated as of June 17, 2015, between the Company and Deutsche Bank National Trust Company,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as amended and supplemented by the Fifth Supplemental Indenture, dated as of May 15, 2026 between the Company and the Trustee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and the Base Indenture as supplemented by the Fifth Supplemental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to which Indenture reference is hereby made for a statement of the respective rights, limitations of rights, duties and immunities thereunder of the Company, the Trustee and the holders of the Notes and of the terms upon which the Notes are, and are to be, authenticated and delivered. This Note is one of the series designated on the face hereof, initially limited in aggregate principal amount to $500,000,000.</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but not defined in this Note that are defined in the Indenture shall have the meaning assigned to them in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subject to certain optional redemption provisions as set forth in the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are not entitled to the benefit of any sinking fund.</w:t>
      </w:r>
    </w:p>
    <w:p>
      <w:pPr>
        <w:spacing w:after="0" w:line="225"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of the obligations of the Company at any time upon compliance by the Company with certain conditions set forth therein, which provisions apply to the Notes of this series.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62"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Notes at any time by the Company and the Trustee, with the consent of the holders of a majority in the aggregate principal amount of the Notes of each series affected thereby at the time Outstanding, voting as a single class. The Indenture also contains provisions permitting the holders of specified percentages in principal amount of the Notes of a series at the time Outstanding, on behalf of the holders of all Notes of such series, to waive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8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Security Registrar duly executed by the holder hereof or his or her attorney duly authorized in writing, and thereupon one or more new Notes of this series, of authorized denominations and for the same aggregate principal amount, shall be issued to the designated transferee or transferees.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Notes of this series are issuable only in registered form without coupons in minimum denominations of $2,000 and any integral multiple of $1,000 in excess thereof, except as provided for in Section 2.04 of the Fifth Supplemental Indenture. As provided in the Indenture and subject to certain limitations therein set forth, Notes of this series are exchangeable for a like aggregate principal amount of Notes of this series of a different authorized denomination, as requested by the holder surrendering the same.</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Trustee and any agent of the Company or the Trustee may treat the Person in whose name this Note is registered as the owner hereof for all purposes, whether or not this Note is overdue, and neither the Company, the Trustee nor any such agent shall be affected by notice to the contrary.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A-R-1</w:t>
      </w:r>
    </w:p>
    <w:p>
      <w:pPr>
        <w:sectPr>
          <w:pgSz w:w="11900" w:h="16838" w:orient="portrait"/>
          <w:cols w:equalWidth="0" w:num="1">
            <w:col w:w="11000"/>
          </w:cols>
          <w:pgMar w:left="440" w:top="270" w:right="459" w:bottom="1440" w:gutter="0" w:footer="0" w:header="0"/>
        </w:sectPr>
      </w:pPr>
    </w:p>
    <w:bookmarkStart w:id="57" w:name="page58"/>
    <w:bookmarkEnd w:id="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NOTE, AND ANY CLAIM, CONTROVERSY OR DISPUTE ARISING UNDER OR RELATED TO THIS NOTE, SHALL BE GOVERNED BY AND CONSTRUED IN ACCORDANCE WITH THE LAWS OF THE STATE OF NEW YORK.</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shall furnish a copy of the Indenture to any holder upon written request and without charge.</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A-R-2</w:t>
      </w:r>
    </w:p>
    <w:p>
      <w:pPr>
        <w:sectPr>
          <w:pgSz w:w="11900" w:h="16838" w:orient="portrait"/>
          <w:cols w:equalWidth="0" w:num="1">
            <w:col w:w="10180"/>
          </w:cols>
          <w:pgMar w:left="440" w:top="270" w:right="1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assigns and transfers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6995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assignee’s social security or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317500</wp:posOffset>
            </wp:positionV>
            <wp:extent cx="6995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471805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 and zip code of assignee) 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317500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471805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999"/>
        <w:spacing w:after="0" w:line="524" w:lineRule="auto"/>
        <w:rPr>
          <w:sz w:val="20"/>
          <w:szCs w:val="20"/>
          <w:color w:val="auto"/>
        </w:rPr>
      </w:pPr>
      <w:r>
        <w:rPr>
          <w:rFonts w:ascii="Times New Roman" w:cs="Times New Roman" w:eastAsia="Times New Roman" w:hAnsi="Times New Roman"/>
          <w:sz w:val="18"/>
          <w:szCs w:val="18"/>
          <w:color w:val="auto"/>
        </w:rPr>
        <w:t>agent to transfer this Note on the books of the Company. The agent may substitute another to act for him or her. Date: _________</w:t>
      </w:r>
    </w:p>
    <w:p>
      <w:pPr>
        <w:spacing w:after="0" w:line="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Signature Guarantee: __________</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ectPr>
          <w:pgSz w:w="11900" w:h="16838" w:orient="portrait"/>
          <w:cols w:equalWidth="0" w:num="1">
            <w:col w:w="10019"/>
          </w:cols>
          <w:pgMar w:left="440" w:top="270" w:right="1440" w:bottom="1440" w:gutter="0" w:footer="0" w:header="0"/>
        </w:sectPr>
      </w:pPr>
    </w:p>
    <w:bookmarkStart w:id="59" w:name="page60"/>
    <w:bookmarkEnd w:id="59"/>
    <w:p>
      <w:pPr>
        <w:jc w:val="center"/>
        <w:ind w:right="-1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GUARANTEE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Security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Security Registrar in addition to, or in substitution for, STAMP, all in accordance with the Securities Exchange Act of 1934, as amended.</w:t>
      </w:r>
    </w:p>
    <w:p>
      <w:pPr>
        <w:sectPr>
          <w:pgSz w:w="11900" w:h="16838" w:orient="portrait"/>
          <w:cols w:equalWidth="0" w:num="1">
            <w:col w:w="10820"/>
          </w:cols>
          <w:pgMar w:left="440" w:top="270" w:right="6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INCREASES OR DECREASES IN NOTE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initial principal amount of this Note is $______________. The following increases or decreases in the principal amount of this Note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made: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2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this Note</w:t>
            </w:r>
          </w:p>
        </w:tc>
        <w:tc>
          <w:tcPr>
            <w:tcW w:w="1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25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increase in</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3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5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decrease or</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signatory of</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238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this Note</w:t>
            </w:r>
          </w:p>
        </w:tc>
        <w:tc>
          <w:tcPr>
            <w:tcW w:w="32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7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14425" cy="37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4425" cy="377190"/>
                    </a:xfrm>
                    <a:prstGeom prst="rect">
                      <a:avLst/>
                    </a:prstGeom>
                    <a:noFill/>
                  </pic:spPr>
                </pic:pic>
              </a:graphicData>
            </a:graphic>
          </wp:anchor>
        </w:drawing>
      </w:r>
    </w:p>
    <w:p>
      <w:pPr>
        <w:spacing w:after="0" w:line="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davispolk.com</w:t>
      </w:r>
    </w:p>
    <w:p>
      <w:pPr>
        <w:spacing w:after="0" w:line="216"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8"/>
          <w:szCs w:val="18"/>
          <w:b w:val="1"/>
          <w:bCs w:val="1"/>
          <w:color w:val="auto"/>
        </w:rPr>
        <w:t>Exhibits 5.1 and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DAVIS POLK &amp; WARDWELL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SLM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Continental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Delaware 19713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SLM Corporation,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filed with the Securities and Exchange Commission a Registration Statement on Form S-3 (File No. 333-281147)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certain securities, including $500,000,000 aggregate principal amount of the Company’s 6.495% Fixed-to-Floating Rate Senior Notes due 2032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are to be issued pursuant to the provisions of the Indenture dated as of June 17, 2015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Company and Deutsche Bank National Trust Company,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the Fifth Supplemental Indenture dated as of May 15, 2026 between the Company and the Trustee (the “</w:t>
      </w:r>
      <w:r>
        <w:rPr>
          <w:rFonts w:ascii="Times New Roman" w:cs="Times New Roman" w:eastAsia="Times New Roman" w:hAnsi="Times New Roman"/>
          <w:sz w:val="18"/>
          <w:szCs w:val="18"/>
          <w:b w:val="1"/>
          <w:bCs w:val="1"/>
          <w:color w:val="auto"/>
        </w:rPr>
        <w:t>Fifth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Securities are to be sold pursuant to the Underwriting Agreement dated May 6, 2026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among the Company and the several underwriters named therein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Based upon the foregoing, and subject to the additional assumptions and qualifications set forth below, we advise you that, in our opinion, assuming the Securities have been duly executed and authenticated in accordance with the provisions of the Indenture and delivered to and paid for by the Underwriters pursuant to the Underwriting Agreement, the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effect of fraudulent conveyance, fraudulent transfer or similar provision of applicable law on the conclusions expressed above or the validity, legally binding effect or enforceability of any provision that permits holders to collect any portion of stated principal amount upon acceleration of the Securities to the extent determined to constitute unearned interest.</w:t>
      </w:r>
    </w:p>
    <w:p>
      <w:pPr>
        <w:sectPr>
          <w:pgSz w:w="11900" w:h="16838" w:orient="portrait"/>
          <w:cols w:equalWidth="0" w:num="1">
            <w:col w:w="11020"/>
          </w:cols>
          <w:pgMar w:left="440" w:top="117" w:right="439" w:bottom="1440" w:gutter="0" w:footer="0" w:header="0"/>
        </w:sectPr>
      </w:pPr>
    </w:p>
    <w:bookmarkStart w:id="62" w:name="page63"/>
    <w:bookmarkEnd w:id="62"/>
    <w:p>
      <w:pPr>
        <w:ind w:left="2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14425" cy="3771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14425" cy="377190"/>
                    </a:xfrm>
                    <a:prstGeom prst="rect">
                      <a:avLst/>
                    </a:prstGeom>
                    <a:noFill/>
                  </pic:spPr>
                </pic:pic>
              </a:graphicData>
            </a:graphic>
          </wp:anchor>
        </w:drawing>
        <w:t>SLM Corporation</w:t>
      </w:r>
    </w:p>
    <w:p>
      <w:pPr>
        <w:spacing w:after="0" w:line="200" w:lineRule="exact"/>
        <w:rPr>
          <w:sz w:val="20"/>
          <w:szCs w:val="20"/>
          <w:color w:val="auto"/>
        </w:rPr>
      </w:pPr>
    </w:p>
    <w:p>
      <w:pPr>
        <w:spacing w:after="0" w:line="2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we have assumed that the Indenture and the Securities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8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members of the Bar of the State of New York and the foregoing opinion is limited to the laws of the State of New York and the General Corporation Law of the State of Delaware, except that we express no opinion as to (i) any law, rule or regulation that is applicable to the Company, the Documents or such transactions solely because such law, rule or regulation is part of a regulatory regime applicable to any party to any of the Documents or any of its affiliates due to the specific assets or business of such party or such affiliate or (ii) any law, rule or regulation relating to national security.</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OLK</w:t>
      </w:r>
      <w:r>
        <w:rPr>
          <w:rFonts w:ascii="Times New Roman" w:cs="Times New Roman" w:eastAsia="Times New Roman" w:hAnsi="Times New Roman"/>
          <w:sz w:val="18"/>
          <w:szCs w:val="18"/>
          <w:color w:val="auto"/>
        </w:rPr>
        <w:t xml:space="preserve"> &amp; W</w:t>
      </w:r>
      <w:r>
        <w:rPr>
          <w:rFonts w:ascii="Times New Roman" w:cs="Times New Roman" w:eastAsia="Times New Roman" w:hAnsi="Times New Roman"/>
          <w:sz w:val="14"/>
          <w:szCs w:val="14"/>
          <w:color w:val="auto"/>
        </w:rPr>
        <w:t>ARDWELL</w:t>
      </w:r>
      <w:r>
        <w:rPr>
          <w:rFonts w:ascii="Times New Roman" w:cs="Times New Roman" w:eastAsia="Times New Roman" w:hAnsi="Times New Roman"/>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0900" w:val="left"/>
        </w:tabs>
        <w:rPr>
          <w:sz w:val="20"/>
          <w:szCs w:val="20"/>
          <w:color w:val="auto"/>
        </w:rPr>
      </w:pPr>
      <w:r>
        <w:rPr>
          <w:rFonts w:ascii="Times New Roman" w:cs="Times New Roman" w:eastAsia="Times New Roman" w:hAnsi="Times New Roman"/>
          <w:sz w:val="18"/>
          <w:szCs w:val="18"/>
          <w:color w:val="auto"/>
        </w:rPr>
        <w:t>May 15, 2026</w:t>
      </w:r>
      <w:r>
        <w:rPr>
          <w:sz w:val="20"/>
          <w:szCs w:val="20"/>
          <w:color w:val="auto"/>
        </w:rPr>
        <w:tab/>
      </w:r>
      <w:r>
        <w:rPr>
          <w:rFonts w:ascii="Times New Roman" w:cs="Times New Roman" w:eastAsia="Times New Roman" w:hAnsi="Times New Roman"/>
          <w:sz w:val="18"/>
          <w:szCs w:val="18"/>
          <w:color w:val="auto"/>
        </w:rPr>
        <w:t>2</w:t>
      </w:r>
    </w:p>
    <w:sectPr>
      <w:pgSz w:w="11900" w:h="16838" w:orient="portrait"/>
      <w:cols w:equalWidth="0" w:num="1">
        <w:col w:w="11020"/>
      </w:cols>
      <w:pgMar w:left="4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Letter"/>
      <w:start w:val="4"/>
    </w:lvl>
  </w:abstractNum>
  <w:abstractNum w:abstractNumId="2">
    <w:nsid w:val="5577F8E1"/>
    <w:multiLevelType w:val="hybridMultilevel"/>
    <w:lvl w:ilvl="0">
      <w:lvlJc w:val="left"/>
      <w:lvlText w:val="%1."/>
      <w:numFmt w:val="decimal"/>
      <w:start w:val="1"/>
    </w:lvl>
    <w:lvl w:ilvl="1">
      <w:lvlJc w:val="left"/>
      <w:lvlText w:val="(%2)"/>
      <w:numFmt w:val="lowerLetter"/>
      <w:start w:val="1"/>
    </w:lvl>
  </w:abstractNum>
  <w:abstractNum w:abstractNumId="3">
    <w:nsid w:val="440BADFC"/>
    <w:multiLevelType w:val="hybridMultilevel"/>
    <w:lvl w:ilvl="0">
      <w:lvlJc w:val="left"/>
      <w:lvlText w:val="(%1)"/>
      <w:numFmt w:val="lowerLetter"/>
      <w:start w:val="2"/>
    </w:lvl>
  </w:abstractNum>
  <w:abstractNum w:abstractNumId="4">
    <w:nsid w:val="5072367"/>
    <w:multiLevelType w:val="hybridMultilevel"/>
    <w:lvl w:ilvl="0">
      <w:lvlJc w:val="left"/>
      <w:lvlText w:val="%1"/>
      <w:numFmt w:val="lowerLetter"/>
      <w:start w:val="1"/>
    </w:lvl>
    <w:lvl w:ilvl="1">
      <w:lvlJc w:val="left"/>
      <w:lvlText w:val="(%2)"/>
      <w:numFmt w:val="lowerLetter"/>
      <w:start w:val="5"/>
    </w:lvl>
  </w:abstractNum>
  <w:abstractNum w:abstractNumId="5">
    <w:nsid w:val="3804823E"/>
    <w:multiLevelType w:val="hybridMultilevel"/>
    <w:lvl w:ilvl="0">
      <w:lvlJc w:val="left"/>
      <w:lvlText w:val="(%1)"/>
      <w:numFmt w:val="lowerLetter"/>
      <w:start w:val="35"/>
    </w:lvl>
    <w:lvl w:ilvl="1">
      <w:lvlJc w:val="left"/>
      <w:lvlText w:val="%2"/>
      <w:numFmt w:val="lowerLetter"/>
      <w:start w:val="1"/>
    </w:lvl>
  </w:abstractNum>
  <w:abstractNum w:abstractNumId="6">
    <w:nsid w:val="77465F01"/>
    <w:multiLevelType w:val="hybridMultilevel"/>
    <w:lvl w:ilvl="0">
      <w:lvlJc w:val="left"/>
      <w:lvlText w:val="(%1)"/>
      <w:numFmt w:val="lowerLetter"/>
      <w:start w:val="8"/>
    </w:lvl>
  </w:abstractNum>
  <w:abstractNum w:abstractNumId="7">
    <w:nsid w:val="7724C67E"/>
    <w:multiLevelType w:val="hybridMultilevel"/>
    <w:lvl w:ilvl="0">
      <w:lvlJc w:val="left"/>
      <w:lvlText w:val="(%1)"/>
      <w:numFmt w:val="lowerLetter"/>
      <w:start w:val="13"/>
    </w:lvl>
  </w:abstractNum>
  <w:abstractNum w:abstractNumId="8">
    <w:nsid w:val="5C482A97"/>
    <w:multiLevelType w:val="hybridMultilevel"/>
    <w:lvl w:ilvl="0">
      <w:lvlJc w:val="left"/>
      <w:lvlText w:val="(%1)"/>
      <w:numFmt w:val="lowerLetter"/>
      <w:start w:val="16"/>
    </w:lvl>
  </w:abstractNum>
  <w:abstractNum w:abstractNumId="9">
    <w:nsid w:val="2463B9EA"/>
    <w:multiLevelType w:val="hybridMultilevel"/>
    <w:lvl w:ilvl="0">
      <w:lvlJc w:val="left"/>
      <w:lvlText w:val="(%1)"/>
      <w:numFmt w:val="lowerLetter"/>
      <w:start w:val="21"/>
    </w:lvl>
  </w:abstractNum>
  <w:abstractNum w:abstractNumId="10">
    <w:nsid w:val="5E884ADC"/>
    <w:multiLevelType w:val="hybridMultilevel"/>
    <w:lvl w:ilvl="0">
      <w:lvlJc w:val="left"/>
      <w:lvlText w:val="(%1)"/>
      <w:numFmt w:val="lowerLetter"/>
      <w:start w:val="23"/>
    </w:lvl>
  </w:abstractNum>
  <w:abstractNum w:abstractNumId="11">
    <w:nsid w:val="51EAD36B"/>
    <w:multiLevelType w:val="hybridMultilevel"/>
    <w:lvl w:ilvl="0">
      <w:lvlJc w:val="left"/>
      <w:lvlText w:val="(%1)"/>
      <w:numFmt w:val="lowerLetter"/>
      <w:start w:val="27"/>
    </w:lvl>
  </w:abstractNum>
  <w:abstractNum w:abstractNumId="12">
    <w:nsid w:val="2D517796"/>
    <w:multiLevelType w:val="hybridMultilevel"/>
    <w:lvl w:ilvl="0">
      <w:lvlJc w:val="left"/>
      <w:lvlText w:val="%1."/>
      <w:numFmt w:val="decimal"/>
      <w:start w:val="2"/>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3"/>
    </w:lvl>
  </w:abstractNum>
  <w:abstractNum w:abstractNumId="16">
    <w:nsid w:val="70A64E2A"/>
    <w:multiLevelType w:val="hybridMultilevel"/>
    <w:lvl w:ilvl="0">
      <w:lvlJc w:val="left"/>
      <w:lvlText w:val="(%1)"/>
      <w:numFmt w:val="lowerLetter"/>
      <w:start w:val="7"/>
    </w:lvl>
  </w:abstractNum>
  <w:abstractNum w:abstractNumId="17">
    <w:nsid w:val="6A2342EC"/>
    <w:multiLevelType w:val="hybridMultilevel"/>
    <w:lvl w:ilvl="0">
      <w:lvlJc w:val="left"/>
      <w:lvlText w:val="(%1)"/>
      <w:numFmt w:val="lowerLetter"/>
      <w:start w:val="1"/>
    </w:lvl>
  </w:abstractNum>
  <w:abstractNum w:abstractNumId="18">
    <w:nsid w:val="2A487CB0"/>
    <w:multiLevelType w:val="hybridMultilevel"/>
    <w:lvl w:ilvl="0">
      <w:lvlJc w:val="left"/>
      <w:lvlText w:val="(%1)"/>
      <w:numFmt w:val="lowerRoman"/>
      <w:start w:val="2"/>
    </w:lvl>
  </w:abstractNum>
  <w:abstractNum w:abstractNumId="19">
    <w:nsid w:val="1D4ED43B"/>
    <w:multiLevelType w:val="hybridMultilevel"/>
    <w:lvl w:ilvl="0">
      <w:lvlJc w:val="left"/>
      <w:lvlText w:val="(%1)"/>
      <w:numFmt w:val="lowerLetter"/>
      <w:start w:val="2"/>
    </w:lvl>
  </w:abstractNum>
  <w:abstractNum w:abstractNumId="20">
    <w:nsid w:val="725A06FB"/>
    <w:multiLevelType w:val="hybridMultilevel"/>
    <w:lvl w:ilvl="0">
      <w:lvlJc w:val="left"/>
      <w:lvlText w:val="%1"/>
      <w:numFmt w:val="lowerRoman"/>
      <w:start w:val="1"/>
    </w:lvl>
    <w:lvl w:ilvl="1">
      <w:lvlJc w:val="left"/>
      <w:lvlText w:val="%2."/>
      <w:numFmt w:val="decimal"/>
      <w:start w:val="7"/>
    </w:lvl>
  </w:abstractNum>
  <w:abstractNum w:abstractNumId="21">
    <w:nsid w:val="2CD89A32"/>
    <w:multiLevelType w:val="hybridMultilevel"/>
    <w:lvl w:ilvl="0">
      <w:lvlJc w:val="left"/>
      <w:lvlText w:val="(%1)"/>
      <w:numFmt w:val="lowerRoman"/>
      <w:start w:val="4"/>
    </w:lvl>
    <w:lvl w:ilvl="1">
      <w:lvlJc w:val="left"/>
      <w:lvlText w:val="%2"/>
      <w:numFmt w:val="decimal"/>
      <w:start w:val="1"/>
    </w:lvl>
  </w:abstractNum>
  <w:abstractNum w:abstractNumId="22">
    <w:nsid w:val="57E4CCAF"/>
    <w:multiLevelType w:val="hybridMultilevel"/>
    <w:lvl w:ilvl="0">
      <w:lvlJc w:val="left"/>
      <w:lvlText w:val="(%1)"/>
      <w:numFmt w:val="lowerRoman"/>
      <w:start w:val="7"/>
    </w:lvl>
    <w:lvl w:ilvl="1">
      <w:lvlJc w:val="left"/>
      <w:lvlText w:val="%2."/>
      <w:numFmt w:val="decimal"/>
      <w:start w:val="8"/>
    </w:lvl>
  </w:abstractNum>
  <w:abstractNum w:abstractNumId="23">
    <w:nsid w:val="7A6D8D3C"/>
    <w:multiLevelType w:val="hybridMultilevel"/>
    <w:lvl w:ilvl="0">
      <w:lvlJc w:val="left"/>
      <w:lvlText w:val="(%1)"/>
      <w:numFmt w:val="lowerLetter"/>
      <w:start w:val="1"/>
    </w:lvl>
  </w:abstractNum>
  <w:abstractNum w:abstractNumId="24">
    <w:nsid w:val="4B588F54"/>
    <w:multiLevelType w:val="hybridMultilevel"/>
    <w:lvl w:ilvl="0">
      <w:lvlJc w:val="left"/>
      <w:lvlText w:val="(%1)"/>
      <w:numFmt w:val="lowerLetter"/>
      <w:start w:val="4"/>
    </w:lvl>
  </w:abstractNum>
  <w:abstractNum w:abstractNumId="25">
    <w:nsid w:val="542289EC"/>
    <w:multiLevelType w:val="hybridMultilevel"/>
    <w:lvl w:ilvl="0">
      <w:lvlJc w:val="left"/>
      <w:lvlText w:val="%1"/>
      <w:numFmt w:val="lowerLetter"/>
      <w:start w:val="1"/>
    </w:lvl>
    <w:lvl w:ilvl="1">
      <w:lvlJc w:val="left"/>
      <w:lvlText w:val="(%2)"/>
      <w:numFmt w:val="lowerLetter"/>
      <w:start w:val="10"/>
    </w:lvl>
  </w:abstractNum>
  <w:abstractNum w:abstractNumId="26">
    <w:nsid w:val="6DE91B18"/>
    <w:multiLevelType w:val="hybridMultilevel"/>
    <w:lvl w:ilvl="0">
      <w:lvlJc w:val="left"/>
      <w:lvlText w:val="(%1)"/>
      <w:numFmt w:val="lowerLetter"/>
      <w:start w:val="1"/>
    </w:lvl>
    <w:lvl w:ilvl="1">
      <w:lvlJc w:val="left"/>
      <w:lvlText w:val="%2"/>
      <w:numFmt w:val="lowerLetter"/>
      <w:start w:val="1"/>
    </w:lvl>
  </w:abstractNum>
  <w:abstractNum w:abstractNumId="27">
    <w:nsid w:val="38437FDB"/>
    <w:multiLevelType w:val="hybridMultilevel"/>
    <w:lvl w:ilvl="0">
      <w:lvlJc w:val="left"/>
      <w:lvlText w:val="%1."/>
      <w:numFmt w:val="decimal"/>
      <w:start w:val="9"/>
    </w:lvl>
  </w:abstractNum>
  <w:abstractNum w:abstractNumId="28">
    <w:nsid w:val="7644A45C"/>
    <w:multiLevelType w:val="hybridMultilevel"/>
    <w:lvl w:ilvl="0">
      <w:lvlJc w:val="left"/>
      <w:lvlText w:val="(%1)"/>
      <w:numFmt w:val="lowerLetter"/>
      <w:start w:val="2"/>
    </w:lvl>
  </w:abstractNum>
  <w:abstractNum w:abstractNumId="29">
    <w:nsid w:val="32FFF902"/>
    <w:multiLevelType w:val="hybridMultilevel"/>
    <w:lvl w:ilvl="0">
      <w:lvlJc w:val="left"/>
      <w:lvlText w:val="%1"/>
      <w:numFmt w:val="lowerLetter"/>
      <w:start w:val="1"/>
    </w:lvl>
    <w:lvl w:ilvl="1">
      <w:lvlJc w:val="left"/>
      <w:lvlText w:val="(%2)"/>
      <w:numFmt w:val="lowerLetter"/>
      <w:start w:val="3"/>
    </w:lvl>
  </w:abstractNum>
  <w:abstractNum w:abstractNumId="30">
    <w:nsid w:val="684A481A"/>
    <w:multiLevelType w:val="hybridMultilevel"/>
    <w:lvl w:ilvl="0">
      <w:lvlJc w:val="left"/>
      <w:lvlText w:val="(%1)"/>
      <w:numFmt w:val="lowerLetter"/>
      <w:start w:val="1"/>
    </w:lvl>
    <w:lvl w:ilvl="1">
      <w:lvlJc w:val="left"/>
      <w:lvlText w:val="%2"/>
      <w:numFmt w:val="lowerLetter"/>
      <w:start w:val="1"/>
    </w:lvl>
  </w:abstractNum>
  <w:abstractNum w:abstractNumId="31">
    <w:nsid w:val="579478FE"/>
    <w:multiLevelType w:val="hybridMultilevel"/>
    <w:lvl w:ilvl="0">
      <w:lvlJc w:val="left"/>
      <w:lvlText w:val="(%1)"/>
      <w:numFmt w:val="lowerLetter"/>
      <w:start w:val="5"/>
    </w:lvl>
  </w:abstractNum>
  <w:abstractNum w:abstractNumId="32">
    <w:nsid w:val="749ABB43"/>
    <w:multiLevelType w:val="hybridMultilevel"/>
    <w:lvl w:ilvl="0">
      <w:lvlJc w:val="left"/>
      <w:lvlText w:val="%1."/>
      <w:numFmt w:val="decimal"/>
      <w:start w:val="10"/>
    </w:lvl>
  </w:abstractNum>
  <w:abstractNum w:abstractNumId="33">
    <w:nsid w:val="3DC240FB"/>
    <w:multiLevelType w:val="hybridMultilevel"/>
    <w:lvl w:ilvl="0">
      <w:lvlJc w:val="left"/>
      <w:lvlText w:val="(%1)"/>
      <w:numFmt w:val="lowerLetter"/>
      <w:start w:val="2"/>
    </w:lvl>
  </w:abstractNum>
  <w:abstractNum w:abstractNumId="34">
    <w:nsid w:val="1BA026FA"/>
    <w:multiLevelType w:val="hybridMultilevel"/>
    <w:lvl w:ilvl="0">
      <w:lvlJc w:val="left"/>
      <w:lvlText w:val="%1."/>
      <w:numFmt w:val="decimal"/>
      <w:start w:val="11"/>
    </w:lvl>
  </w:abstractNum>
  <w:abstractNum w:abstractNumId="35">
    <w:nsid w:val="79A1DEAA"/>
    <w:multiLevelType w:val="hybridMultilevel"/>
    <w:lvl w:ilvl="0">
      <w:lvlJc w:val="left"/>
      <w:lvlText w:val="%1."/>
      <w:numFmt w:val="decimal"/>
      <w:start w:val="12"/>
    </w:lvl>
  </w:abstractNum>
  <w:abstractNum w:abstractNumId="36">
    <w:nsid w:val="75C6C33A"/>
    <w:multiLevelType w:val="hybridMultilevel"/>
    <w:lvl w:ilvl="0">
      <w:lvlJc w:val="left"/>
      <w:lvlText w:val="%1."/>
      <w:numFmt w:val="decimal"/>
      <w:start w:val="18"/>
    </w:lvl>
  </w:abstractNum>
  <w:abstractNum w:abstractNumId="37">
    <w:nsid w:val="12E685FB"/>
    <w:multiLevelType w:val="hybridMultilevel"/>
    <w:lvl w:ilvl="0">
      <w:lvlJc w:val="left"/>
      <w:lvlText w:val="(%1)"/>
      <w:numFmt w:val="lowerLetter"/>
      <w:start w:val="1"/>
    </w:lvl>
  </w:abstractNum>
  <w:abstractNum w:abstractNumId="38">
    <w:nsid w:val="70C6A529"/>
    <w:multiLevelType w:val="hybridMultilevel"/>
    <w:lvl w:ilvl="0">
      <w:lvlJc w:val="left"/>
      <w:lvlText w:val="(%1)"/>
      <w:numFmt w:val="lowerLetter"/>
      <w:start w:val="2"/>
    </w:lvl>
  </w:abstractNum>
  <w:abstractNum w:abstractNumId="39">
    <w:nsid w:val="520EEDD1"/>
    <w:multiLevelType w:val="hybridMultilevel"/>
    <w:lvl w:ilvl="0">
      <w:lvlJc w:val="left"/>
      <w:lvlText w:val="(%1)"/>
      <w:numFmt w:val="lowerRoman"/>
      <w:start w:val="1"/>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lowerLetter"/>
      <w:start w:val="1"/>
    </w:lvl>
  </w:abstractNum>
  <w:abstractNum w:abstractNumId="42">
    <w:nsid w:val="23F9C13C"/>
    <w:multiLevelType w:val="hybridMultilevel"/>
    <w:lvl w:ilvl="0">
      <w:lvlJc w:val="left"/>
      <w:lvlText w:val="(%1)"/>
      <w:numFmt w:val="decimal"/>
      <w:start w:val="1"/>
    </w:lvl>
  </w:abstractNum>
  <w:abstractNum w:abstractNumId="43">
    <w:nsid w:val="649BB77C"/>
    <w:multiLevelType w:val="hybridMultilevel"/>
    <w:lvl w:ilvl="0">
      <w:lvlJc w:val="left"/>
      <w:lvlText w:val="(%1)"/>
      <w:numFmt w:val="decimal"/>
      <w:start w:val="1"/>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lowerLetter"/>
      <w:start w:val="25"/>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2"/>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4"/>
    </w:lvl>
    <w:lvl w:ilvl="1">
      <w:lvlJc w:val="left"/>
      <w:lvlText w:val="(%2)"/>
      <w:numFmt w:val="lowerRoman"/>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Roman"/>
      <w:start w:val="1"/>
    </w:lvl>
    <w:lvl w:ilvl="1">
      <w:lvlJc w:val="left"/>
      <w:lvlText w:val="(%2)"/>
      <w:numFmt w:val="lowerLetter"/>
      <w:start w:val="2"/>
    </w:lvl>
  </w:abstractNum>
  <w:abstractNum w:abstractNumId="55">
    <w:nsid w:val="3F6AB60F"/>
    <w:multiLevelType w:val="hybridMultilevel"/>
    <w:lvl w:ilvl="0">
      <w:lvlJc w:val="left"/>
      <w:lvlText w:val="(%1)"/>
      <w:numFmt w:val="lowerRoman"/>
      <w:start w:val="2"/>
    </w:lvl>
    <w:lvl w:ilvl="1">
      <w:lvlJc w:val="left"/>
      <w:lvlText w:val="%2"/>
      <w:numFmt w:val="lowerLetter"/>
      <w:start w:val="1"/>
    </w:lvl>
  </w:abstractNum>
  <w:abstractNum w:abstractNumId="56">
    <w:nsid w:val="61574095"/>
    <w:multiLevelType w:val="hybridMultilevel"/>
    <w:lvl w:ilvl="0">
      <w:lvlJc w:val="left"/>
      <w:lvlText w:val="(%1)"/>
      <w:numFmt w:val="lowerRoman"/>
      <w:start w:val="1"/>
    </w:lvl>
  </w:abstractNum>
  <w:abstractNum w:abstractNumId="57">
    <w:nsid w:val="7E0C57B1"/>
    <w:multiLevelType w:val="hybridMultilevel"/>
    <w:lvl w:ilvl="0">
      <w:lvlJc w:val="left"/>
      <w:lvlText w:val="(%1)"/>
      <w:numFmt w:val="lowerLetter"/>
      <w:start w:val="2"/>
    </w:lvl>
  </w:abstractNum>
  <w:abstractNum w:abstractNumId="58">
    <w:nsid w:val="77AE35EB"/>
    <w:multiLevelType w:val="hybridMultilevel"/>
    <w:lvl w:ilvl="0">
      <w:lvlJc w:val="left"/>
      <w:lvlText w:val="(%1)"/>
      <w:numFmt w:val="lowerLetter"/>
      <w:start w:val="2"/>
    </w:lvl>
  </w:abstractNum>
  <w:abstractNum w:abstractNumId="59">
    <w:nsid w:val="579BE4F1"/>
    <w:multiLevelType w:val="hybridMultilevel"/>
    <w:lvl w:ilvl="0">
      <w:lvlJc w:val="left"/>
      <w:lvlText w:val="(%1)"/>
      <w:numFmt w:val="lowerLetter"/>
      <w:start w:val="3"/>
    </w:lvl>
    <w:lvl w:ilvl="1">
      <w:lvlJc w:val="left"/>
      <w:lvlText w:val="(%2)"/>
      <w:numFmt w:val="lowerRoman"/>
      <w:start w:val="1"/>
    </w:lvl>
  </w:abstractNum>
  <w:abstractNum w:abstractNumId="60">
    <w:nsid w:val="310C50B3"/>
    <w:multiLevelType w:val="hybridMultilevel"/>
    <w:lvl w:ilvl="0">
      <w:lvlJc w:val="left"/>
      <w:lvlText w:val="(%1)"/>
      <w:numFmt w:val="lowerRoman"/>
      <w:start w:val="1"/>
    </w:lvl>
  </w:abstractNum>
  <w:abstractNum w:abstractNumId="61">
    <w:nsid w:val="5FF87E05"/>
    <w:multiLevelType w:val="hybridMultilevel"/>
    <w:lvl w:ilvl="0">
      <w:lvlJc w:val="left"/>
      <w:lvlText w:val="%1"/>
      <w:numFmt w:val="lowerLetter"/>
      <w:start w:val="1"/>
    </w:lvl>
    <w:lvl w:ilvl="1">
      <w:lvlJc w:val="left"/>
      <w:lvlText w:val="(%2)"/>
      <w:numFmt w:val="lowerLetter"/>
      <w:start w:val="35"/>
    </w:lvl>
  </w:abstractNum>
  <w:abstractNum w:abstractNumId="62">
    <w:nsid w:val="2F305DEF"/>
    <w:multiLevelType w:val="hybridMultilevel"/>
    <w:lvl w:ilvl="0">
      <w:lvlJc w:val="left"/>
      <w:lvlText w:val="(%1)"/>
      <w:numFmt w:val="lowerLetter"/>
      <w:start w:val="2"/>
    </w:lvl>
    <w:lvl w:ilvl="1">
      <w:lvlJc w:val="left"/>
      <w:lvlText w:val="%2"/>
      <w:numFmt w:val="lowerLetter"/>
      <w:start w:val="1"/>
    </w:lvl>
  </w:abstractNum>
  <w:abstractNum w:abstractNumId="63">
    <w:nsid w:val="25A70BF7"/>
    <w:multiLevelType w:val="hybridMultilevel"/>
    <w:lvl w:ilvl="0">
      <w:lvlJc w:val="left"/>
      <w:lvlText w:val="(%1)"/>
      <w:numFmt w:val="lowerLetter"/>
      <w:start w:val="2"/>
    </w:lvl>
  </w:abstractNum>
  <w:abstractNum w:abstractNumId="64">
    <w:nsid w:val="1DBABF00"/>
    <w:multiLevelType w:val="hybridMultilevel"/>
    <w:lvl w:ilvl="0">
      <w:lvlJc w:val="left"/>
      <w:lvlText w:val="(%1)"/>
      <w:numFmt w:val="decimal"/>
      <w:start w:val="10"/>
    </w:lvl>
  </w:abstractNum>
  <w:abstractNum w:abstractNumId="65">
    <w:nsid w:val="4AD084E9"/>
    <w:multiLevelType w:val="hybridMultilevel"/>
    <w:lvl w:ilvl="0">
      <w:lvlJc w:val="left"/>
      <w:lvlText w:val="(%1)"/>
      <w:numFmt w:val="lowerLetter"/>
      <w:start w:val="2"/>
    </w:lvl>
  </w:abstractNum>
  <w:abstractNum w:abstractNumId="66">
    <w:nsid w:val="1F48EA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2026-05-15T09:39:07Z</dcterms:created>
  <dcterms:modified xsi:type="dcterms:W3CDTF">2026-05-15T09:39:07Z</dcterms:modified>
</cp:coreProperties>
</file>