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color w:val="000000"/>
        </w:rPr>
      </w:pPr>
      <w:r>
        <w:rPr>
          <w:color w:val="000000"/>
        </w:rPr>
        <w:t> </w:t>
      </w:r>
    </w:p>
    <w:p>
      <w:pPr>
        <w:pStyle w:val="TextBody"/>
        <w:bidi w:val="0"/>
        <w:spacing w:lineRule="auto" w:line="288" w:before="20" w:after="283"/>
        <w:jc w:val="center"/>
        <w:rPr>
          <w:color w:val="000000"/>
        </w:rPr>
      </w:pPr>
      <w:r>
        <w:rPr>
          <w:color w:val="000000"/>
        </w:rPr>
        <w:t>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UNITED STATES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Form 10-Q</w:t>
      </w:r>
    </w:p>
    <w:p>
      <w:pPr>
        <w:pStyle w:val="TextBody"/>
        <w:bidi w:val="0"/>
        <w:spacing w:before="0" w:after="0"/>
        <w:jc w:val="center"/>
        <w:rPr/>
      </w:pPr>
      <w:r>
        <w:rPr/>
      </w:r>
    </w:p>
    <w:p>
      <w:pPr>
        <w:pStyle w:val="TextBody"/>
        <w:bidi w:val="0"/>
        <w:spacing w:lineRule="auto" w:line="288" w:before="20" w:after="283"/>
        <w:jc w:val="center"/>
        <w:rPr>
          <w:color w:val="000000"/>
        </w:rPr>
      </w:pPr>
      <w:r>
        <w:rPr>
          <w:color w:val="000000"/>
        </w:rPr>
        <w:t> </w:t>
      </w:r>
    </w:p>
    <w:p>
      <w:pPr>
        <w:pStyle w:val="TextBody"/>
        <w:bidi w:val="0"/>
        <w:spacing w:lineRule="auto" w:line="288" w:before="90" w:after="283"/>
        <w:jc w:val="left"/>
        <w:rPr>
          <w:rFonts w:ascii="Arial;sans-serif" w:hAnsi="Arial;sans-serif"/>
          <w:b/>
          <w:color w:val="000000"/>
          <w:sz w:val="20"/>
        </w:rPr>
      </w:pPr>
      <w:r>
        <w:rPr>
          <w:rFonts w:ascii="Arial;sans-serif" w:hAnsi="Arial;sans-serif"/>
          <w:b/>
          <w:color w:val="000000"/>
          <w:sz w:val="20"/>
        </w:rPr>
        <w:t xml:space="preserve">(Mark One) </w:t>
      </w:r>
    </w:p>
    <w:p>
      <w:pPr>
        <w:pStyle w:val="TextBody"/>
        <w:bidi w:val="0"/>
        <w:spacing w:lineRule="auto" w:line="288" w:before="90" w:after="283"/>
        <w:ind w:left="0" w:right="0" w:hanging="450"/>
        <w:jc w:val="left"/>
        <w:rPr/>
      </w:pPr>
      <w:r>
        <w:rPr>
          <w:color w:val="000000"/>
        </w:rPr>
        <w:t>☑    </w:t>
      </w:r>
      <w:r>
        <w:rPr>
          <w:rFonts w:ascii="Arial;sans-serif" w:hAnsi="Arial;sans-serif"/>
          <w:b/>
          <w:color w:val="000000"/>
          <w:sz w:val="18"/>
        </w:rPr>
        <w:t xml:space="preserve">QUARTERLY REPORT PURSUANT TO SECTION 13 OR 15(d) OF THE SECURITIES EXCHANGE ACT OF 1934 </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180" w:after="283"/>
        <w:jc w:val="center"/>
        <w:rPr/>
      </w:pPr>
      <w:r>
        <w:rPr>
          <w:rFonts w:ascii="Arial;sans-serif" w:hAnsi="Arial;sans-serif"/>
          <w:b/>
          <w:color w:val="000000"/>
          <w:sz w:val="18"/>
        </w:rPr>
        <w:t>or</w:t>
      </w:r>
      <w:r>
        <w:rPr>
          <w:color w:val="000000"/>
        </w:rPr>
        <w:t xml:space="preserve"> </w:t>
      </w:r>
    </w:p>
    <w:p>
      <w:pPr>
        <w:pStyle w:val="TextBody"/>
        <w:bidi w:val="0"/>
        <w:spacing w:lineRule="auto" w:line="288" w:before="180" w:after="283"/>
        <w:ind w:left="0" w:right="0" w:hanging="450"/>
        <w:jc w:val="left"/>
        <w:rPr/>
      </w:pPr>
      <w:r>
        <w:rPr>
          <w:color w:val="000000"/>
        </w:rPr>
        <w:t>☐    </w:t>
      </w:r>
      <w:r>
        <w:rPr>
          <w:rFonts w:ascii="Arial;sans-serif" w:hAnsi="Arial;sans-serif"/>
          <w:b/>
          <w:color w:val="000000"/>
          <w:sz w:val="18"/>
        </w:rPr>
        <w:t xml:space="preserve">TRANSITION REPORT PURSUANT TO SECTION 13 OR 15(d) OF THE SECURITIES EXCHANGE ACT OF 1934 </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For the transition period from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001-13251 </w:t>
      </w:r>
    </w:p>
    <w:p>
      <w:pPr>
        <w:pStyle w:val="TextBody"/>
        <w:bidi w:val="0"/>
        <w:spacing w:lineRule="auto" w:line="288" w:before="20" w:after="283"/>
        <w:jc w:val="center"/>
        <w:rPr>
          <w:color w:val="000000"/>
        </w:rPr>
      </w:pPr>
      <w:r>
        <w:rPr>
          <w:color w:val="000000"/>
        </w:rPr>
        <w:t> </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 xml:space="preserve">SLM Corporation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(Exact name of registrant as specified in its charter) </w:t>
      </w:r>
    </w:p>
    <w:p>
      <w:pPr>
        <w:pStyle w:val="TextBody"/>
        <w:bidi w:val="0"/>
        <w:spacing w:lineRule="auto" w:line="288" w:before="20" w:after="283"/>
        <w:jc w:val="center"/>
        <w:rPr>
          <w:color w:val="000000"/>
        </w:rPr>
      </w:pPr>
      <w:r>
        <w:rPr>
          <w:color w:val="000000"/>
        </w:rPr>
        <w:t> </w:t>
      </w:r>
    </w:p>
    <w:tbl>
      <w:tblPr>
        <w:tblW w:w="5669" w:type="dxa"/>
        <w:jc w:val="center"/>
        <w:tblInd w:w="0" w:type="dxa"/>
        <w:tblLayout w:type="fixed"/>
        <w:tblCellMar>
          <w:top w:w="28" w:type="dxa"/>
          <w:left w:w="28" w:type="dxa"/>
          <w:bottom w:w="28" w:type="dxa"/>
          <w:right w:w="28" w:type="dxa"/>
        </w:tblCellMar>
      </w:tblPr>
      <w:tblGrid>
        <w:gridCol w:w="960"/>
        <w:gridCol w:w="843"/>
        <w:gridCol w:w="851"/>
        <w:gridCol w:w="269"/>
        <w:gridCol w:w="269"/>
        <w:gridCol w:w="271"/>
        <w:gridCol w:w="305"/>
        <w:gridCol w:w="305"/>
        <w:gridCol w:w="306"/>
        <w:gridCol w:w="377"/>
        <w:gridCol w:w="377"/>
        <w:gridCol w:w="536"/>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52-2013874</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1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 Continental Drive</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Newark,</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19713</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1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(302) 451-4911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(Registrant’s telephone number, including area code) </w:t>
      </w:r>
    </w:p>
    <w:p>
      <w:pPr>
        <w:pStyle w:val="TextBody"/>
        <w:bidi w:val="0"/>
        <w:spacing w:lineRule="auto" w:line="288" w:before="90" w:after="283"/>
        <w:jc w:val="center"/>
        <w:rPr>
          <w:rFonts w:ascii="Arial;sans-serif" w:hAnsi="Arial;sans-serif"/>
          <w:b/>
          <w:color w:val="000000"/>
          <w:sz w:val="14"/>
        </w:rPr>
      </w:pPr>
      <w:r>
        <w:rPr>
          <w:rFonts w:ascii="Arial;sans-serif" w:hAnsi="Arial;sans-serif"/>
          <w:b/>
          <w:color w:val="000000"/>
          <w:sz w:val="14"/>
        </w:rPr>
        <w:t xml:space="preserve">(Former name, former address and former fiscal year, if changed since last report) </w:t>
      </w:r>
    </w:p>
    <w:p>
      <w:pPr>
        <w:pStyle w:val="TextBody"/>
        <w:bidi w:val="0"/>
        <w:spacing w:lineRule="auto" w:line="345" w:before="100" w:after="10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87"/>
        <w:gridCol w:w="1765"/>
        <w:gridCol w:w="1788"/>
        <w:gridCol w:w="461"/>
        <w:gridCol w:w="461"/>
        <w:gridCol w:w="463"/>
        <w:gridCol w:w="928"/>
        <w:gridCol w:w="928"/>
        <w:gridCol w:w="1324"/>
      </w:tblGrid>
      <w:tr>
        <w:trPr/>
        <w:tc>
          <w:tcPr>
            <w:tcW w:w="208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3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1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5640" w:type="dxa"/>
            <w:gridSpan w:val="3"/>
            <w:tcBorders>
              <w:top w:val="single" w:sz="16"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$.20 per share</w:t>
            </w:r>
          </w:p>
        </w:tc>
        <w:tc>
          <w:tcPr>
            <w:tcW w:w="1385" w:type="dxa"/>
            <w:gridSpan w:val="3"/>
            <w:tcBorders>
              <w:top w:val="single" w:sz="16"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SLM</w:t>
            </w:r>
          </w:p>
        </w:tc>
        <w:tc>
          <w:tcPr>
            <w:tcW w:w="3180" w:type="dxa"/>
            <w:gridSpan w:val="3"/>
            <w:tcBorders>
              <w:top w:val="single" w:sz="16"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r>
        <w:trPr/>
        <w:tc>
          <w:tcPr>
            <w:tcW w:w="5640" w:type="dxa"/>
            <w:gridSpan w:val="3"/>
            <w:tcBorders>
              <w:top w:val="single" w:sz="16" w:space="0" w:color="000000"/>
              <w:left w:val="single" w:sz="8" w:space="0" w:color="000000"/>
              <w:bottom w:val="single" w:sz="16"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 Rate Non-Cumulative Preferred Stock, Series B, par value $.20 per share</w:t>
            </w:r>
          </w:p>
        </w:tc>
        <w:tc>
          <w:tcPr>
            <w:tcW w:w="1385" w:type="dxa"/>
            <w:gridSpan w:val="3"/>
            <w:tcBorders>
              <w:top w:val="single" w:sz="16" w:space="0" w:color="000000"/>
              <w:left w:val="single" w:sz="8" w:space="0" w:color="000000"/>
              <w:bottom w:val="single" w:sz="16"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SLMBP</w:t>
            </w:r>
          </w:p>
        </w:tc>
        <w:tc>
          <w:tcPr>
            <w:tcW w:w="3180" w:type="dxa"/>
            <w:gridSpan w:val="3"/>
            <w:tcBorders>
              <w:top w:val="single" w:sz="16" w:space="0" w:color="000000"/>
              <w:left w:val="single" w:sz="8" w:space="0" w:color="000000"/>
              <w:bottom w:val="single" w:sz="16"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88" w:before="90" w:after="283"/>
        <w:ind w:left="0" w:right="0" w:firstLine="495"/>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120" w:after="283"/>
        <w:ind w:left="0" w:right="0" w:firstLine="495"/>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 xml:space="preserve">☐ </w:t>
      </w:r>
    </w:p>
    <w:p>
      <w:pPr>
        <w:pStyle w:val="TextBody"/>
        <w:bidi w:val="0"/>
        <w:spacing w:lineRule="auto" w:line="288" w:before="180" w:after="283"/>
        <w:ind w:left="0" w:right="0" w:firstLine="495"/>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center"/>
        <w:rPr>
          <w:color w:val="000000"/>
        </w:rPr>
      </w:pPr>
      <w:r>
        <w:rPr>
          <w:color w:val="000000"/>
        </w:rPr>
        <w:t> </w:t>
      </w:r>
    </w:p>
    <w:tbl>
      <w:tblPr>
        <w:tblW w:w="8259" w:type="dxa"/>
        <w:jc w:val="center"/>
        <w:tblInd w:w="0" w:type="dxa"/>
        <w:tblLayout w:type="fixed"/>
        <w:tblCellMar>
          <w:top w:w="28" w:type="dxa"/>
          <w:left w:w="28" w:type="dxa"/>
          <w:bottom w:w="28" w:type="dxa"/>
          <w:right w:w="28" w:type="dxa"/>
        </w:tblCellMar>
      </w:tblPr>
      <w:tblGrid>
        <w:gridCol w:w="749"/>
        <w:gridCol w:w="659"/>
        <w:gridCol w:w="662"/>
        <w:gridCol w:w="109"/>
        <w:gridCol w:w="109"/>
        <w:gridCol w:w="109"/>
        <w:gridCol w:w="1144"/>
        <w:gridCol w:w="1144"/>
        <w:gridCol w:w="1146"/>
        <w:gridCol w:w="684"/>
        <w:gridCol w:w="684"/>
        <w:gridCol w:w="688"/>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 not check if a smaller reporting company)</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495"/>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No </w:t>
      </w:r>
      <w:r>
        <w:rPr>
          <w:color w:val="000000"/>
        </w:rPr>
        <w:t xml:space="preserve">☑  </w:t>
      </w:r>
    </w:p>
    <w:p>
      <w:pPr>
        <w:pStyle w:val="TextBody"/>
        <w:bidi w:val="0"/>
        <w:spacing w:lineRule="auto" w:line="288" w:before="120" w:after="283"/>
        <w:ind w:left="0" w:right="0" w:firstLine="495"/>
        <w:jc w:val="left"/>
        <w:rPr>
          <w:rFonts w:ascii="Arial;sans-serif" w:hAnsi="Arial;sans-serif"/>
          <w:b w:val="false"/>
          <w:color w:val="000000"/>
          <w:sz w:val="16"/>
        </w:rPr>
      </w:pPr>
      <w:r>
        <w:rPr>
          <w:rFonts w:ascii="Arial;sans-serif" w:hAnsi="Arial;sans-serif"/>
          <w:b w:val="false"/>
          <w:color w:val="000000"/>
          <w:sz w:val="16"/>
        </w:rPr>
        <w:t>As of June 30, 2026, there were 187,946,958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SLM CORPORATION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FINANCIAL STATEMENTS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INDEX</w:t>
      </w:r>
    </w:p>
    <w:p>
      <w:pPr>
        <w:pStyle w:val="TextBody"/>
        <w:bidi w:val="0"/>
        <w:spacing w:before="0" w:after="0"/>
        <w:jc w:val="right"/>
        <w:rPr/>
      </w:pPr>
      <w:r>
        <w:rPr/>
      </w:r>
    </w:p>
    <w:tbl>
      <w:tblPr>
        <w:tblW w:w="10040" w:type="dxa"/>
        <w:jc w:val="center"/>
        <w:tblInd w:w="0" w:type="dxa"/>
        <w:tblLayout w:type="fixed"/>
        <w:tblCellMar>
          <w:top w:w="28" w:type="dxa"/>
          <w:left w:w="28" w:type="dxa"/>
          <w:bottom w:w="28" w:type="dxa"/>
          <w:right w:w="28" w:type="dxa"/>
        </w:tblCellMar>
      </w:tblPr>
      <w:tblGrid>
        <w:gridCol w:w="543"/>
        <w:gridCol w:w="477"/>
        <w:gridCol w:w="477"/>
        <w:gridCol w:w="2595"/>
        <w:gridCol w:w="2595"/>
        <w:gridCol w:w="2654"/>
        <w:gridCol w:w="109"/>
        <w:gridCol w:w="109"/>
        <w:gridCol w:w="10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 xml:space="preserve">PART I. Financial Information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16">
              <w:r>
                <w:rPr>
                  <w:rStyle w:val="InternetLink"/>
                  <w:rFonts w:ascii="Arial;sans-serif" w:hAnsi="Arial;sans-serif"/>
                  <w:b w:val="false"/>
                  <w:color w:val="144F82"/>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16">
              <w:r>
                <w:rPr>
                  <w:rStyle w:val="InternetLink"/>
                  <w:rFonts w:ascii="Arial;sans-serif" w:hAnsi="Arial;sans-serif"/>
                  <w:b w:val="false"/>
                  <w:color w:val="144F82"/>
                  <w:sz w:val="20"/>
                  <w:u w:val="single"/>
                </w:rPr>
                <w:t>2</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34">
              <w:r>
                <w:rPr>
                  <w:rStyle w:val="InternetLink"/>
                  <w:rFonts w:ascii="Arial;sans-serif" w:hAnsi="Arial;sans-serif"/>
                  <w:b w:val="false"/>
                  <w:color w:val="144F82"/>
                  <w:sz w:val="20"/>
                  <w:u w:val="single"/>
                </w:rPr>
                <w:t>Notes to the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34">
              <w:r>
                <w:rPr>
                  <w:rStyle w:val="InternetLink"/>
                  <w:rFonts w:ascii="Arial;sans-serif" w:hAnsi="Arial;sans-serif"/>
                  <w:b w:val="false"/>
                  <w:color w:val="144F82"/>
                  <w:sz w:val="20"/>
                  <w:u w:val="single"/>
                </w:rPr>
                <w:t>11</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85">
              <w:r>
                <w:rPr>
                  <w:rStyle w:val="InternetLink"/>
                  <w:rFonts w:ascii="Arial;sans-serif" w:hAnsi="Arial;sans-serif"/>
                  <w:b w:val="false"/>
                  <w:color w:val="144F82"/>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85">
              <w:r>
                <w:rPr>
                  <w:rStyle w:val="InternetLink"/>
                  <w:rFonts w:ascii="Arial;sans-serif" w:hAnsi="Arial;sans-serif"/>
                  <w:b w:val="false"/>
                  <w:color w:val="144F82"/>
                  <w:sz w:val="20"/>
                  <w:u w:val="single"/>
                </w:rPr>
                <w:t>51</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3.</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91">
              <w:r>
                <w:rPr>
                  <w:rStyle w:val="InternetLink"/>
                  <w:rFonts w:ascii="Arial;sans-serif" w:hAnsi="Arial;sans-serif"/>
                  <w:b w:val="false"/>
                  <w:color w:val="144F82"/>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91">
              <w:r>
                <w:rPr>
                  <w:rStyle w:val="InternetLink"/>
                  <w:rFonts w:ascii="Arial;sans-serif" w:hAnsi="Arial;sans-serif"/>
                  <w:b w:val="false"/>
                  <w:color w:val="144F82"/>
                  <w:sz w:val="20"/>
                  <w:u w:val="single"/>
                </w:rPr>
                <w:t>77</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94">
              <w:r>
                <w:rPr>
                  <w:rStyle w:val="InternetLink"/>
                  <w:rFonts w:ascii="Arial;sans-serif" w:hAnsi="Arial;sans-serif"/>
                  <w:b w:val="false"/>
                  <w:color w:val="144F82"/>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94">
              <w:r>
                <w:rPr>
                  <w:rStyle w:val="InternetLink"/>
                  <w:rFonts w:ascii="Arial;sans-serif" w:hAnsi="Arial;sans-serif"/>
                  <w:b w:val="false"/>
                  <w:color w:val="144F82"/>
                  <w:sz w:val="20"/>
                  <w:u w:val="single"/>
                </w:rPr>
                <w:t>79</w:t>
              </w:r>
            </w:hyperlink>
          </w:p>
        </w:tc>
      </w:tr>
      <w:tr>
        <w:trPr/>
        <w:tc>
          <w:tcPr>
            <w:tcW w:w="9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 xml:space="preserve">PART II. Other Information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97">
              <w:r>
                <w:rPr>
                  <w:rStyle w:val="InternetLink"/>
                  <w:rFonts w:ascii="Arial;sans-serif" w:hAnsi="Arial;sans-serif"/>
                  <w:b w:val="false"/>
                  <w:color w:val="144F82"/>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97">
              <w:r>
                <w:rPr>
                  <w:rStyle w:val="InternetLink"/>
                  <w:rFonts w:ascii="Arial;sans-serif" w:hAnsi="Arial;sans-serif"/>
                  <w:b w:val="false"/>
                  <w:color w:val="144F82"/>
                  <w:sz w:val="20"/>
                  <w:u w:val="single"/>
                </w:rPr>
                <w:t>80</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1A.</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100">
              <w:r>
                <w:rPr>
                  <w:rStyle w:val="InternetLink"/>
                  <w:rFonts w:ascii="Arial;sans-serif" w:hAnsi="Arial;sans-serif"/>
                  <w:b w:val="false"/>
                  <w:color w:val="144F82"/>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100">
              <w:r>
                <w:rPr>
                  <w:rStyle w:val="InternetLink"/>
                  <w:rFonts w:ascii="Arial;sans-serif" w:hAnsi="Arial;sans-serif"/>
                  <w:b w:val="false"/>
                  <w:color w:val="144F82"/>
                  <w:sz w:val="20"/>
                  <w:u w:val="single"/>
                </w:rPr>
                <w:t>80</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103">
              <w:r>
                <w:rPr>
                  <w:rStyle w:val="InternetLink"/>
                  <w:rFonts w:ascii="Arial;sans-serif" w:hAnsi="Arial;sans-serif"/>
                  <w:b w:val="false"/>
                  <w:color w:val="144F82"/>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103">
              <w:r>
                <w:rPr>
                  <w:rStyle w:val="InternetLink"/>
                  <w:rFonts w:ascii="Arial;sans-serif" w:hAnsi="Arial;sans-serif"/>
                  <w:b w:val="false"/>
                  <w:color w:val="144F82"/>
                  <w:sz w:val="20"/>
                  <w:u w:val="single"/>
                </w:rPr>
                <w:t>80</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3.</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106">
              <w:r>
                <w:rPr>
                  <w:rStyle w:val="InternetLink"/>
                  <w:rFonts w:ascii="Arial;sans-serif" w:hAnsi="Arial;sans-serif"/>
                  <w:b w:val="false"/>
                  <w:color w:val="144F82"/>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106">
              <w:r>
                <w:rPr>
                  <w:rStyle w:val="InternetLink"/>
                  <w:rFonts w:ascii="Arial;sans-serif" w:hAnsi="Arial;sans-serif"/>
                  <w:b w:val="false"/>
                  <w:color w:val="144F82"/>
                  <w:sz w:val="20"/>
                  <w:u w:val="single"/>
                </w:rPr>
                <w:t>80</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106">
              <w:r>
                <w:rPr>
                  <w:rStyle w:val="InternetLink"/>
                  <w:rFonts w:ascii="Arial;sans-serif" w:hAnsi="Arial;sans-serif"/>
                  <w:b w:val="false"/>
                  <w:color w:val="144F82"/>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106">
              <w:r>
                <w:rPr>
                  <w:rStyle w:val="InternetLink"/>
                  <w:rFonts w:ascii="Arial;sans-serif" w:hAnsi="Arial;sans-serif"/>
                  <w:b w:val="false"/>
                  <w:color w:val="144F82"/>
                  <w:sz w:val="20"/>
                  <w:u w:val="single"/>
                </w:rPr>
                <w:t>80</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5.</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106">
              <w:r>
                <w:rPr>
                  <w:rStyle w:val="InternetLink"/>
                  <w:rFonts w:ascii="Arial;sans-serif" w:hAnsi="Arial;sans-serif"/>
                  <w:b w:val="false"/>
                  <w:color w:val="144F82"/>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112">
              <w:r>
                <w:rPr>
                  <w:rStyle w:val="InternetLink"/>
                  <w:rFonts w:ascii="Arial;sans-serif" w:hAnsi="Arial;sans-serif"/>
                  <w:b w:val="false"/>
                  <w:color w:val="144F82"/>
                  <w:sz w:val="20"/>
                  <w:u w:val="single"/>
                </w:rPr>
                <w:t>81</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6.</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0a8db904d242ab897ed65c5540e401_112">
              <w:r>
                <w:rPr>
                  <w:rStyle w:val="InternetLink"/>
                  <w:rFonts w:ascii="Arial;sans-serif" w:hAnsi="Arial;sans-serif"/>
                  <w:b w:val="false"/>
                  <w:color w:val="144F82"/>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a8db904d242ab897ed65c5540e401_112">
              <w:r>
                <w:rPr>
                  <w:rStyle w:val="InternetLink"/>
                  <w:rFonts w:ascii="Arial;sans-serif" w:hAnsi="Arial;sans-serif"/>
                  <w:b w:val="false"/>
                  <w:color w:val="144F82"/>
                  <w:sz w:val="20"/>
                  <w:u w:val="single"/>
                </w:rPr>
                <w:t>81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426"/>
        <w:gridCol w:w="2133"/>
        <w:gridCol w:w="2143"/>
        <w:gridCol w:w="109"/>
        <w:gridCol w:w="109"/>
        <w:gridCol w:w="109"/>
        <w:gridCol w:w="211"/>
        <w:gridCol w:w="1081"/>
        <w:gridCol w:w="109"/>
        <w:gridCol w:w="109"/>
        <w:gridCol w:w="109"/>
        <w:gridCol w:w="109"/>
        <w:gridCol w:w="211"/>
        <w:gridCol w:w="1081"/>
        <w:gridCol w:w="156"/>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CONSOLIDATED BALANCE SHEETS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December 31,</w:t>
            </w:r>
          </w:p>
        </w:tc>
      </w:tr>
      <w:tr>
        <w:trPr/>
        <w:tc>
          <w:tcPr>
            <w:tcW w:w="6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6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Trading investments at fair value (cost of $37,986 and $37,606,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Available-for-sale investments at fair value (cost of $1,775,289 and $1,812,408,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115,394 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1,922,714 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Loans held for investment (net of allowance for losses of $1,354,014 and $1,430,318,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Restricted cash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177,263 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1,602,311 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1,562,811 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acquired intangible assets,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58,546 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47,315 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28,579,411 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19,894,501 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5,844,116 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26,104,742 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27,294,937 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$0.20 per share, 20 million shares 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B: 2.5 million and 2.5 million shares issued, respectively, at stated value of $100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$0.20 per share, 1.125 billion shares authorized: 445.7 million and 443.2 million shares issued,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1,261,748 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1,240,250 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loss (net of tax benefit of ($14,669) and ($13,446),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5,041,088 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4,734,313 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SLM Corporation stockholders’ equity before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6,599,252 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6,274,155 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Common stock held in treasury at cost: 257.7 million and 244.0 million shares,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(4,124,583)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(3,822,797)</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2,451,358 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liabilities and 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28,579,411 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36"/>
        <w:gridCol w:w="1262"/>
        <w:gridCol w:w="126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CONSOLIDATED STATEMENTS OF INCOME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 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Six Months Ended </w:t>
              <w:br/>
              <w:t> June 30,</w:t>
            </w:r>
          </w:p>
        </w:tc>
      </w:tr>
      <w:tr>
        <w:trPr/>
        <w:tc>
          <w:tcPr>
            <w:tcW w:w="3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3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539,936 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597,609 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1,142,198 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1,196,376 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45,440 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77,074 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88,017 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602,055 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1,312,849 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short-term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279,939 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543,132 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561,059 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provisions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125,663 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148,718 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114,197 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172,004 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provisions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579,786 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sales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securities,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(13,019)</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68,286 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252,863 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232,820 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assessment fees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22,185 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194,296 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166,346 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364,657 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319,934 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194,983 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167,244 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366,084 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321,853 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480,814 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490,753 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114,941 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7,928 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 attributable to SLM Corporation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Basic earnings per common share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6"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209,978 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Diluted earnings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6"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and common equivalent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190,384 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213,220 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214,098 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Declared dividends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5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68"/>
        <w:gridCol w:w="1297"/>
        <w:gridCol w:w="1279"/>
        <w:gridCol w:w="115"/>
        <w:gridCol w:w="115"/>
        <w:gridCol w:w="115"/>
        <w:gridCol w:w="222"/>
        <w:gridCol w:w="763"/>
        <w:gridCol w:w="115"/>
        <w:gridCol w:w="115"/>
        <w:gridCol w:w="115"/>
        <w:gridCol w:w="115"/>
        <w:gridCol w:w="222"/>
        <w:gridCol w:w="763"/>
        <w:gridCol w:w="115"/>
        <w:gridCol w:w="115"/>
        <w:gridCol w:w="115"/>
        <w:gridCol w:w="115"/>
        <w:gridCol w:w="222"/>
        <w:gridCol w:w="874"/>
        <w:gridCol w:w="115"/>
        <w:gridCol w:w="115"/>
        <w:gridCol w:w="115"/>
        <w:gridCol w:w="115"/>
        <w:gridCol w:w="222"/>
        <w:gridCol w:w="874"/>
        <w:gridCol w:w="174"/>
      </w:tblGrid>
      <w:tr>
        <w:trPr/>
        <w:tc>
          <w:tcPr>
            <w:tcW w:w="156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CONSOLIDATED STATEMENTS OF COMPREHENSIVE INCOME (Unaudited)</w:t>
            </w:r>
          </w:p>
        </w:tc>
      </w:tr>
      <w:tr>
        <w:trPr/>
        <w:tc>
          <w:tcPr>
            <w:tcW w:w="41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June 30,</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Six Months Ended </w:t>
              <w:br/>
              <w:t> June 30,</w:t>
            </w:r>
          </w:p>
        </w:tc>
      </w:tr>
      <w:tr>
        <w:trPr/>
        <w:tc>
          <w:tcPr>
            <w:tcW w:w="41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4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58,525 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366,479 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375,812 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gains on investments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cash flow hedges</w:t>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(10,753)</w:t>
            </w:r>
          </w:p>
        </w:tc>
        <w:tc>
          <w:tcPr>
            <w:tcW w:w="17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unrealized (losses) gains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1,924 </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2,290 </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1,223 </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w:t>
            </w:r>
          </w:p>
        </w:tc>
        <w:tc>
          <w:tcPr>
            <w:tcW w:w="17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 (expense) benefit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(5,741)</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comprehensive income</w:t>
            </w:r>
          </w:p>
        </w:tc>
        <w:tc>
          <w:tcPr>
            <w:tcW w:w="3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52,784 </w:t>
            </w:r>
          </w:p>
        </w:tc>
        <w:tc>
          <w:tcPr>
            <w:tcW w:w="11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66,070 </w:t>
            </w:r>
          </w:p>
        </w:tc>
        <w:tc>
          <w:tcPr>
            <w:tcW w:w="11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362,817 </w:t>
            </w:r>
          </w:p>
        </w:tc>
        <w:tc>
          <w:tcPr>
            <w:tcW w:w="11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380,840 </w:t>
            </w:r>
          </w:p>
        </w:tc>
        <w:tc>
          <w:tcPr>
            <w:tcW w:w="17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7452" w:type="dxa"/>
        <w:jc w:val="center"/>
        <w:tblInd w:w="0" w:type="dxa"/>
        <w:tblLayout w:type="fixed"/>
        <w:tblCellMar>
          <w:top w:w="28" w:type="dxa"/>
          <w:left w:w="28" w:type="dxa"/>
          <w:bottom w:w="28" w:type="dxa"/>
          <w:right w:w="28" w:type="dxa"/>
        </w:tblCellMar>
      </w:tblPr>
      <w:tblGrid>
        <w:gridCol w:w="752"/>
        <w:gridCol w:w="266"/>
        <w:gridCol w:w="243"/>
        <w:gridCol w:w="109"/>
        <w:gridCol w:w="109"/>
        <w:gridCol w:w="109"/>
        <w:gridCol w:w="540"/>
        <w:gridCol w:w="331"/>
        <w:gridCol w:w="189"/>
        <w:gridCol w:w="109"/>
        <w:gridCol w:w="109"/>
        <w:gridCol w:w="109"/>
        <w:gridCol w:w="670"/>
        <w:gridCol w:w="381"/>
        <w:gridCol w:w="109"/>
        <w:gridCol w:w="109"/>
        <w:gridCol w:w="109"/>
        <w:gridCol w:w="109"/>
        <w:gridCol w:w="525"/>
        <w:gridCol w:w="526"/>
        <w:gridCol w:w="144"/>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March 31, 2025</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442,829,605 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(232,090,760)</w:t>
            </w:r>
          </w:p>
        </w:tc>
        <w:tc>
          <w:tcPr>
            <w:tcW w:w="14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210,738,845 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88,566 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1,209,017 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(55,631)</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4,386,169 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(3,478,335)</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2,400,856 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loss,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(5,202)</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(5,202)</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66,070 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($0.13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($1.58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(3,972)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(3,972)</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128,761 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9,335 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(2,366,356)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(2,366,356)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(19,870)</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(19,870)</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(585)</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442,958,366 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(234,476,986)</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208,481,380 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1,218,580 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(60,833)</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4,426,222 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(3,548,644)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2,374,987 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7452" w:type="dxa"/>
        <w:jc w:val="center"/>
        <w:tblInd w:w="0" w:type="dxa"/>
        <w:tblLayout w:type="fixed"/>
        <w:tblCellMar>
          <w:top w:w="28" w:type="dxa"/>
          <w:left w:w="28" w:type="dxa"/>
          <w:bottom w:w="28" w:type="dxa"/>
          <w:right w:w="28" w:type="dxa"/>
        </w:tblCellMar>
      </w:tblPr>
      <w:tblGrid>
        <w:gridCol w:w="752"/>
        <w:gridCol w:w="266"/>
        <w:gridCol w:w="243"/>
        <w:gridCol w:w="109"/>
        <w:gridCol w:w="109"/>
        <w:gridCol w:w="109"/>
        <w:gridCol w:w="540"/>
        <w:gridCol w:w="331"/>
        <w:gridCol w:w="189"/>
        <w:gridCol w:w="109"/>
        <w:gridCol w:w="109"/>
        <w:gridCol w:w="109"/>
        <w:gridCol w:w="670"/>
        <w:gridCol w:w="381"/>
        <w:gridCol w:w="109"/>
        <w:gridCol w:w="109"/>
        <w:gridCol w:w="109"/>
        <w:gridCol w:w="109"/>
        <w:gridCol w:w="525"/>
        <w:gridCol w:w="526"/>
        <w:gridCol w:w="144"/>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March 31, 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445,427,729 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(256,844,939)</w:t>
            </w:r>
          </w:p>
        </w:tc>
        <w:tc>
          <w:tcPr>
            <w:tcW w:w="14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188,582,790 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89,086 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1,224,442 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(38,049)</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5,010,721 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(4,099,638)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2,437,632 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loss,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(5,741)</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(5,741)</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52,784 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($0.13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($1.43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(3,581)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(3,581)</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251,232 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11,821 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11,821 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(880,970)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(880,970)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(6,094)</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(6,094)</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(261)</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445,678,961 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(257,732,003)</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187,946,958 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1,261,748 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(43,790)</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5,041,088 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(4,124,583)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2,474,669 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w:t>
                      </w:r>
                    </w:p>
                  </w:txbxContent>
                </v:textbox>
                <w10:wrap type="none"/>
              </v:rect>
            </w:pict>
          </mc:Fallback>
        </mc:AlternateContent>
      </w:r>
    </w:p>
    <w:p>
      <w:pPr>
        <w:pStyle w:val="TextBody"/>
        <w:bidi w:val="0"/>
        <w:spacing w:before="0" w:after="0"/>
        <w:jc w:val="left"/>
        <w:rPr/>
      </w:pPr>
      <w:r>
        <w:rPr/>
      </w:r>
    </w:p>
    <w:tbl>
      <w:tblPr>
        <w:tblW w:w="17452" w:type="dxa"/>
        <w:jc w:val="center"/>
        <w:tblInd w:w="0" w:type="dxa"/>
        <w:tblLayout w:type="fixed"/>
        <w:tblCellMar>
          <w:top w:w="28" w:type="dxa"/>
          <w:left w:w="28" w:type="dxa"/>
          <w:bottom w:w="28" w:type="dxa"/>
          <w:right w:w="28" w:type="dxa"/>
        </w:tblCellMar>
      </w:tblPr>
      <w:tblGrid>
        <w:gridCol w:w="752"/>
        <w:gridCol w:w="266"/>
        <w:gridCol w:w="243"/>
        <w:gridCol w:w="109"/>
        <w:gridCol w:w="109"/>
        <w:gridCol w:w="109"/>
        <w:gridCol w:w="540"/>
        <w:gridCol w:w="331"/>
        <w:gridCol w:w="189"/>
        <w:gridCol w:w="109"/>
        <w:gridCol w:w="109"/>
        <w:gridCol w:w="109"/>
        <w:gridCol w:w="670"/>
        <w:gridCol w:w="381"/>
        <w:gridCol w:w="109"/>
        <w:gridCol w:w="109"/>
        <w:gridCol w:w="109"/>
        <w:gridCol w:w="109"/>
        <w:gridCol w:w="525"/>
        <w:gridCol w:w="526"/>
        <w:gridCol w:w="144"/>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December 31, 2024</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440,604,795 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(230,222,501)</w:t>
            </w:r>
          </w:p>
        </w:tc>
        <w:tc>
          <w:tcPr>
            <w:tcW w:w="14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210,382,294 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88,121 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1,193,753 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(65,861)</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4,114,446 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(3,421,609)</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2,159,920 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375,812 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loss,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5,028 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5,028 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380,840 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($0.26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($3.16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(7,928)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(7,928)</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2,353,571 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2,353,571 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22,607 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22,607 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(3,403,747)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(3,403,747)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(850,738)</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(850,738)</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(26,555)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(26,555)</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442,958,366 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(234,476,986)</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208,481,380 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88,592 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1,218,580 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(60,833)</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4,426,222 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(3,548,644)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2,374,987 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7589" w:type="dxa"/>
        <w:jc w:val="center"/>
        <w:tblInd w:w="0" w:type="dxa"/>
        <w:tblLayout w:type="fixed"/>
        <w:tblCellMar>
          <w:top w:w="28" w:type="dxa"/>
          <w:left w:w="28" w:type="dxa"/>
          <w:bottom w:w="28" w:type="dxa"/>
          <w:right w:w="28" w:type="dxa"/>
        </w:tblCellMar>
      </w:tblPr>
      <w:tblGrid>
        <w:gridCol w:w="744"/>
        <w:gridCol w:w="258"/>
        <w:gridCol w:w="259"/>
        <w:gridCol w:w="109"/>
        <w:gridCol w:w="109"/>
        <w:gridCol w:w="109"/>
        <w:gridCol w:w="539"/>
        <w:gridCol w:w="332"/>
        <w:gridCol w:w="241"/>
        <w:gridCol w:w="109"/>
        <w:gridCol w:w="109"/>
        <w:gridCol w:w="109"/>
        <w:gridCol w:w="525"/>
        <w:gridCol w:w="526"/>
        <w:gridCol w:w="112"/>
        <w:gridCol w:w="109"/>
        <w:gridCol w:w="109"/>
        <w:gridCol w:w="109"/>
        <w:gridCol w:w="525"/>
        <w:gridCol w:w="526"/>
        <w:gridCol w:w="226"/>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4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December 31, 2025</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2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443,247,432 </w:t>
            </w:r>
          </w:p>
        </w:tc>
        <w:tc>
          <w:tcPr>
            <w:tcW w:w="11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(243,979,114)</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199,268,318 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88,650 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1,240,250 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(40,128)</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4,734,313 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(3,822,797)</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2,451,358 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366,479 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loss,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(3,662)</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(3,662)</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362,817 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($0.26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($2.84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(7,136)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(7,136)</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2,431,529 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2,431,529 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26,621 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26,621 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(12,911,950)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(12,911,950)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(283,404)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(293,092)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(840,939)</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(840,939)</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(18,382)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(18,382)</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445,678,961 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(257,732,003)</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187,946,958 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89,136 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1,261,748 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(43,790)</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5,041,088 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(4,124,583)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2,474,669 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80"/>
        <w:gridCol w:w="2359"/>
        <w:gridCol w:w="2363"/>
        <w:gridCol w:w="109"/>
        <w:gridCol w:w="109"/>
        <w:gridCol w:w="109"/>
        <w:gridCol w:w="197"/>
        <w:gridCol w:w="744"/>
        <w:gridCol w:w="109"/>
        <w:gridCol w:w="109"/>
        <w:gridCol w:w="109"/>
        <w:gridCol w:w="109"/>
        <w:gridCol w:w="197"/>
        <w:gridCol w:w="744"/>
        <w:gridCol w:w="158"/>
      </w:tblGrid>
      <w:tr>
        <w:trPr/>
        <w:tc>
          <w:tcPr>
            <w:tcW w:w="268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CASH FLOWS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740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Operating activities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375,812 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used in operating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114,941 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brokered deposit placement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Secured Borrowing Facility upfront fee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loan origination costs and loan premium/(discounts),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amortization of discount on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premises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intangible assets amortization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derivatives and hedging activities,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on sales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securities,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13,019 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adjustments to net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(590,998)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trading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non-marketable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other interest-earning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2,778 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income taxes payable,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(132,127)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(137,874)</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(46,162)</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(577,273)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(660,592)</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net cash used in operating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(210,794)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(284,780)</w:t>
            </w:r>
          </w:p>
        </w:tc>
        <w:tc>
          <w:tcPr>
            <w:tcW w:w="15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acquired and originated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(3,486,438)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(3,474,194)</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proceeds from sales of loans held for investment and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2,208,587 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loans held for investment and loans held for sale (other than loans acquired and originated, and loan sales)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1,631,995 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1,424,568 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maturities of available-for-sale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294,132 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373,236 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461,935 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Financing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Brokered deposit placement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certificates of deposit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(613,819)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(751,530)</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other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costs for collateralized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collateralized by loans in securitization trusts -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536,836 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collateralized by loans in securitization trusts - repaid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(631,417)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(564,760)</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costs for unsecured debt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debt issued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493,470 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493,885 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debt repaid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Fees paid on Secured Borrowing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dividends paid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(7,928)</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net cash used in financing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(1,542,079)</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(795,189)</w:t>
            </w:r>
          </w:p>
        </w:tc>
        <w:tc>
          <w:tcPr>
            <w:tcW w:w="15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(618,034)</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4,418,528 </w:t>
            </w:r>
          </w:p>
        </w:tc>
        <w:tc>
          <w:tcPr>
            <w:tcW w:w="109" w:type="dxa"/>
            <w:tcBorders>
              <w:bottom w:val="sing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4,874,260 </w:t>
            </w:r>
          </w:p>
        </w:tc>
        <w:tc>
          <w:tcPr>
            <w:tcW w:w="158" w:type="dxa"/>
            <w:tcBorders>
              <w:bottom w:val="sing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16"/>
        <w:gridCol w:w="2266"/>
        <w:gridCol w:w="2271"/>
        <w:gridCol w:w="109"/>
        <w:gridCol w:w="109"/>
        <w:gridCol w:w="109"/>
        <w:gridCol w:w="196"/>
        <w:gridCol w:w="871"/>
        <w:gridCol w:w="109"/>
        <w:gridCol w:w="109"/>
        <w:gridCol w:w="109"/>
        <w:gridCol w:w="109"/>
        <w:gridCol w:w="196"/>
        <w:gridCol w:w="871"/>
        <w:gridCol w:w="155"/>
      </w:tblGrid>
      <w:tr>
        <w:trPr/>
        <w:tc>
          <w:tcPr>
            <w:tcW w:w="261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4,794,987 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4,256,226 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Cash disbursements made for: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131,684 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137,974 </w:t>
            </w:r>
          </w:p>
        </w:tc>
        <w:tc>
          <w:tcPr>
            <w:tcW w:w="155"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refunded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Reconciliation of the Consolidated Statements of Cash Flows to the Consolidated Balance Sheets: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4,092,465 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163,761 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4,794,987 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4,256,226 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Supplemental non-cash investing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capitalized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investments received in consideration for loans sold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investments received in consideration for loans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lineRule="auto" w:line="288" w:before="30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 Significant Accounting Policies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Basis of Presentation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accompanying unaudited, consolidated financial statements of SLM Corporation (“Sallie Mae,” “SLM,” the “Company,” “we,” or “us”) have been prepared in accordance with generally accepted accounting principles in the United States of America (“GAAP”) for interim financial information. Accordingly, they do not include all the information and footnotes required by GAAP for complete consolidated financial statements. The consolidated financial statements include the accounts of SLM Corporation and its majority-owned and controlled subsidiaries after eliminating the effects of intercompany accounts and transactions. In the opinion of management, all adjustments considered necessary for a fair statement of the results for the interim periods have been included. The preparation of financial statements in conformity with GAAP requires management to make estimates and assumptions that affect the amounts reported in the consolidated financial statements and accompanying notes. Actual results could differ from those estimates. Operating results for the three and six months ended June 30, 2026 are not necessarily indicative of the results for the year ending December 31, 2026 or for any other period. These unaudited financial statements should be read in conjunction with the audited financial statements and related notes included in our Annual Report on Form 10-K for the year ended December 31, 2025 (the “2025 Form 10-K”).</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Consolidation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the Company and its majority-owned and controlled subsidiaries after eliminating the effects of intercompany accounts and transactions.</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 (Subtopic 220-40): Disaggregation of Income Statement Expenses. The ASU is intended to provide more detailed information about specified categories of expenses (purchases of inventory, employee compensation, depreciation and amortization) included in certain expense captions presented on the consolidated statements of income. The guidance in this standard is effective for fiscal years beginning after December 15, 2026, and interim periods within fiscal years beginning after December 15, 2027, with early adoption permitted. The adoption of this standard is not expected to have an impact on our consolidated financial position, results of operations, or cash flows but may lead to additional disclosures about expenses in our consolidated financial statements.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September 2025, the FASB issued ASU No. 2025-06, Intangibles-Goodwill and Other-Internal-Use Software (Subtopic 350-40): Targeted Improvements to the Accounting for Internal-Use Software. The ASU amendments modernize guidance to consider different methods of software development, updating the requirements for capitalization of software costs. The standard is effective for fiscal years beginning after December 15, 2027, and interim periods within those annual periods, with early adoption permitted. The ASU can be applied on a prospective, modified transition, or retrospective basis. We do not expect the adoption of the standard to have a material impact on our consolidated financial statements.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November 2025, the FASB issued ASU No. 2025-09, Derivatives and Hedging (Topic 815): Hedge Accounting Improvements. The ASU is intended to improve the hedge accounting model to better portray the results of risk management activities in the financial statements. The ASU is effective for fiscal reporting periods beginning after December 15, 2026, and interim periods within those annual periods, with early adoption permitted. Adoption is on a prospective basis. We are currently evaluating the impact of the ASU on our consolidated financial statements.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December 2025, the FASB issued ASU No. 2025-11, Interim Reporting (Topic 270): Narrow-Scope Improvements. The ASU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standard is effective for fiscal years beginning after December 15, 2027, including interim periods within those fiscal years. We are currently evaluating the impact of the ASU on our consolidated financial statements. </w:t>
      </w:r>
    </w:p>
    <w:p>
      <w:pPr>
        <w:pStyle w:val="TextBody"/>
        <w:bidi w:val="0"/>
        <w:spacing w:before="10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 Investments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Trading Investments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periodically sell Private Education Loans through securitization transactions where we are required to retain a five percent vertical risk retention interest (i.e., five percent of each class issued in the securitizations). We classify those vertical risk retention interests related to the transactions as available-for-sale investments, except for the interest in the residual classes, which we classify as trading investments recorded at fair value with changes recorded through earnings. At June 30, 2026 and December 31, 2025, we had $56 million and $49 million, respectively, classified as trading investments. </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Available-for-Sale Investments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amortized cost and fair value of securities available for sale are as follows: </w:t>
      </w:r>
    </w:p>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1109"/>
        <w:gridCol w:w="757"/>
        <w:gridCol w:w="512"/>
        <w:gridCol w:w="109"/>
        <w:gridCol w:w="109"/>
        <w:gridCol w:w="109"/>
        <w:gridCol w:w="212"/>
        <w:gridCol w:w="981"/>
        <w:gridCol w:w="109"/>
        <w:gridCol w:w="109"/>
        <w:gridCol w:w="109"/>
        <w:gridCol w:w="109"/>
        <w:gridCol w:w="326"/>
        <w:gridCol w:w="628"/>
        <w:gridCol w:w="170"/>
        <w:gridCol w:w="109"/>
        <w:gridCol w:w="109"/>
        <w:gridCol w:w="109"/>
        <w:gridCol w:w="236"/>
        <w:gridCol w:w="808"/>
        <w:gridCol w:w="122"/>
        <w:gridCol w:w="109"/>
        <w:gridCol w:w="109"/>
        <w:gridCol w:w="109"/>
        <w:gridCol w:w="235"/>
        <w:gridCol w:w="837"/>
        <w:gridCol w:w="121"/>
        <w:gridCol w:w="109"/>
        <w:gridCol w:w="109"/>
        <w:gridCol w:w="109"/>
        <w:gridCol w:w="220"/>
        <w:gridCol w:w="1018"/>
        <w:gridCol w:w="169"/>
      </w:tblGrid>
      <w:tr>
        <w:trPr/>
        <w:tc>
          <w:tcPr>
            <w:tcW w:w="1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As of June 30, 2026</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Allowance for credit losses</w:t>
            </w:r>
            <w:r>
              <w:rPr>
                <w:rFonts w:ascii="Arial;sans-serif" w:hAnsi="Arial;sans-serif"/>
                <w:b/>
                <w:color w:val="144F82"/>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Estimated Fair Value</w:t>
            </w:r>
          </w:p>
        </w:tc>
      </w:tr>
      <w:tr>
        <w:trPr/>
        <w:tc>
          <w:tcPr>
            <w:tcW w:w="2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573,620 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1,057 </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(56,793)</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517,884 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449,531 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446,416 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750,395 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Total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1,775,289 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10,354 </w:t>
            </w:r>
          </w:p>
        </w:tc>
        <w:tc>
          <w:tcPr>
            <w:tcW w:w="12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(68,931)</w:t>
            </w:r>
          </w:p>
        </w:tc>
        <w:tc>
          <w:tcPr>
            <w:tcW w:w="12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1,716,712 </w:t>
            </w:r>
          </w:p>
        </w:tc>
        <w:tc>
          <w:tcPr>
            <w:tcW w:w="16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As of December 31, 2025</w:t>
              <w:br/>
              <w:t>(dollars in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Allowance for credit losses</w:t>
            </w:r>
            <w:r>
              <w:rPr>
                <w:rFonts w:ascii="Arial;sans-serif" w:hAnsi="Arial;sans-serif"/>
                <w:b/>
                <w:color w:val="144F82"/>
                <w:sz w:val="11"/>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Estimated Fair Value</w:t>
            </w:r>
          </w:p>
        </w:tc>
      </w:tr>
      <w:tr>
        <w:trPr/>
        <w:tc>
          <w:tcPr>
            <w:tcW w:w="2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545,550 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3,045 </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(54,371)</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494,224 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649,087 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(9,581)</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639,506 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622,184 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Total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1,812,408 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17,389 </w:t>
            </w:r>
          </w:p>
        </w:tc>
        <w:tc>
          <w:tcPr>
            <w:tcW w:w="12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(71,727)</w:t>
            </w:r>
          </w:p>
        </w:tc>
        <w:tc>
          <w:tcPr>
            <w:tcW w:w="1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6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Represents the amount of impairment that has resulted from credit-related factors and that was recognized in the consolidated balance sheets (as a credit loss expense on available-for-sale securities). The amount excludes unrealized losses related to non-credit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12</w:t>
                      </w:r>
                    </w:p>
                  </w:txbxContent>
                </v:textbox>
                <w10:wrap type="none"/>
              </v:rect>
            </w:pict>
          </mc:Fallback>
        </mc:AlternateContent>
      </w:r>
    </w:p>
    <w:p>
      <w:pPr>
        <w:pStyle w:val="TextBody"/>
        <w:bidi w:val="0"/>
        <w:spacing w:before="120" w:after="283"/>
        <w:jc w:val="center"/>
        <w:rPr/>
      </w:pPr>
      <w:r>
        <w:rPr/>
      </w:r>
    </w:p>
    <w:tbl>
      <w:tblPr>
        <w:tblW w:w="3083" w:type="dxa"/>
        <w:jc w:val="center"/>
        <w:tblInd w:w="0" w:type="dxa"/>
        <w:tblLayout w:type="fixed"/>
        <w:tblCellMar>
          <w:top w:w="28" w:type="dxa"/>
          <w:left w:w="28" w:type="dxa"/>
          <w:bottom w:w="28" w:type="dxa"/>
          <w:right w:w="28" w:type="dxa"/>
        </w:tblCellMar>
      </w:tblPr>
      <w:tblGrid>
        <w:gridCol w:w="124"/>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amount of gross unrealized losses for our available-for-sale securities and the estimated fair value for securities having gross unrealized loss positions, categorized by length of time the securities have been in an unrealized loss position: </w:t>
      </w:r>
    </w:p>
    <w:tbl>
      <w:tblPr>
        <w:tblW w:w="10834" w:type="dxa"/>
        <w:jc w:val="center"/>
        <w:tblInd w:w="0" w:type="dxa"/>
        <w:tblLayout w:type="fixed"/>
        <w:tblCellMar>
          <w:top w:w="28" w:type="dxa"/>
          <w:left w:w="28" w:type="dxa"/>
          <w:bottom w:w="28" w:type="dxa"/>
          <w:right w:w="28" w:type="dxa"/>
        </w:tblCellMar>
      </w:tblPr>
      <w:tblGrid>
        <w:gridCol w:w="1020"/>
        <w:gridCol w:w="694"/>
        <w:gridCol w:w="312"/>
        <w:gridCol w:w="109"/>
        <w:gridCol w:w="109"/>
        <w:gridCol w:w="109"/>
        <w:gridCol w:w="211"/>
        <w:gridCol w:w="631"/>
        <w:gridCol w:w="109"/>
        <w:gridCol w:w="109"/>
        <w:gridCol w:w="109"/>
        <w:gridCol w:w="109"/>
        <w:gridCol w:w="211"/>
        <w:gridCol w:w="826"/>
        <w:gridCol w:w="109"/>
        <w:gridCol w:w="109"/>
        <w:gridCol w:w="109"/>
        <w:gridCol w:w="109"/>
        <w:gridCol w:w="211"/>
        <w:gridCol w:w="736"/>
        <w:gridCol w:w="109"/>
        <w:gridCol w:w="109"/>
        <w:gridCol w:w="109"/>
        <w:gridCol w:w="109"/>
        <w:gridCol w:w="211"/>
        <w:gridCol w:w="976"/>
        <w:gridCol w:w="109"/>
        <w:gridCol w:w="109"/>
        <w:gridCol w:w="109"/>
        <w:gridCol w:w="109"/>
        <w:gridCol w:w="211"/>
        <w:gridCol w:w="736"/>
        <w:gridCol w:w="109"/>
        <w:gridCol w:w="109"/>
        <w:gridCol w:w="109"/>
        <w:gridCol w:w="109"/>
        <w:gridCol w:w="211"/>
        <w:gridCol w:w="97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2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w:t>
              <w:br/>
              <w:t>Fair Value</w:t>
            </w:r>
          </w:p>
        </w:tc>
      </w:tr>
      <w:tr>
        <w:trPr/>
        <w:tc>
          <w:tcPr>
            <w:tcW w:w="2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(54,885)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260,353 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(56,793)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407,041 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446,416 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446,416 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299,157 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(65,878)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804,960 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(68,931)</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1,104,117 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(54,207)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275,703 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(54,371)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286,599 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22,809 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(71,532)</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1,036,556 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(71,727)</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1,059,365 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center"/>
        <w:rPr/>
      </w:pPr>
      <w:r>
        <w:rPr/>
      </w:r>
    </w:p>
    <w:p>
      <w:pPr>
        <w:pStyle w:val="TextBody"/>
        <w:bidi w:val="0"/>
        <w:spacing w:lineRule="auto" w:line="276" w:before="0" w:after="0"/>
        <w:ind w:left="0" w:right="0" w:firstLine="495"/>
        <w:jc w:val="left"/>
        <w:rPr>
          <w:rFonts w:ascii="Arial;sans-serif" w:hAnsi="Arial;sans-serif"/>
          <w:b w:val="false"/>
          <w:color w:val="000000"/>
          <w:sz w:val="20"/>
        </w:rPr>
      </w:pPr>
      <w:r>
        <w:rPr>
          <w:rFonts w:ascii="Arial;sans-serif" w:hAnsi="Arial;sans-serif"/>
          <w:b w:val="false"/>
          <w:color w:val="000000"/>
          <w:sz w:val="20"/>
        </w:rPr>
        <w:t>At June 30, 2026 and December 31, 2025, 214 of 306 and 179 of 295, respectively, of our available-for-sale securities were in an unrealized loss position.</w:t>
      </w:r>
    </w:p>
    <w:p>
      <w:pPr>
        <w:pStyle w:val="TextBody"/>
        <w:bidi w:val="0"/>
        <w:spacing w:lineRule="auto" w:line="276" w:before="120" w:after="283"/>
        <w:ind w:left="0" w:right="0" w:firstLine="495"/>
        <w:jc w:val="left"/>
        <w:rPr>
          <w:rFonts w:ascii="Arial;sans-serif" w:hAnsi="Arial;sans-serif"/>
          <w:b w:val="false"/>
          <w:i/>
          <w:color w:val="000000"/>
          <w:sz w:val="20"/>
        </w:rPr>
      </w:pPr>
      <w:r>
        <w:rPr>
          <w:rFonts w:ascii="Arial;sans-serif" w:hAnsi="Arial;sans-serif"/>
          <w:b w:val="false"/>
          <w:i/>
          <w:color w:val="000000"/>
          <w:sz w:val="20"/>
        </w:rPr>
        <w:t>Impairment</w:t>
      </w:r>
    </w:p>
    <w:p>
      <w:pPr>
        <w:pStyle w:val="TextBody"/>
        <w:bidi w:val="0"/>
        <w:spacing w:lineRule="auto" w:line="276"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available-for-sale securities in an unrealized loss position, we first assess whether we intend to sell the security or whether it is more likely than not that we will be required to sell the security before recovery of its amortized cost basis. If either of these criteria are met, the security’s amortized cost basis is written down to fair value through net income. For securities in an unrealized loss position that do not meet these criteria, we evaluate whether the decline in fair value has resulted from credit loss or other factors. In making this assessment, we consider the extent to which fair value is less than amortized cost, any changes to the rating of the security by a rating agency, adverse conditions specifically related to the security, as well as any guarantees (e.g., guarantees by the U.S. Government) that may be applicable to the security. If this assessment indicates a credit loss exists, the credit-related portion of the loss is recorded as an allowance for losses on the security.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Our investment portfolio contains mortgage-backed securities issued by Ginnie Mae, Fannie Mae, and Freddie Mac, as well as Utah Housing Corporation bonds. We own these securities to meet our requirements under the Community Reinvestment Act (“CRA”). We also invest in other U.S. government-sponsored enterprise securities issued by the Federal Home Loan Banks, Freddie Mac, and the Federal Farm Credit Bank. Our mortgage-backed securities that were issued under Ginnie Mae programs carry a full faith and credit guarantee from the U.S. Government. The remaining mortgage-backed securities in a net loss position carry a principal and interest guarantee by Fannie Mae or Freddie Mac, respectively. Our Treasury and other U.S. government-sponsored enterprise bonds are rated Aaa by Moody’s Investors Service or AA+ by Standard and Poor’s. We have the intent and ability to hold these bonds for a period of time sufficient for the market price to recover to at least the adjusted amortized cost of the security. Based on this qualitative analysis, we have determined that no credit impairment exists.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periodically sell Private Education Loans through securitization transactions where we are required to retain a five percent vertical risk retention interest. We classify the non-residual vertical risk retention interests as available-for-sale investments. We have the intent and ability to hold each of these bonds for a period of time sufficient for the market price to recover to at least the adjusted amortized cost of the security. We expect to receive all contractual cash flows related to these investments and do not consider a credit impairment to exist.</w:t>
      </w:r>
    </w:p>
    <w:p>
      <w:pPr>
        <w:pStyle w:val="TextBody"/>
        <w:bidi w:val="0"/>
        <w:spacing w:before="10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13</w:t>
                      </w:r>
                    </w:p>
                  </w:txbxContent>
                </v:textbox>
                <w10:wrap type="none"/>
              </v:rect>
            </w:pict>
          </mc:Fallback>
        </mc:AlternateContent>
      </w:r>
    </w:p>
    <w:p>
      <w:pPr>
        <w:pStyle w:val="TextBody"/>
        <w:bidi w:val="0"/>
        <w:spacing w:before="120" w:after="283"/>
        <w:jc w:val="center"/>
        <w:rPr/>
      </w:pPr>
      <w:r>
        <w:rPr/>
      </w:r>
    </w:p>
    <w:tbl>
      <w:tblPr>
        <w:tblW w:w="3083" w:type="dxa"/>
        <w:jc w:val="center"/>
        <w:tblInd w:w="0" w:type="dxa"/>
        <w:tblLayout w:type="fixed"/>
        <w:tblCellMar>
          <w:top w:w="28" w:type="dxa"/>
          <w:left w:w="28" w:type="dxa"/>
          <w:bottom w:w="28" w:type="dxa"/>
          <w:right w:w="28" w:type="dxa"/>
        </w:tblCellMar>
      </w:tblPr>
      <w:tblGrid>
        <w:gridCol w:w="124"/>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June 30, 2026, the amortized cost and fair value of securities, by contractual maturities, are summarized below. Contractual maturities versus actual maturities may differ due to the effect of prepayments. </w:t>
      </w:r>
    </w:p>
    <w:tbl>
      <w:tblPr>
        <w:tblW w:w="5646" w:type="dxa"/>
        <w:jc w:val="center"/>
        <w:tblInd w:w="0" w:type="dxa"/>
        <w:tblLayout w:type="fixed"/>
        <w:tblCellMar>
          <w:top w:w="28" w:type="dxa"/>
          <w:left w:w="28" w:type="dxa"/>
          <w:bottom w:w="28" w:type="dxa"/>
          <w:right w:w="28" w:type="dxa"/>
        </w:tblCellMar>
      </w:tblPr>
      <w:tblGrid>
        <w:gridCol w:w="678"/>
        <w:gridCol w:w="597"/>
        <w:gridCol w:w="599"/>
        <w:gridCol w:w="109"/>
        <w:gridCol w:w="109"/>
        <w:gridCol w:w="109"/>
        <w:gridCol w:w="219"/>
        <w:gridCol w:w="1017"/>
        <w:gridCol w:w="113"/>
        <w:gridCol w:w="109"/>
        <w:gridCol w:w="109"/>
        <w:gridCol w:w="109"/>
        <w:gridCol w:w="278"/>
        <w:gridCol w:w="1288"/>
        <w:gridCol w:w="203"/>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June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Year of Maturity</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 Fair Value</w:t>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349,905 </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347,731 </w:t>
            </w:r>
          </w:p>
        </w:tc>
        <w:tc>
          <w:tcPr>
            <w:tcW w:w="20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3,072 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6,214 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5,475 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91,084 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73,038 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47,647 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42,118 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223,676 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220,255 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289,349 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291,837 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1,775,289 </w:t>
            </w:r>
          </w:p>
        </w:tc>
        <w:tc>
          <w:tcPr>
            <w:tcW w:w="11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1,716,712 </w:t>
            </w:r>
          </w:p>
        </w:tc>
        <w:tc>
          <w:tcPr>
            <w:tcW w:w="20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center"/>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Some of the mortgage-backed securities and a portion of the government securities have been pledged to the Federal Reserve Bank (the “FRB”) as collateral against any advances and accrued interest under the Primary Credit lending program sponsored by the FRB. We had $642 million and $641 million par value of securities pledged to this borrowing facility at June 30, 2026 and December 31, 2025, respectively, as discussed further in Note 8, “Borrowings” in this Form 10-Q.</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Other Investments</w:t>
      </w:r>
    </w:p>
    <w:p>
      <w:pPr>
        <w:pStyle w:val="TextBody"/>
        <w:bidi w:val="0"/>
        <w:spacing w:lineRule="auto" w:line="288" w:before="120" w:after="283"/>
        <w:ind w:left="0" w:right="0" w:firstLine="225"/>
        <w:jc w:val="left"/>
        <w:rPr>
          <w:rFonts w:ascii="Arial;sans-serif" w:hAnsi="Arial;sans-serif"/>
          <w:b/>
          <w:i/>
          <w:color w:val="000000"/>
          <w:sz w:val="20"/>
        </w:rPr>
      </w:pPr>
      <w:r>
        <w:rPr>
          <w:rFonts w:ascii="Arial;sans-serif" w:hAnsi="Arial;sans-serif"/>
          <w:b/>
          <w:i/>
          <w:color w:val="000000"/>
          <w:sz w:val="20"/>
        </w:rPr>
        <w:t xml:space="preserve">Investments in Non-Marketable Securities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hold investments in non-marketable securities and account for these investments at cost, less impairment, plus or minus observable price changes of identical or similar securities of the same issuer. Changes in market value are recorded through earnings. Because these are non-marketable securities, we use observable price changes of identical or similar securities of the same issuer, or when observable prices are not available, use market data of similar entities, in determining any changes in the value of the securities. In the first quarter of 2025, we recognized an impairment on certain of our other non-marketable equity securities, related to our former credit card platform, resulting in a loss of $10 million, which is net of a valuation adjustment on a trading investment with the same issuer. As of June 30, 2026 and December 31, 2025, our total investment in non-marketable securities was $10 million and $12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14</w:t>
                      </w:r>
                    </w:p>
                  </w:txbxContent>
                </v:textbox>
                <w10:wrap type="none"/>
              </v:rect>
            </w:pict>
          </mc:Fallback>
        </mc:AlternateContent>
      </w:r>
    </w:p>
    <w:p>
      <w:pPr>
        <w:pStyle w:val="TextBody"/>
        <w:bidi w:val="0"/>
        <w:spacing w:before="120" w:after="283"/>
        <w:jc w:val="center"/>
        <w:rPr/>
      </w:pPr>
      <w:r>
        <w:rPr/>
      </w:r>
    </w:p>
    <w:tbl>
      <w:tblPr>
        <w:tblW w:w="3083" w:type="dxa"/>
        <w:jc w:val="center"/>
        <w:tblInd w:w="0" w:type="dxa"/>
        <w:tblLayout w:type="fixed"/>
        <w:tblCellMar>
          <w:top w:w="28" w:type="dxa"/>
          <w:left w:w="28" w:type="dxa"/>
          <w:bottom w:w="28" w:type="dxa"/>
          <w:right w:w="28" w:type="dxa"/>
        </w:tblCellMar>
      </w:tblPr>
      <w:tblGrid>
        <w:gridCol w:w="124"/>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left"/>
        <w:rPr>
          <w:rFonts w:ascii="Arial;sans-serif" w:hAnsi="Arial;sans-serif"/>
          <w:b/>
          <w:i/>
          <w:color w:val="000000"/>
          <w:sz w:val="20"/>
        </w:rPr>
      </w:pPr>
      <w:r>
        <w:rPr>
          <w:rFonts w:ascii="Arial;sans-serif" w:hAnsi="Arial;sans-serif"/>
          <w:b/>
          <w:i/>
          <w:color w:val="000000"/>
          <w:sz w:val="20"/>
        </w:rPr>
        <w:t xml:space="preserve">Low Income Housing Tax Credit Investments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invest in affordable housing projects that qualify for the low-income housing tax credit (“LIHTC”), which is designed to promote private development of low-income housing. These investments generate a return mostly through realization of federal tax credits and tax benefits from net operating losses on the underlying properties. Total carrying value of the LIHTC investments was $90 million at June 30, 2026 and $96 million at December 31, 2025. We are periodically required to provide additional financial support during the investment period. Our liability for these unfunded commitments was $34 million at June 30, 2026 and $36 million at December 31, 2025.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Related to these investments, we recognized tax credits and other tax benefits through tax expense of $2 million at June 30, 2026 and $14 million at December 31, 2025. Tax credits and other tax benefits are recognized as part of our annual effective tax rate used to determine tax expense in a given quarter. Accordingly, the portion of a year’s expected tax benefits recognized in any given quarter may differ from 25 percent.</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3. Loans Held for Investment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Loans held for investment consist solely of Private Education Loans as of June 30, 2026. We use “Private Education Loans” to mean education loans to students or their families that are not made, insured, or guaranteed by any state or federal government.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Private Education Loans are made largely to bridge the gap between the cost of higher education and the amount funded through financial aid, government loans, and customers’ resources. Private Education Loans bear the full credit risk of the customer. We manage this risk through risk-performance underwriting strategies and qualified cosigners. Private Education Loans may be fixed-rate or may carry a variable interest rate indexed to the Secured Overnight Financing Rate (“SOFR”). As of both June 30, 2026 and December 31, 2025, 22 percent of all our Private Education Loans were indexed to SOFR. We provide incentives for customers to include a cosigner on the loan, and the vast majority of Private Education Loans in our portfolio are cosigned. We also encourage customers to make payments while in school.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Private Education Loan sales to unaffiliated third parties for the periods presented. We did not sell any Private Education Loans in the three months ended June 30, 2025.</w:t>
      </w:r>
    </w:p>
    <w:tbl>
      <w:tblPr>
        <w:tblW w:w="8697" w:type="dxa"/>
        <w:jc w:val="center"/>
        <w:tblInd w:w="0" w:type="dxa"/>
        <w:tblLayout w:type="fixed"/>
        <w:tblCellMar>
          <w:top w:w="28" w:type="dxa"/>
          <w:left w:w="28" w:type="dxa"/>
          <w:bottom w:w="28" w:type="dxa"/>
          <w:right w:w="28" w:type="dxa"/>
        </w:tblCellMar>
      </w:tblPr>
      <w:tblGrid>
        <w:gridCol w:w="1113"/>
        <w:gridCol w:w="979"/>
        <w:gridCol w:w="982"/>
        <w:gridCol w:w="109"/>
        <w:gridCol w:w="109"/>
        <w:gridCol w:w="109"/>
        <w:gridCol w:w="660"/>
        <w:gridCol w:w="1459"/>
        <w:gridCol w:w="341"/>
        <w:gridCol w:w="109"/>
        <w:gridCol w:w="109"/>
        <w:gridCol w:w="109"/>
        <w:gridCol w:w="109"/>
        <w:gridCol w:w="109"/>
        <w:gridCol w:w="215"/>
        <w:gridCol w:w="630"/>
        <w:gridCol w:w="111"/>
        <w:gridCol w:w="111"/>
        <w:gridCol w:w="111"/>
        <w:gridCol w:w="111"/>
        <w:gridCol w:w="215"/>
        <w:gridCol w:w="630"/>
        <w:gridCol w:w="157"/>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2025</w:t>
            </w:r>
          </w:p>
        </w:tc>
      </w:tr>
      <w:tr>
        <w:trPr/>
        <w:tc>
          <w:tcPr>
            <w:tcW w:w="307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principal</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3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3,530 </w:t>
            </w:r>
          </w:p>
        </w:tc>
        <w:tc>
          <w:tcPr>
            <w:tcW w:w="11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Capitalized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Private Education Loans sold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3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3,752 </w:t>
            </w:r>
          </w:p>
        </w:tc>
        <w:tc>
          <w:tcPr>
            <w:tcW w:w="11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Gain on sale of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9"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41"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11"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57"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There were VIEs created in the execution of certain of these loan sales; however, based on our consolidation analysis, we are not the primary beneficiary of those VIEs. These transactions qualified for sale treatment and removed the balance of the loans from our balance sheet on the respective settlement dates. We remained the servicer of these loans pursuant to applicable servicing agreements executed in connection with the sales. For additional information, see Note 8, “Borrowings - Unconsolidated Funding Vehicles” in this Form 10-Q.</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Certain of these loans sales were a component of a larger transaction that included fees paid to us as a decision maker or service provider. Based on our analysis, we determined that the fees are not variable interests in VIEs. For additional information, see Note 2, “Significant Accounting Policies — Variable Interest Entities (“VIEs”)” in our 2025 Form 10-K for additional information.</w:t>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15</w:t>
                      </w:r>
                    </w:p>
                  </w:txbxContent>
                </v:textbox>
                <w10:wrap type="none"/>
              </v:rect>
            </w:pict>
          </mc:Fallback>
        </mc:AlternateContent>
      </w:r>
    </w:p>
    <w:p>
      <w:pPr>
        <w:pStyle w:val="TextBody"/>
        <w:bidi w:val="0"/>
        <w:spacing w:before="0" w:after="0"/>
        <w:jc w:val="left"/>
        <w:rPr/>
      </w:pPr>
      <w:r>
        <w:rPr/>
      </w:r>
    </w:p>
    <w:tbl>
      <w:tblPr>
        <w:tblW w:w="4404" w:type="dxa"/>
        <w:jc w:val="center"/>
        <w:tblInd w:w="0" w:type="dxa"/>
        <w:tblLayout w:type="fixed"/>
        <w:tblCellMar>
          <w:top w:w="28" w:type="dxa"/>
          <w:left w:w="28" w:type="dxa"/>
          <w:bottom w:w="28" w:type="dxa"/>
          <w:right w:w="28" w:type="dxa"/>
        </w:tblCellMar>
      </w:tblPr>
      <w:tblGrid>
        <w:gridCol w:w="124"/>
        <w:gridCol w:w="109"/>
        <w:gridCol w:w="109"/>
        <w:gridCol w:w="1229"/>
        <w:gridCol w:w="1229"/>
        <w:gridCol w:w="12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3.</w:t>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Loans Held for Investment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Loans held for investment are summarized as follows:</w:t>
      </w:r>
    </w:p>
    <w:tbl>
      <w:tblPr>
        <w:tblW w:w="8766" w:type="dxa"/>
        <w:jc w:val="center"/>
        <w:tblInd w:w="0" w:type="dxa"/>
        <w:tblLayout w:type="fixed"/>
        <w:tblCellMar>
          <w:top w:w="28" w:type="dxa"/>
          <w:left w:w="28" w:type="dxa"/>
          <w:bottom w:w="28" w:type="dxa"/>
          <w:right w:w="28" w:type="dxa"/>
        </w:tblCellMar>
      </w:tblPr>
      <w:tblGrid>
        <w:gridCol w:w="1904"/>
        <w:gridCol w:w="1677"/>
        <w:gridCol w:w="1684"/>
        <w:gridCol w:w="109"/>
        <w:gridCol w:w="109"/>
        <w:gridCol w:w="109"/>
        <w:gridCol w:w="211"/>
        <w:gridCol w:w="1081"/>
        <w:gridCol w:w="109"/>
        <w:gridCol w:w="109"/>
        <w:gridCol w:w="109"/>
        <w:gridCol w:w="109"/>
        <w:gridCol w:w="211"/>
        <w:gridCol w:w="1081"/>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5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Held for Investment,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16,205,940 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16,952,620 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20,791,497 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21,660,434 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held for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estimated weighted average life of education loans in our portfolio was approximately 5.7 years at both June 30, 2026 and December 31, 2025.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average balance (net of unamortized premium/(discount)) and the respective weighted average interest rates of loans held for investment in our portfolio are summarized as follows: </w:t>
      </w:r>
    </w:p>
    <w:p>
      <w:pPr>
        <w:pStyle w:val="TextBody"/>
        <w:bidi w:val="0"/>
        <w:spacing w:before="120" w:after="283"/>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696"/>
        <w:gridCol w:w="613"/>
        <w:gridCol w:w="615"/>
        <w:gridCol w:w="109"/>
        <w:gridCol w:w="109"/>
        <w:gridCol w:w="109"/>
        <w:gridCol w:w="212"/>
        <w:gridCol w:w="1093"/>
        <w:gridCol w:w="109"/>
        <w:gridCol w:w="109"/>
        <w:gridCol w:w="109"/>
        <w:gridCol w:w="109"/>
        <w:gridCol w:w="521"/>
        <w:gridCol w:w="434"/>
        <w:gridCol w:w="1089"/>
        <w:gridCol w:w="109"/>
        <w:gridCol w:w="109"/>
        <w:gridCol w:w="109"/>
        <w:gridCol w:w="212"/>
        <w:gridCol w:w="1093"/>
        <w:gridCol w:w="109"/>
        <w:gridCol w:w="109"/>
        <w:gridCol w:w="109"/>
        <w:gridCol w:w="109"/>
        <w:gridCol w:w="498"/>
        <w:gridCol w:w="406"/>
        <w:gridCol w:w="1197"/>
      </w:tblGrid>
      <w:tr>
        <w:trPr/>
        <w:tc>
          <w:tcPr>
            <w:tcW w:w="6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1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Three Months Ended June 30,</w:t>
            </w:r>
          </w:p>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r>
      <w:tr>
        <w:trPr/>
        <w:tc>
          <w:tcPr>
            <w:tcW w:w="192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21,119,086 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108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22,561,636 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119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21,119,086 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22,561,636 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before="0" w:after="0"/>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662"/>
        <w:gridCol w:w="584"/>
        <w:gridCol w:w="585"/>
        <w:gridCol w:w="109"/>
        <w:gridCol w:w="109"/>
        <w:gridCol w:w="109"/>
        <w:gridCol w:w="212"/>
        <w:gridCol w:w="1093"/>
        <w:gridCol w:w="109"/>
        <w:gridCol w:w="109"/>
        <w:gridCol w:w="109"/>
        <w:gridCol w:w="109"/>
        <w:gridCol w:w="525"/>
        <w:gridCol w:w="446"/>
        <w:gridCol w:w="1118"/>
        <w:gridCol w:w="109"/>
        <w:gridCol w:w="109"/>
        <w:gridCol w:w="109"/>
        <w:gridCol w:w="212"/>
        <w:gridCol w:w="1093"/>
        <w:gridCol w:w="109"/>
        <w:gridCol w:w="109"/>
        <w:gridCol w:w="109"/>
        <w:gridCol w:w="109"/>
        <w:gridCol w:w="501"/>
        <w:gridCol w:w="417"/>
        <w:gridCol w:w="1231"/>
      </w:tblGrid>
      <w:tr>
        <w:trPr/>
        <w:tc>
          <w:tcPr>
            <w:tcW w:w="66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Six Months Ended June 30,</w:t>
            </w:r>
          </w:p>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r>
      <w:tr>
        <w:trPr/>
        <w:tc>
          <w:tcPr>
            <w:tcW w:w="183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22,226,216 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11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22,738,295 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12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22,226,216 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22,738,295 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before="0" w:after="0"/>
        <w:ind w:left="0" w:right="0" w:firstLine="495"/>
        <w:jc w:val="center"/>
        <w:rPr/>
      </w:pPr>
      <w:r>
        <w:rPr/>
      </w:r>
    </w:p>
    <w:p>
      <w:pPr>
        <w:pStyle w:val="TextBody"/>
        <w:bidi w:val="0"/>
        <w:spacing w:before="0" w:after="0"/>
        <w:jc w:val="left"/>
        <w:rPr/>
      </w:pPr>
      <w:r>
        <w:rPr/>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See Note 5, “Loans Held for Investment — Certain Collection Tools — Private Education Loans” in our 2025 Form 10-K for additional information. </w:t>
      </w:r>
    </w:p>
    <w:p>
      <w:pPr>
        <w:pStyle w:val="TextBody"/>
        <w:bidi w:val="0"/>
        <w:spacing w:before="0" w:after="0"/>
        <w:ind w:left="0" w:right="0" w:firstLine="810"/>
        <w:jc w:val="left"/>
        <w:rPr/>
      </w:pPr>
      <w:r>
        <w:rPr/>
      </w:r>
    </w:p>
    <w:p>
      <w:pPr>
        <w:pStyle w:val="TextBody"/>
        <w:bidi w:val="0"/>
        <w:spacing w:before="0" w:after="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4. Loans Held for Sale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had $172 million and $933 million of loans held for sale as of June 30, 2026 and December 31, 2025, respectively. At June 30, 2026, we reversed $2 million through the provisions for credit losses related to these loans, when the loans were transferred from held for investment to held for sale. On July 22, 2026, we sold approximately $175 million of our Private Education Loans, including $172 million of principal, $3 million in capitalized interest, and $0.2 million in accrued interest to the strategic partner. See Note 16, “Subsequent Events” in this Form 10-Q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5. Allowance for Credit Losses and Unfunded Loan Commitments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provision for credit losses represents the periodic expense of maintaining an allowance sufficient to absorb lifetime expected credit losses in the held for investment loan portfolio and unfunded loan commitments. The evaluation of the allowance for credit losses is inherently subjective, as it requires material estimates that may be susceptible to significant changes. We believe the allowance for credit losses is appropriate to cover lifetime expected losses incurred in the loan portfolio.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When a new loan commitment is made, we record the CECL allowance as a liability for unfunded loan commitments by recording a provision for credit losses. The allowance is recorded in “Other Liabilities” on the consolidated balance sheet. When the loan is funded, we transfer that liability to the allowance for loan losses.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majority of the total accrued interest receivable on our Private Education Loan portfolio represents accrued interest on deferred loans where no payments are due while the borrower is in school and on fixed-pay loans where the borrower makes a $25 monthly payment that is smaller than the interest accrued on the loan in that month. The allowance for credit losses considers the collectability of both principal and accrued interest. The allowance for uncollectible interest estimates the additional uncollectible interest that is not captured in the allowance for credit losses. See “— Accrued Interest Receivable” in this Note 5 for further discussion.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See Note 2, “Significant Accounting Policies — Allowance for Credit Losses” in our 2025 Form 10-K for a more detailed discussion on our allowance for credit losses accounting policies.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17</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25"/>
        <w:jc w:val="left"/>
        <w:rPr>
          <w:rFonts w:ascii="Arial;sans-serif" w:hAnsi="Arial;sans-serif"/>
          <w:b w:val="false"/>
          <w:i/>
          <w:color w:val="000000"/>
          <w:sz w:val="20"/>
        </w:rPr>
      </w:pPr>
      <w:r>
        <w:rPr>
          <w:rFonts w:ascii="Arial;sans-serif" w:hAnsi="Arial;sans-serif"/>
          <w:b w:val="false"/>
          <w:i/>
          <w:color w:val="000000"/>
          <w:sz w:val="20"/>
        </w:rPr>
        <w:t>Allowance for Credit Losses Metrics</w:t>
      </w:r>
    </w:p>
    <w:p>
      <w:pPr>
        <w:pStyle w:val="TextBody"/>
        <w:bidi w:val="0"/>
        <w:spacing w:lineRule="auto" w:line="288" w:before="180" w:after="180"/>
        <w:ind w:left="0" w:right="0" w:firstLine="225"/>
        <w:jc w:val="left"/>
        <w:rPr/>
      </w:pPr>
      <w:r>
        <w:rPr>
          <w:rFonts w:ascii="Arial;sans-serif" w:hAnsi="Arial;sans-serif"/>
          <w:b w:val="false"/>
          <w:color w:val="000000"/>
          <w:sz w:val="20"/>
        </w:rPr>
        <w:t>The following tables provide a summary of the activity in the allowance for loan losses and the allowance for unfunded loan commitments during the three and six months ended June 30, 2026 and 2025.</w:t>
      </w:r>
      <w:r>
        <w:rPr>
          <w:color w:val="000000"/>
        </w:rPr>
        <w:t xml:space="preserve"> </w:t>
      </w:r>
    </w:p>
    <w:tbl>
      <w:tblPr>
        <w:tblW w:w="8329" w:type="dxa"/>
        <w:jc w:val="center"/>
        <w:tblInd w:w="0" w:type="dxa"/>
        <w:tblLayout w:type="fixed"/>
        <w:tblCellMar>
          <w:top w:w="28" w:type="dxa"/>
          <w:left w:w="28" w:type="dxa"/>
          <w:bottom w:w="28" w:type="dxa"/>
          <w:right w:w="28" w:type="dxa"/>
        </w:tblCellMar>
      </w:tblPr>
      <w:tblGrid>
        <w:gridCol w:w="2100"/>
        <w:gridCol w:w="1851"/>
        <w:gridCol w:w="1853"/>
        <w:gridCol w:w="109"/>
        <w:gridCol w:w="109"/>
        <w:gridCol w:w="109"/>
        <w:gridCol w:w="109"/>
        <w:gridCol w:w="109"/>
        <w:gridCol w:w="208"/>
        <w:gridCol w:w="1020"/>
        <w:gridCol w:w="271"/>
        <w:gridCol w:w="109"/>
        <w:gridCol w:w="109"/>
        <w:gridCol w:w="109"/>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Three Months Ended June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1,383,166 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sale reduction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transferred to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55,193 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(122,216)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(112,554)</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1,354,014 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(28,209)</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1,420,029 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loan losses coverage of net charge-offs (annualized)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20,791,497 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15,287,312 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15,366,596 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Unfunded loan commitments for loans held for investment</w:t>
            </w:r>
            <w:r>
              <w:rPr>
                <w:rFonts w:ascii="Arial;sans-serif" w:hAnsi="Arial;sans-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1,604,848 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income. </w:t>
      </w:r>
    </w:p>
    <w:p>
      <w:pPr>
        <w:pStyle w:val="TextBody"/>
        <w:bidi w:val="0"/>
        <w:spacing w:lineRule="auto" w:line="288" w:before="100" w:after="283"/>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(6) </w:t>
      </w:r>
      <w:r>
        <w:rPr>
          <w:rFonts w:ascii="Arial;sans-serif" w:hAnsi="Arial;sans-serif"/>
          <w:b w:val="false"/>
          <w:color w:val="000000"/>
          <w:sz w:val="14"/>
        </w:rPr>
        <w:t xml:space="preserve">Unfunded loan commitments for loans held for investment and the calculation of the Total Allowance Percentage of Private Education Loan Exposure do not include $28 million of unfunded loan commitments associated with loans classified as held for sale at June 30, 2026. Due to the near-term timing of the loan sale and credit quality of the loans, we believe there is no risk of credit loss and are not recording an allowance for the unfunded loan commitments related to the loans classified as held for sale. </w:t>
      </w:r>
    </w:p>
    <w:p>
      <w:pPr>
        <w:pStyle w:val="TextBody"/>
        <w:bidi w:val="0"/>
        <w:spacing w:before="100" w:after="283"/>
        <w:ind w:left="0" w:right="0" w:hanging="180"/>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18</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tbl>
      <w:tblPr>
        <w:tblW w:w="8243" w:type="dxa"/>
        <w:jc w:val="center"/>
        <w:tblInd w:w="0" w:type="dxa"/>
        <w:tblLayout w:type="fixed"/>
        <w:tblCellMar>
          <w:top w:w="28" w:type="dxa"/>
          <w:left w:w="28" w:type="dxa"/>
          <w:bottom w:w="28" w:type="dxa"/>
          <w:right w:w="28" w:type="dxa"/>
        </w:tblCellMar>
      </w:tblPr>
      <w:tblGrid>
        <w:gridCol w:w="2100"/>
        <w:gridCol w:w="1851"/>
        <w:gridCol w:w="1853"/>
        <w:gridCol w:w="109"/>
        <w:gridCol w:w="109"/>
        <w:gridCol w:w="109"/>
        <w:gridCol w:w="109"/>
        <w:gridCol w:w="109"/>
        <w:gridCol w:w="196"/>
        <w:gridCol w:w="961"/>
        <w:gridCol w:w="256"/>
        <w:gridCol w:w="109"/>
        <w:gridCol w:w="109"/>
        <w:gridCol w:w="109"/>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Three Months Ended June 30, 2025</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w:t>
              <w:br/>
              <w:t>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1,443,715 </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92,189 </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(106,866)</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(94,273)</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1,469,509 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23,890 </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(27,878)</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52,541 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1,522,050 </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loan losses coverage of net charge-offs (annualized)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22,525,817 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15,991,357 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16,231,194 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Unfunded loan commitments for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1,701,944 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income.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(2)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FFFFFF"/>
          <w:sz w:val="14"/>
        </w:rPr>
      </w:pPr>
      <w:r>
        <w:rPr>
          <w:rFonts w:ascii="Arial;sans-serif" w:hAnsi="Arial;sans-serif"/>
          <w:b w:val="false"/>
          <w:color w:val="FFFFFF"/>
          <w:sz w:val="14"/>
        </w:rPr>
        <w:t>l</w:t>
      </w:r>
    </w:p>
    <w:p>
      <w:pPr>
        <w:pStyle w:val="TextBody"/>
        <w:bidi w:val="0"/>
        <w:spacing w:before="100" w:after="283"/>
        <w:ind w:left="0" w:right="0" w:hanging="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19</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330" w:type="dxa"/>
        <w:jc w:val="center"/>
        <w:tblInd w:w="0" w:type="dxa"/>
        <w:tblLayout w:type="fixed"/>
        <w:tblCellMar>
          <w:top w:w="28" w:type="dxa"/>
          <w:left w:w="28" w:type="dxa"/>
          <w:bottom w:w="28" w:type="dxa"/>
          <w:right w:w="28" w:type="dxa"/>
        </w:tblCellMar>
      </w:tblPr>
      <w:tblGrid>
        <w:gridCol w:w="2101"/>
        <w:gridCol w:w="1850"/>
        <w:gridCol w:w="1854"/>
        <w:gridCol w:w="109"/>
        <w:gridCol w:w="109"/>
        <w:gridCol w:w="109"/>
        <w:gridCol w:w="109"/>
        <w:gridCol w:w="109"/>
        <w:gridCol w:w="208"/>
        <w:gridCol w:w="1020"/>
        <w:gridCol w:w="271"/>
        <w:gridCol w:w="109"/>
        <w:gridCol w:w="109"/>
        <w:gridCol w:w="109"/>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Six Months Ended June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sale reduction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(130,912)</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transferred to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(225,049)</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(201,618)</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1,354,014 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77,132 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(127,503)</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1,420,029 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loan losses coverage of net charge-offs (annualized)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20,791,497 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15,786,152 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15,366,596 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Unfunded loan commitments for loans held for investment</w:t>
            </w:r>
            <w:r>
              <w:rPr>
                <w:rFonts w:ascii="Arial;sans-serif" w:hAnsi="Arial;sans-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1,604,848 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income. </w:t>
      </w:r>
    </w:p>
    <w:p>
      <w:pPr>
        <w:pStyle w:val="TextBody"/>
        <w:bidi w:val="0"/>
        <w:spacing w:lineRule="auto" w:line="288" w:before="100" w:after="283"/>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(6) </w:t>
      </w:r>
      <w:r>
        <w:rPr>
          <w:rFonts w:ascii="Arial;sans-serif" w:hAnsi="Arial;sans-serif"/>
          <w:b w:val="false"/>
          <w:color w:val="000000"/>
          <w:sz w:val="14"/>
        </w:rPr>
        <w:t xml:space="preserve">Unfunded loan commitments for loans held for investment and the calculation of the Total Allowance Percentage of Private Education Loan Exposure do not include $28 million of unfunded loan commitments associated with loans classified as held for sale at June 30, 2026. Due to the near-term timing of the loan sale and credit quality of the loans, we believe there is no risk of credit loss and are not recording an allowance for the unfunded loan commitments related to the loans classified as held for sale. </w:t>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20</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30" w:type="dxa"/>
        <w:jc w:val="left"/>
        <w:tblInd w:w="0" w:type="dxa"/>
        <w:tblLayout w:type="fixed"/>
        <w:tblCellMar>
          <w:top w:w="28" w:type="dxa"/>
          <w:left w:w="28" w:type="dxa"/>
          <w:bottom w:w="28" w:type="dxa"/>
          <w:right w:w="28" w:type="dxa"/>
        </w:tblCellMar>
      </w:tblPr>
      <w:tblGrid>
        <w:gridCol w:w="2101"/>
        <w:gridCol w:w="1850"/>
        <w:gridCol w:w="1854"/>
        <w:gridCol w:w="109"/>
        <w:gridCol w:w="109"/>
        <w:gridCol w:w="109"/>
        <w:gridCol w:w="109"/>
        <w:gridCol w:w="109"/>
        <w:gridCol w:w="208"/>
        <w:gridCol w:w="1020"/>
        <w:gridCol w:w="271"/>
        <w:gridCol w:w="109"/>
        <w:gridCol w:w="109"/>
        <w:gridCol w:w="109"/>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Six Months Ended June 30, 2025</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1,435,920 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sale reduction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(116,459)</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(170,442)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1,469,509 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100,985 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52,541 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1,522,050 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2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loan losses coverage of net charge-offs (annualized)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22,525,817 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16,146,239 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16,231,194 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Unfunded loan commitments for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1,358,163 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1,701,944 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income.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(2)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21</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center"/>
        <w:rPr/>
      </w:pPr>
      <w:r>
        <w:rPr/>
      </w:r>
    </w:p>
    <w:p>
      <w:pPr>
        <w:pStyle w:val="TextBody"/>
        <w:bidi w:val="0"/>
        <w:spacing w:lineRule="auto" w:line="288" w:before="60" w:after="283"/>
        <w:ind w:left="0" w:right="0" w:firstLine="225"/>
        <w:jc w:val="left"/>
        <w:rPr>
          <w:rFonts w:ascii="Arial;sans-serif" w:hAnsi="Arial;sans-serif"/>
          <w:b w:val="false"/>
          <w:i/>
          <w:color w:val="000000"/>
          <w:sz w:val="20"/>
        </w:rPr>
      </w:pPr>
      <w:r>
        <w:rPr>
          <w:rFonts w:ascii="Arial;sans-serif" w:hAnsi="Arial;sans-serif"/>
          <w:b w:val="false"/>
          <w:i/>
          <w:color w:val="000000"/>
          <w:sz w:val="20"/>
        </w:rPr>
        <w:t xml:space="preserve">Provisions for Credit Losses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Below is a reconciliation of the provisions for credit losses reported in the consolidated statements of income.</w:t>
      </w:r>
    </w:p>
    <w:tbl>
      <w:tblPr>
        <w:tblW w:w="10205" w:type="dxa"/>
        <w:jc w:val="center"/>
        <w:tblInd w:w="0" w:type="dxa"/>
        <w:tblLayout w:type="fixed"/>
        <w:tblCellMar>
          <w:top w:w="28" w:type="dxa"/>
          <w:left w:w="28" w:type="dxa"/>
          <w:bottom w:w="28" w:type="dxa"/>
          <w:right w:w="28" w:type="dxa"/>
        </w:tblCellMar>
      </w:tblPr>
      <w:tblGrid>
        <w:gridCol w:w="1780"/>
        <w:gridCol w:w="1562"/>
        <w:gridCol w:w="1570"/>
        <w:gridCol w:w="109"/>
        <w:gridCol w:w="109"/>
        <w:gridCol w:w="109"/>
        <w:gridCol w:w="199"/>
        <w:gridCol w:w="747"/>
        <w:gridCol w:w="110"/>
        <w:gridCol w:w="110"/>
        <w:gridCol w:w="110"/>
        <w:gridCol w:w="110"/>
        <w:gridCol w:w="199"/>
        <w:gridCol w:w="747"/>
        <w:gridCol w:w="110"/>
        <w:gridCol w:w="109"/>
        <w:gridCol w:w="109"/>
        <w:gridCol w:w="109"/>
        <w:gridCol w:w="223"/>
        <w:gridCol w:w="706"/>
        <w:gridCol w:w="124"/>
        <w:gridCol w:w="223"/>
        <w:gridCol w:w="738"/>
        <w:gridCol w:w="183"/>
      </w:tblGrid>
      <w:tr>
        <w:trPr/>
        <w:tc>
          <w:tcPr>
            <w:tcW w:w="178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Consolidated Statements of Income</w:t>
              <w:br/>
              <w:t>Provisions for Credit Losses Reconciliation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Six Months Ended June 30,</w:t>
            </w:r>
          </w:p>
        </w:tc>
      </w:tr>
      <w:tr>
        <w:trPr/>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r>
      <w:tr>
        <w:trPr/>
        <w:tc>
          <w:tcPr>
            <w:tcW w:w="491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credit losses: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unfunded loan commitments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70,470 </w:t>
            </w:r>
          </w:p>
        </w:tc>
        <w:tc>
          <w:tcPr>
            <w:tcW w:w="1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56,529 </w:t>
            </w:r>
          </w:p>
        </w:tc>
        <w:tc>
          <w:tcPr>
            <w:tcW w:w="1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116,386 </w:t>
            </w:r>
          </w:p>
        </w:tc>
        <w:tc>
          <w:tcPr>
            <w:tcW w:w="12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100,985 </w:t>
            </w:r>
          </w:p>
        </w:tc>
        <w:tc>
          <w:tcPr>
            <w:tcW w:w="18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Provisions for credit losses reported in consolidated statements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125,663 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148,718 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114,197 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172,004 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Provision for credit losses for the six months ended June 30, 2026 decreased by $58 million, compared with the year-ago period. During the six months ended June 30, 2026, the provision for credit losses was primarily affected by $131 million in negative provisions recorded as a result of the $3.75 billion in Private Education Loan sales during the first six months of 2026 and changes in economic outlook, offset by new loan commitments, net of expired commitments. In the year-ago period, the provision for credit losses was primarily affected by new loan commitments, net of expired commitments, and changes in economic outlook, offset by $116 million in negative provisions recorded as a result of the $2.00 billion Private Education Loan sale during the first six months of 2025.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allowance for credit losses incorporates an estimate of lifetime expected credit losses and is recorded on each asset upon asset origination or acquisition. The starting point for the estimate of the allowance for credit losses is historical information, which includes losses from modifications of receivables whose borrowers are experiencing financial difficulty. We use a discounted cash flow model to determine the allowance for credit losses. An assessment of whether a borrower is experiencing financial difficulty is made as of the date of a modification.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effect of most modifications of loans made to borrowers who are experiencing financial difficulty is already included in the allowance for credit losses because of the measurement methodologies used to estimate the allowance. The forecast of expected future cash flows is updated as the loan modifications occur.</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part of concluding on the adequacy of the allowance for credit losses, we review key allowance and loan metrics. The most significant of the metrics considered are the allowance coverage of net charge-offs ratio; the allowance as a percentage of ending total loans plus unfunded loan commitments and total accrued interest receivable (which we refer to as the “Total Allowance Percentage of Private Education Loan Exposure”); and delinquency and forbearance percentages. </w:t>
      </w:r>
    </w:p>
    <w:p>
      <w:pPr>
        <w:pStyle w:val="TextBody"/>
        <w:bidi w:val="0"/>
        <w:spacing w:lineRule="auto" w:line="26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Within the Private Education Loan portfolio, we deem loans greater than 90 days past due as nonperforming.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additional information, see Note 1, “Significant Accounting Policies — Allowance for Credit Losses” in this Form 10-Q and Note 7, “Allowance for Credit Losses and Unfunded Loan Commitments” in our 2025 Form 10-K. </w:t>
      </w:r>
    </w:p>
    <w:p>
      <w:pPr>
        <w:pStyle w:val="TextBody"/>
        <w:bidi w:val="0"/>
        <w:spacing w:lineRule="auto" w:line="288" w:before="120" w:after="283"/>
        <w:ind w:left="0" w:right="0" w:firstLine="225"/>
        <w:jc w:val="left"/>
        <w:rPr>
          <w:rFonts w:ascii="Arial;sans-serif" w:hAnsi="Arial;sans-serif"/>
          <w:b w:val="false"/>
          <w:i/>
          <w:color w:val="000000"/>
          <w:sz w:val="20"/>
        </w:rPr>
      </w:pPr>
      <w:r>
        <w:rPr>
          <w:rFonts w:ascii="Arial;sans-serif" w:hAnsi="Arial;sans-serif"/>
          <w:b w:val="false"/>
          <w:i/>
          <w:color w:val="000000"/>
          <w:sz w:val="20"/>
        </w:rPr>
        <w:t xml:space="preserve">Forbearance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Under our current forbearance practices, temporary forbearance of payments is generally granted in one-to-two month increments, for up to 12 months over the life of the loan, with 12 months of positive payment performance by a borrower required between grants (meaning the borrower must make payment in a cumulative amount equivalent to 12 monthly required payments under the loan). During the first six months following a borrower’s grace period, the borrower may be eligible for extended grace forbearance in one six-month increment (which would also count towards the 12-month forbearance cap). Due to our current forbearance practices, including the limitations on forbearances offered to borrowers, we do not believe the granting of forbearances will exceed the significance threshold under our accounting policy and, therefore, we do not consider the forbearances as loan modifications for the purposes of the tables below.</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additional information on our forbearance and modification programs, see Note 5, “Loans Held for Investment —Certain Collection Tools — Private Education Loans” in our 2025 Form 10-K. The tables below provide information about modifications to borrowers experiencing financial difficulty.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offer certain administrative forbearances (e.g., death and disability, bankruptcy, military service, disaster forbearance, and in school assistance) that are required by law (such as by the Servicemembers Civil Relief Act), are considered separate from our active loss mitigation programs, or do not exceed the significance threshold and therefore are not considered to be loan modifications requiring disclosure. In addition, we may offer on a limited basis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22</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extensions or rate reductions or a combination of both to borrowers to reduce consolidation activities. We do not consider them modifications of loans to borrowers experiencing financial difficulty and they therefore are not included in the tables below. </w:t>
      </w:r>
    </w:p>
    <w:p>
      <w:pPr>
        <w:pStyle w:val="TextBody"/>
        <w:bidi w:val="0"/>
        <w:spacing w:lineRule="auto" w:line="288" w:before="120" w:after="283"/>
        <w:ind w:left="0" w:right="0" w:firstLine="225"/>
        <w:jc w:val="left"/>
        <w:rPr>
          <w:rFonts w:ascii="Arial;sans-serif" w:hAnsi="Arial;sans-serif"/>
          <w:b w:val="false"/>
          <w:i/>
          <w:color w:val="000000"/>
          <w:sz w:val="20"/>
        </w:rPr>
      </w:pPr>
      <w:r>
        <w:rPr>
          <w:rFonts w:ascii="Arial;sans-serif" w:hAnsi="Arial;sans-serif"/>
          <w:b w:val="false"/>
          <w:i/>
          <w:color w:val="000000"/>
          <w:sz w:val="20"/>
        </w:rPr>
        <w:t>Loan Modifications to Borrowers Experiencing Financial Difficulty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show the amortized cost basis at the end of the respective reporting periods of the loans to borrowers experiencing financial difficulty that were modified during the period, disaggregated by class of financing receivable and type of modification. When we approve a Private Education Loan at the beginning of an academic year, we do not always disburse the full amount of the loan at the time of approval, but instead have a commitment to fund a portion of the loan at a later date (usually at the start of the second semester or subsequent trimesters). We consider borrowers to be in financial difficulty after they have exited school and have difficulty making their scheduled principal and interest payments.</w:t>
      </w:r>
    </w:p>
    <w:tbl>
      <w:tblPr>
        <w:tblW w:w="10205" w:type="dxa"/>
        <w:jc w:val="center"/>
        <w:tblInd w:w="0" w:type="dxa"/>
        <w:tblLayout w:type="fixed"/>
        <w:tblCellMar>
          <w:top w:w="28" w:type="dxa"/>
          <w:left w:w="28" w:type="dxa"/>
          <w:bottom w:w="28" w:type="dxa"/>
          <w:right w:w="28" w:type="dxa"/>
        </w:tblCellMar>
      </w:tblPr>
      <w:tblGrid>
        <w:gridCol w:w="616"/>
        <w:gridCol w:w="449"/>
        <w:gridCol w:w="450"/>
        <w:gridCol w:w="109"/>
        <w:gridCol w:w="109"/>
        <w:gridCol w:w="109"/>
        <w:gridCol w:w="293"/>
        <w:gridCol w:w="857"/>
        <w:gridCol w:w="151"/>
        <w:gridCol w:w="127"/>
        <w:gridCol w:w="127"/>
        <w:gridCol w:w="127"/>
        <w:gridCol w:w="480"/>
        <w:gridCol w:w="431"/>
        <w:gridCol w:w="1074"/>
        <w:gridCol w:w="127"/>
        <w:gridCol w:w="127"/>
        <w:gridCol w:w="127"/>
        <w:gridCol w:w="333"/>
        <w:gridCol w:w="1305"/>
        <w:gridCol w:w="171"/>
        <w:gridCol w:w="171"/>
        <w:gridCol w:w="171"/>
        <w:gridCol w:w="171"/>
        <w:gridCol w:w="437"/>
        <w:gridCol w:w="437"/>
        <w:gridCol w:w="1119"/>
      </w:tblGrid>
      <w:tr>
        <w:trPr/>
        <w:tc>
          <w:tcPr>
            <w:tcW w:w="6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Three Months Ended June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51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8,532 </w:t>
            </w:r>
          </w:p>
        </w:tc>
        <w:tc>
          <w:tcPr>
            <w:tcW w:w="15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7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190,630 </w:t>
            </w:r>
          </w:p>
        </w:tc>
        <w:tc>
          <w:tcPr>
            <w:tcW w:w="1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11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8,532 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190,630 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4315" w:type="dxa"/>
            <w:gridSpan w:val="9"/>
            <w:tcBorders/>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2506" w:type="dxa"/>
            <w:gridSpan w:val="6"/>
            <w:tcBorders/>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616"/>
        <w:gridCol w:w="449"/>
        <w:gridCol w:w="450"/>
        <w:gridCol w:w="109"/>
        <w:gridCol w:w="109"/>
        <w:gridCol w:w="109"/>
        <w:gridCol w:w="293"/>
        <w:gridCol w:w="857"/>
        <w:gridCol w:w="151"/>
        <w:gridCol w:w="127"/>
        <w:gridCol w:w="127"/>
        <w:gridCol w:w="127"/>
        <w:gridCol w:w="480"/>
        <w:gridCol w:w="431"/>
        <w:gridCol w:w="1074"/>
        <w:gridCol w:w="127"/>
        <w:gridCol w:w="127"/>
        <w:gridCol w:w="127"/>
        <w:gridCol w:w="333"/>
        <w:gridCol w:w="1305"/>
        <w:gridCol w:w="171"/>
        <w:gridCol w:w="171"/>
        <w:gridCol w:w="171"/>
        <w:gridCol w:w="171"/>
        <w:gridCol w:w="437"/>
        <w:gridCol w:w="437"/>
        <w:gridCol w:w="1119"/>
      </w:tblGrid>
      <w:tr>
        <w:trPr/>
        <w:tc>
          <w:tcPr>
            <w:tcW w:w="6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Three Months Ended June 30, 2025</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51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15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7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134,398 </w:t>
            </w:r>
          </w:p>
        </w:tc>
        <w:tc>
          <w:tcPr>
            <w:tcW w:w="1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0.55 </w:t>
            </w:r>
          </w:p>
        </w:tc>
        <w:tc>
          <w:tcPr>
            <w:tcW w:w="111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134,398 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0.55 </w:t>
            </w:r>
          </w:p>
        </w:tc>
        <w:tc>
          <w:tcPr>
            <w:tcW w:w="1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4315" w:type="dxa"/>
            <w:gridSpan w:val="9"/>
            <w:tcBorders/>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2506" w:type="dxa"/>
            <w:gridSpan w:val="6"/>
            <w:tcBorders/>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594"/>
        <w:gridCol w:w="429"/>
        <w:gridCol w:w="431"/>
        <w:gridCol w:w="109"/>
        <w:gridCol w:w="109"/>
        <w:gridCol w:w="109"/>
        <w:gridCol w:w="276"/>
        <w:gridCol w:w="945"/>
        <w:gridCol w:w="142"/>
        <w:gridCol w:w="126"/>
        <w:gridCol w:w="126"/>
        <w:gridCol w:w="126"/>
        <w:gridCol w:w="480"/>
        <w:gridCol w:w="431"/>
        <w:gridCol w:w="1075"/>
        <w:gridCol w:w="126"/>
        <w:gridCol w:w="126"/>
        <w:gridCol w:w="126"/>
        <w:gridCol w:w="333"/>
        <w:gridCol w:w="1306"/>
        <w:gridCol w:w="171"/>
        <w:gridCol w:w="171"/>
        <w:gridCol w:w="171"/>
        <w:gridCol w:w="171"/>
        <w:gridCol w:w="437"/>
        <w:gridCol w:w="437"/>
        <w:gridCol w:w="1122"/>
      </w:tblGrid>
      <w:tr>
        <w:trPr/>
        <w:tc>
          <w:tcPr>
            <w:tcW w:w="59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4"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Six Months Ended June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4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16,248 </w:t>
            </w:r>
          </w:p>
        </w:tc>
        <w:tc>
          <w:tcPr>
            <w:tcW w:w="14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7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371,829 </w:t>
            </w:r>
          </w:p>
        </w:tc>
        <w:tc>
          <w:tcPr>
            <w:tcW w:w="1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12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16,248 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371,829 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4319" w:type="dxa"/>
            <w:gridSpan w:val="9"/>
            <w:tcBorders/>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2509" w:type="dxa"/>
            <w:gridSpan w:val="6"/>
            <w:tcBorders/>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594"/>
        <w:gridCol w:w="429"/>
        <w:gridCol w:w="431"/>
        <w:gridCol w:w="109"/>
        <w:gridCol w:w="109"/>
        <w:gridCol w:w="109"/>
        <w:gridCol w:w="276"/>
        <w:gridCol w:w="945"/>
        <w:gridCol w:w="142"/>
        <w:gridCol w:w="126"/>
        <w:gridCol w:w="126"/>
        <w:gridCol w:w="126"/>
        <w:gridCol w:w="480"/>
        <w:gridCol w:w="431"/>
        <w:gridCol w:w="1075"/>
        <w:gridCol w:w="126"/>
        <w:gridCol w:w="126"/>
        <w:gridCol w:w="126"/>
        <w:gridCol w:w="333"/>
        <w:gridCol w:w="1306"/>
        <w:gridCol w:w="171"/>
        <w:gridCol w:w="171"/>
        <w:gridCol w:w="171"/>
        <w:gridCol w:w="171"/>
        <w:gridCol w:w="437"/>
        <w:gridCol w:w="437"/>
        <w:gridCol w:w="1122"/>
      </w:tblGrid>
      <w:tr>
        <w:trPr/>
        <w:tc>
          <w:tcPr>
            <w:tcW w:w="59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4"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Six Months Ended June 30, 2025</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4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13,195 </w:t>
            </w:r>
          </w:p>
        </w:tc>
        <w:tc>
          <w:tcPr>
            <w:tcW w:w="14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7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265,624 </w:t>
            </w:r>
          </w:p>
        </w:tc>
        <w:tc>
          <w:tcPr>
            <w:tcW w:w="1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12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13,195 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265,624 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4319" w:type="dxa"/>
            <w:gridSpan w:val="9"/>
            <w:tcBorders/>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2509" w:type="dxa"/>
            <w:gridSpan w:val="6"/>
            <w:tcBorders/>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23</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tables summarize the financial effect of the modifications made to loans whose borrowers are experiencing financial difficulty: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822"/>
        <w:gridCol w:w="703"/>
        <w:gridCol w:w="708"/>
        <w:gridCol w:w="113"/>
        <w:gridCol w:w="113"/>
        <w:gridCol w:w="113"/>
        <w:gridCol w:w="779"/>
        <w:gridCol w:w="779"/>
        <w:gridCol w:w="781"/>
        <w:gridCol w:w="113"/>
        <w:gridCol w:w="113"/>
        <w:gridCol w:w="113"/>
        <w:gridCol w:w="752"/>
        <w:gridCol w:w="732"/>
        <w:gridCol w:w="734"/>
        <w:gridCol w:w="113"/>
        <w:gridCol w:w="113"/>
        <w:gridCol w:w="113"/>
        <w:gridCol w:w="697"/>
        <w:gridCol w:w="697"/>
        <w:gridCol w:w="1004"/>
      </w:tblGrid>
      <w:tr>
        <w:trPr/>
        <w:tc>
          <w:tcPr>
            <w:tcW w:w="82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June 30,</w:t>
            </w:r>
          </w:p>
        </w:tc>
      </w:tr>
      <w:tr>
        <w:trPr/>
        <w:tc>
          <w:tcPr>
            <w:tcW w:w="49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2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r>
      <w:tr>
        <w:trPr/>
        <w:tc>
          <w:tcPr>
            <w:tcW w:w="2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12.42% to 4.25%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9.47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11.85% to 2.94%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12.87% to 4.32%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9.32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12.29% to 3.98%</w:t>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824"/>
        <w:gridCol w:w="706"/>
        <w:gridCol w:w="710"/>
        <w:gridCol w:w="110"/>
        <w:gridCol w:w="110"/>
        <w:gridCol w:w="110"/>
        <w:gridCol w:w="782"/>
        <w:gridCol w:w="782"/>
        <w:gridCol w:w="783"/>
        <w:gridCol w:w="110"/>
        <w:gridCol w:w="110"/>
        <w:gridCol w:w="110"/>
        <w:gridCol w:w="754"/>
        <w:gridCol w:w="734"/>
        <w:gridCol w:w="737"/>
        <w:gridCol w:w="110"/>
        <w:gridCol w:w="110"/>
        <w:gridCol w:w="110"/>
        <w:gridCol w:w="699"/>
        <w:gridCol w:w="699"/>
        <w:gridCol w:w="1005"/>
      </w:tblGrid>
      <w:tr>
        <w:trPr/>
        <w:tc>
          <w:tcPr>
            <w:tcW w:w="8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Six Months Ended June 30,</w:t>
            </w:r>
          </w:p>
        </w:tc>
      </w:tr>
      <w:tr>
        <w:trPr/>
        <w:tc>
          <w:tcPr>
            <w:tcW w:w="491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2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r>
      <w:tr>
        <w:trPr/>
        <w:tc>
          <w:tcPr>
            <w:tcW w:w="2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3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3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3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12.54% to 4.40%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9.50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11.92% to 2.94%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12.98% to 4.35%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9.35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12.23% to 3.99%</w:t>
            </w:r>
          </w:p>
        </w:tc>
      </w:tr>
      <w:tr>
        <w:trPr/>
        <w:tc>
          <w:tcPr>
            <w:tcW w:w="22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22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Private Education Loans are charged off at the end of the month in which they reach 120 days delinquent or otherwise when the loans are classified as a loss by us or our regulator. Therefore, the amortized cost basis of the loan is reduced by the uncollectible amount and the allowance for credit losses is adjusted by the same amount. See Note 2, “Significant Accounting Policies — Allowance for Credit Losses — Allowance for Private Education Loan Losses” in our 2025 Form 10-K for a more detailed discussion.</w:t>
      </w:r>
    </w:p>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24</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periods presented, the following table presents the defaulted amount and period-end amortized cost basis, by modification category, of loans that defaulted during the period and were modified for borrowers experiencing financial difficulty during the 12 months preceding default. Solely for the purpose of the below table, our definition of payment default is two missed consecutive post-modification payment obligations. As such, defaulted amount represents the principal amount of modified loans at the time the borrower missed two consecutive post-modification payment obligations during the period. Loans that were modified during the twelve months ended June 30, 2026 and subsequently charged-off during the three and six months ended June 30, 2026 are not included in the period-end amortized cost basis and had an amortized cost basis of $16.0 million and $28.2 million at the time of charge-off, respectively.</w:t>
      </w:r>
    </w:p>
    <w:p>
      <w:pPr>
        <w:pStyle w:val="TextBody"/>
        <w:bidi w:val="0"/>
        <w:spacing w:before="120" w:after="283"/>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153"/>
        <w:gridCol w:w="811"/>
        <w:gridCol w:w="815"/>
        <w:gridCol w:w="109"/>
        <w:gridCol w:w="109"/>
        <w:gridCol w:w="109"/>
        <w:gridCol w:w="256"/>
        <w:gridCol w:w="875"/>
        <w:gridCol w:w="132"/>
        <w:gridCol w:w="109"/>
        <w:gridCol w:w="109"/>
        <w:gridCol w:w="109"/>
        <w:gridCol w:w="359"/>
        <w:gridCol w:w="1227"/>
        <w:gridCol w:w="185"/>
        <w:gridCol w:w="109"/>
        <w:gridCol w:w="109"/>
        <w:gridCol w:w="109"/>
        <w:gridCol w:w="256"/>
        <w:gridCol w:w="875"/>
        <w:gridCol w:w="132"/>
        <w:gridCol w:w="109"/>
        <w:gridCol w:w="109"/>
        <w:gridCol w:w="109"/>
        <w:gridCol w:w="353"/>
        <w:gridCol w:w="1206"/>
        <w:gridCol w:w="262"/>
      </w:tblGrid>
      <w:tr>
        <w:trPr/>
        <w:tc>
          <w:tcPr>
            <w:tcW w:w="1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7426" w:type="dxa"/>
            <w:gridSpan w:val="24"/>
            <w:tcBorders/>
          </w:tcPr>
          <w:p>
            <w:pPr>
              <w:pStyle w:val="TableContents"/>
              <w:bidi w:val="0"/>
              <w:spacing w:before="0" w:after="283"/>
              <w:jc w:val="left"/>
              <w:rPr>
                <w:sz w:val="4"/>
                <w:szCs w:val="4"/>
              </w:rPr>
            </w:pPr>
            <w:r>
              <w:rPr>
                <w:sz w:val="4"/>
                <w:szCs w:val="4"/>
              </w:rPr>
            </w:r>
          </w:p>
        </w:tc>
      </w:tr>
      <w:tr>
        <w:trPr/>
        <w:tc>
          <w:tcPr>
            <w:tcW w:w="2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9"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June 30,</w:t>
            </w:r>
          </w:p>
        </w:tc>
      </w:tr>
      <w:tr>
        <w:trPr/>
        <w:tc>
          <w:tcPr>
            <w:tcW w:w="2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r>
      <w:tr>
        <w:trPr/>
        <w:tc>
          <w:tcPr>
            <w:tcW w:w="277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 Type: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Reduction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2,385 </w:t>
            </w:r>
          </w:p>
        </w:tc>
        <w:tc>
          <w:tcPr>
            <w:tcW w:w="18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2,222 </w:t>
            </w:r>
          </w:p>
        </w:tc>
        <w:tc>
          <w:tcPr>
            <w:tcW w:w="26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Combination - Interest Rate Reduction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40,745 </w:t>
            </w:r>
          </w:p>
        </w:tc>
        <w:tc>
          <w:tcPr>
            <w:tcW w:w="13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35,741 </w:t>
            </w:r>
          </w:p>
        </w:tc>
        <w:tc>
          <w:tcPr>
            <w:tcW w:w="18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52,536 </w:t>
            </w:r>
          </w:p>
        </w:tc>
        <w:tc>
          <w:tcPr>
            <w:tcW w:w="13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47,432 </w:t>
            </w:r>
          </w:p>
        </w:tc>
        <w:tc>
          <w:tcPr>
            <w:tcW w:w="2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148" w:type="dxa"/>
            <w:gridSpan w:val="6"/>
            <w:tcBorders/>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1153"/>
        <w:gridCol w:w="811"/>
        <w:gridCol w:w="815"/>
        <w:gridCol w:w="109"/>
        <w:gridCol w:w="109"/>
        <w:gridCol w:w="109"/>
        <w:gridCol w:w="256"/>
        <w:gridCol w:w="875"/>
        <w:gridCol w:w="132"/>
        <w:gridCol w:w="109"/>
        <w:gridCol w:w="109"/>
        <w:gridCol w:w="109"/>
        <w:gridCol w:w="359"/>
        <w:gridCol w:w="1227"/>
        <w:gridCol w:w="185"/>
        <w:gridCol w:w="109"/>
        <w:gridCol w:w="109"/>
        <w:gridCol w:w="109"/>
        <w:gridCol w:w="256"/>
        <w:gridCol w:w="875"/>
        <w:gridCol w:w="132"/>
        <w:gridCol w:w="109"/>
        <w:gridCol w:w="109"/>
        <w:gridCol w:w="109"/>
        <w:gridCol w:w="353"/>
        <w:gridCol w:w="1206"/>
        <w:gridCol w:w="262"/>
      </w:tblGrid>
      <w:tr>
        <w:trPr/>
        <w:tc>
          <w:tcPr>
            <w:tcW w:w="1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7426" w:type="dxa"/>
            <w:gridSpan w:val="24"/>
            <w:tcBorders/>
          </w:tcPr>
          <w:p>
            <w:pPr>
              <w:pStyle w:val="TableContents"/>
              <w:bidi w:val="0"/>
              <w:spacing w:before="0" w:after="283"/>
              <w:jc w:val="left"/>
              <w:rPr>
                <w:sz w:val="4"/>
                <w:szCs w:val="4"/>
              </w:rPr>
            </w:pPr>
            <w:r>
              <w:rPr>
                <w:sz w:val="4"/>
                <w:szCs w:val="4"/>
              </w:rPr>
            </w:r>
          </w:p>
        </w:tc>
      </w:tr>
      <w:tr>
        <w:trPr/>
        <w:tc>
          <w:tcPr>
            <w:tcW w:w="2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9"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June 30,</w:t>
            </w:r>
          </w:p>
        </w:tc>
      </w:tr>
      <w:tr>
        <w:trPr/>
        <w:tc>
          <w:tcPr>
            <w:tcW w:w="2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r>
      <w:tr>
        <w:trPr/>
        <w:tc>
          <w:tcPr>
            <w:tcW w:w="277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 Type: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Reduction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2,973 </w:t>
            </w:r>
          </w:p>
        </w:tc>
        <w:tc>
          <w:tcPr>
            <w:tcW w:w="18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3,887 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3,196 </w:t>
            </w:r>
          </w:p>
        </w:tc>
        <w:tc>
          <w:tcPr>
            <w:tcW w:w="26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Combination - Interest Rate Reduction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61,802 </w:t>
            </w:r>
          </w:p>
        </w:tc>
        <w:tc>
          <w:tcPr>
            <w:tcW w:w="13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50,184 </w:t>
            </w:r>
          </w:p>
        </w:tc>
        <w:tc>
          <w:tcPr>
            <w:tcW w:w="18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83,313 </w:t>
            </w:r>
          </w:p>
        </w:tc>
        <w:tc>
          <w:tcPr>
            <w:tcW w:w="13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70,160 </w:t>
            </w:r>
          </w:p>
        </w:tc>
        <w:tc>
          <w:tcPr>
            <w:tcW w:w="2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148" w:type="dxa"/>
            <w:gridSpan w:val="6"/>
            <w:tcBorders/>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ind w:left="0" w:right="0" w:firstLine="495"/>
        <w:jc w:val="center"/>
        <w:rPr/>
      </w:pPr>
      <w:r>
        <w:rPr/>
      </w:r>
    </w:p>
    <w:p>
      <w:pPr>
        <w:pStyle w:val="TextBody"/>
        <w:bidi w:val="0"/>
        <w:spacing w:before="120" w:after="180"/>
        <w:ind w:left="0" w:right="0" w:firstLine="495"/>
        <w:jc w:val="center"/>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25</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closely monitor performance of the loans to borrowers experiencing financial difficulty that are modified to understand the effectiveness of the modification efforts. The following table depicts the performance of loans that were modified within the six months prior to June 30, 2026, the 12 months prior to June 30, 2026, and the 12 months prior to December 31, 2025, respectively.</w:t>
      </w:r>
    </w:p>
    <w:tbl>
      <w:tblPr>
        <w:tblW w:w="10205" w:type="dxa"/>
        <w:jc w:val="left"/>
        <w:tblInd w:w="0" w:type="dxa"/>
        <w:tblLayout w:type="fixed"/>
        <w:tblCellMar>
          <w:top w:w="28" w:type="dxa"/>
          <w:left w:w="28" w:type="dxa"/>
          <w:bottom w:w="28" w:type="dxa"/>
          <w:right w:w="28" w:type="dxa"/>
        </w:tblCellMar>
      </w:tblPr>
      <w:tblGrid>
        <w:gridCol w:w="1319"/>
        <w:gridCol w:w="1004"/>
        <w:gridCol w:w="997"/>
        <w:gridCol w:w="109"/>
        <w:gridCol w:w="109"/>
        <w:gridCol w:w="109"/>
        <w:gridCol w:w="211"/>
        <w:gridCol w:w="826"/>
        <w:gridCol w:w="109"/>
        <w:gridCol w:w="232"/>
        <w:gridCol w:w="234"/>
        <w:gridCol w:w="271"/>
        <w:gridCol w:w="109"/>
        <w:gridCol w:w="109"/>
        <w:gridCol w:w="109"/>
        <w:gridCol w:w="226"/>
        <w:gridCol w:w="886"/>
        <w:gridCol w:w="117"/>
        <w:gridCol w:w="232"/>
        <w:gridCol w:w="234"/>
        <w:gridCol w:w="290"/>
        <w:gridCol w:w="109"/>
        <w:gridCol w:w="109"/>
        <w:gridCol w:w="109"/>
        <w:gridCol w:w="225"/>
        <w:gridCol w:w="885"/>
        <w:gridCol w:w="116"/>
        <w:gridCol w:w="232"/>
        <w:gridCol w:w="234"/>
        <w:gridCol w:w="344"/>
      </w:tblGrid>
      <w:tr>
        <w:trPr/>
        <w:tc>
          <w:tcPr>
            <w:tcW w:w="131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Twelve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Twelve Months Ended</w:t>
              <w:br/>
              <w:t>December 31, 2025</w:t>
            </w:r>
          </w:p>
        </w:tc>
      </w:tr>
      <w:tr>
        <w:trPr/>
        <w:tc>
          <w:tcPr>
            <w:tcW w:w="3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332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Payment Status (Amortized Cost Basis at June 30, 2026)</w:t>
            </w:r>
            <w:r>
              <w:rPr>
                <w:rFonts w:ascii="Arial;sans-serif" w:hAnsi="Arial;sans-serif"/>
                <w:b/>
                <w:color w:val="144F82"/>
                <w:sz w:val="12"/>
              </w:rPr>
              <w:t>(1)</w:t>
            </w:r>
            <w:r>
              <w:rPr>
                <w:rFonts w:ascii="Arial;sans-serif" w:hAnsi="Arial;sans-serif"/>
                <w:b/>
                <w:color w:val="144F82"/>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 modifications in deferment</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modifications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current</w:t>
            </w:r>
            <w:r>
              <w:rPr>
                <w:rFonts w:ascii="Arial;sans-serif" w:hAnsi="Arial;sans-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0"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30-59 days</w:t>
            </w:r>
            <w:r>
              <w:rPr>
                <w:rFonts w:ascii="Arial;sans-serif" w:hAnsi="Arial;sans-serif"/>
                <w:b w:val="false"/>
                <w:color w:val="000000"/>
                <w:sz w:val="12"/>
              </w:rPr>
              <w:t>(3)(4)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63,325 </w:t>
            </w:r>
          </w:p>
        </w:tc>
        <w:tc>
          <w:tcPr>
            <w:tcW w:w="1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9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68,823 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44"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60-89 days</w:t>
            </w:r>
            <w:r>
              <w:rPr>
                <w:rFonts w:ascii="Arial;sans-serif" w:hAnsi="Arial;sans-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0"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90 days or greater past due</w:t>
            </w:r>
            <w:r>
              <w:rPr>
                <w:rFonts w:ascii="Arial;sans-serif" w:hAnsi="Arial;sans-serif"/>
                <w:b w:val="false"/>
                <w:color w:val="000000"/>
                <w:sz w:val="12"/>
              </w:rPr>
              <w:t>(3)(4)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48,165 </w:t>
            </w:r>
          </w:p>
        </w:tc>
        <w:tc>
          <w:tcPr>
            <w:tcW w:w="1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9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46,485 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44"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 modifications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630,352 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514,954 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 modifications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388,077 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645,433 </w:t>
            </w:r>
          </w:p>
        </w:tc>
        <w:tc>
          <w:tcPr>
            <w:tcW w:w="11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529,634 </w:t>
            </w:r>
          </w:p>
        </w:tc>
        <w:tc>
          <w:tcPr>
            <w:tcW w:w="11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rFonts w:ascii="Arial;sans-serif" w:hAnsi="Arial;sans-serif"/>
          <w:b w:val="false"/>
          <w:color w:val="000000"/>
          <w:sz w:val="14"/>
        </w:rPr>
      </w:pPr>
      <w:r>
        <w:rPr>
          <w:rFonts w:ascii="Arial;sans-serif" w:hAnsi="Arial;sans-serif"/>
          <w:b w:val="false"/>
          <w:color w:val="000000"/>
          <w:sz w:val="14"/>
        </w:rPr>
        <w:t>(1) Loans that were modified during the twelve months ended June 30, 2026 and subsequently charged-off during the six months ended June 30, 2026 are excluded from the table and had an amortized cost basis of $28.2 million. Loans that were both modified and subsequently charged-off during the twelve months ended June 30, 2026 are excluded from the table and had an amortized cost basis of $42.1 million. Loans that were both modified and subsequently charged-off during the twelve months ended December 31, 2025 are excluded from the table and had an amortized cost basis of $39.1 million.</w:t>
      </w:r>
    </w:p>
    <w:p>
      <w:pPr>
        <w:pStyle w:val="TextBody"/>
        <w:bidi w:val="0"/>
        <w:spacing w:lineRule="auto" w:line="288" w:before="180" w:after="283"/>
        <w:ind w:left="0" w:right="0" w:hanging="270"/>
        <w:jc w:val="left"/>
        <w:rPr>
          <w:rFonts w:ascii="Arial;sans-serif" w:hAnsi="Arial;sans-serif"/>
          <w:b w:val="false"/>
          <w:color w:val="000000"/>
          <w:sz w:val="14"/>
        </w:rPr>
      </w:pPr>
      <w:r>
        <w:rPr>
          <w:rFonts w:ascii="Arial;sans-serif" w:hAnsi="Arial;sans-serif"/>
          <w:b w:val="false"/>
          <w:color w:val="000000"/>
          <w:sz w:val="14"/>
        </w:rPr>
        <w:t xml:space="preserve">(2) Deferment includes customers who have returned to school or are engaged in other permitted educational activities and are not yet required to make full principal and interest payments on the loans (e.g., residency periods for medical students or a grace period for bar exam preparation). Deferment also includes loans that have entered a forbearance after the loan modification was granted. </w:t>
      </w:r>
    </w:p>
    <w:p>
      <w:pPr>
        <w:pStyle w:val="TextBody"/>
        <w:bidi w:val="0"/>
        <w:spacing w:lineRule="auto" w:line="288" w:before="180" w:after="283"/>
        <w:ind w:left="0" w:right="0" w:hanging="270"/>
        <w:jc w:val="left"/>
        <w:rPr>
          <w:rFonts w:ascii="Arial;sans-serif" w:hAnsi="Arial;sans-serif"/>
          <w:b w:val="false"/>
          <w:color w:val="000000"/>
          <w:sz w:val="14"/>
        </w:rPr>
      </w:pPr>
      <w:r>
        <w:rPr>
          <w:rFonts w:ascii="Arial;sans-serif" w:hAnsi="Arial;sans-serif"/>
          <w:b w:val="false"/>
          <w:color w:val="000000"/>
          <w:sz w:val="14"/>
        </w:rPr>
        <w:t>(3) Represents loans in repayment, which include loans that have entered full principal and interest repayment status after any applicable grace period (but, for purposes of the table, do not include loans in the “loans in forbearance” metric).</w:t>
      </w:r>
    </w:p>
    <w:p>
      <w:pPr>
        <w:pStyle w:val="TextBody"/>
        <w:bidi w:val="0"/>
        <w:spacing w:lineRule="auto" w:line="288" w:before="180" w:after="283"/>
        <w:ind w:left="0" w:right="0" w:hanging="180"/>
        <w:jc w:val="left"/>
        <w:rPr>
          <w:rFonts w:ascii="Arial;sans-serif" w:hAnsi="Arial;sans-serif"/>
          <w:b w:val="false"/>
          <w:color w:val="000000"/>
          <w:sz w:val="14"/>
        </w:rPr>
      </w:pPr>
      <w:r>
        <w:rPr>
          <w:rFonts w:ascii="Arial;sans-serif" w:hAnsi="Arial;sans-serif"/>
          <w:b w:val="false"/>
          <w:color w:val="000000"/>
          <w:sz w:val="14"/>
        </w:rPr>
        <w:t>(4) The period of delinquency is based on the number of days scheduled payments are contractually past due.</w:t>
      </w:r>
    </w:p>
    <w:p>
      <w:pPr>
        <w:pStyle w:val="TextBody"/>
        <w:bidi w:val="0"/>
        <w:spacing w:before="0" w:after="0"/>
        <w:ind w:left="0" w:right="0" w:firstLine="22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26</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Arial;sans-serif" w:hAnsi="Arial;sans-serif"/>
          <w:b w:val="false"/>
          <w:i/>
          <w:color w:val="000000"/>
          <w:sz w:val="20"/>
        </w:rPr>
      </w:pPr>
      <w:r>
        <w:rPr>
          <w:rFonts w:ascii="Arial;sans-serif" w:hAnsi="Arial;sans-serif"/>
          <w:b w:val="false"/>
          <w:i/>
          <w:color w:val="000000"/>
          <w:sz w:val="20"/>
        </w:rPr>
        <w:t>Private Education Loans Held for Investment - Key Credit Quality Indicators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Private Education Loans, the key credit quality indicators are FICO scores, the existence of a cosigner, the loan status, and loan seasoning. The FICO scores are assessed at original approval and periodically refreshed/updated through the loan’s term. The following tables highlight the gross principal balance of our Private Education Loan portfolio (held for investment), by year of origination approval/first disbursement, stratified by key credit quality indicators. </w:t>
      </w:r>
    </w:p>
    <w:tbl>
      <w:tblPr>
        <w:tblW w:w="11768" w:type="dxa"/>
        <w:jc w:val="center"/>
        <w:tblInd w:w="0" w:type="dxa"/>
        <w:tblLayout w:type="fixed"/>
        <w:tblCellMar>
          <w:top w:w="28" w:type="dxa"/>
          <w:left w:w="28" w:type="dxa"/>
          <w:bottom w:w="28" w:type="dxa"/>
          <w:right w:w="28" w:type="dxa"/>
        </w:tblCellMar>
      </w:tblPr>
      <w:tblGrid>
        <w:gridCol w:w="352"/>
        <w:gridCol w:w="244"/>
        <w:gridCol w:w="245"/>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841"/>
        <w:gridCol w:w="109"/>
        <w:gridCol w:w="109"/>
        <w:gridCol w:w="109"/>
        <w:gridCol w:w="109"/>
        <w:gridCol w:w="225"/>
        <w:gridCol w:w="151"/>
        <w:gridCol w:w="314"/>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June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Credit Quality Indicators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Year of Origination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2026</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2025</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2024</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2023</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2022</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2021 and Prior</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Total</w:t>
            </w:r>
            <w:r>
              <w:rPr>
                <w:rFonts w:ascii="Arial;sans-serif" w:hAnsi="Arial;sans-serif"/>
                <w:b/>
                <w:color w:val="144F82"/>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 of Balance</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Cosigners: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 cosigner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18,465,040 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Without cosigner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139,919 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383,182 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366,416 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309,050 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296,202 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831,688 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2,326,457 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5,347,952 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3,880,911 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2,223,093 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2,034,115 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6,173,692 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20,791,497 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at Origination Approval</w:t>
            </w:r>
            <w:r>
              <w:rPr>
                <w:rFonts w:ascii="Arial;sans-serif" w:hAnsi="Arial;sans-serif"/>
                <w:b w:val="false"/>
                <w:color w:val="000000"/>
                <w:sz w:val="9"/>
              </w:rPr>
              <w:t>(2)</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341,876 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232,357 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182,582 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180,764 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535,805 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1,554,187 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314"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333,733 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1,523,655 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1,175,230 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690,110 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637,923 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2,063,592 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6,424,243 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9,941,081 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1,131,734 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5,347,952 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3,880,911 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2,223,093 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2,034,115 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6,173,692 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20,791,497 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Refreshed</w:t>
            </w:r>
            <w:r>
              <w:rPr>
                <w:rFonts w:ascii="Arial;sans-serif" w:hAnsi="Arial;sans-serif"/>
                <w:b w:val="false"/>
                <w:color w:val="000000"/>
                <w:sz w:val="9"/>
              </w:rPr>
              <w:t>(2)(3)</w:t>
            </w: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146,910 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643,119 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456,775 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276,655 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240,804 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673,845 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2,438,108 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548,769 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2,735,924 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1,908,160 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980,058 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902,709 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2,810,766 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9,886,386 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5,347,952 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3,880,911 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2,223,093 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2,034,115 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6,173,692 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20,791,497 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Seasoning</w:t>
            </w:r>
            <w:r>
              <w:rPr>
                <w:rFonts w:ascii="Arial;sans-serif" w:hAnsi="Arial;sans-serif"/>
                <w:b w:val="false"/>
                <w:color w:val="000000"/>
                <w:sz w:val="9"/>
              </w:rPr>
              <w:t>(4)</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1-12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625,892 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2,793,675 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487,828 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347,650 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267,914 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394,887 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4,917,846 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314"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13-24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25-36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228,789 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983,927 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173,699 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416,229 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1,802,644 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37-48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More than 48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140,105 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3,996,149 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4,136,254 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yet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1,131,734 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5,347,952 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3,880,911 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2,223,093 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2,034,115 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6,173,692 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20,791,497 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2026 Current period</w:t>
            </w:r>
            <w:r>
              <w:rPr>
                <w:rFonts w:ascii="Arial;sans-serif" w:hAnsi="Arial;sans-serif"/>
                <w:b w:val="false"/>
                <w:color w:val="000000"/>
                <w:sz w:val="9"/>
              </w:rPr>
              <w:t xml:space="preserve">(5) </w:t>
            </w:r>
            <w:r>
              <w:rPr>
                <w:rFonts w:ascii="Arial;sans-serif" w:hAnsi="Arial;sans-serif"/>
                <w:b w:val="false"/>
                <w:color w:val="000000"/>
                <w:sz w:val="14"/>
              </w:rPr>
              <w:t>gross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(29,820)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(40,405)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(37,018)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(110,453)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(225,049)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2026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2026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net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(6,713)</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(28,316)</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(36,998)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(33,893)</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(95,655)</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(201,618)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accrued interest by origination approval vintage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339,081 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434,905 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269,488 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208,205 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321,753 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1,604,848 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614" w:type="dxa"/>
            <w:gridSpan w:val="51"/>
            <w:vMerge w:val="restart"/>
            <w:tcBorders/>
            <w:tcMar>
              <w:top w:w="0" w:type="dxa"/>
              <w:left w:w="0" w:type="dxa"/>
              <w:bottom w:w="0" w:type="dxa"/>
              <w:right w:w="0" w:type="dxa"/>
            </w:tcMar>
            <w:vAlign w:val="center"/>
          </w:tcPr>
          <w:p>
            <w:pPr>
              <w:pStyle w:val="TableContents"/>
              <w:bidi w:val="0"/>
              <w:spacing w:lineRule="auto" w:line="240" w:before="0" w:after="0"/>
              <w:ind w:left="0" w:right="0" w:firstLine="495"/>
              <w:jc w:val="left"/>
              <w:rPr>
                <w:color w:val="000000"/>
              </w:rPr>
            </w:pPr>
            <w:r>
              <w:rPr>
                <w:color w:val="000000"/>
              </w:rPr>
              <w:t>        </w:t>
            </w:r>
          </w:p>
          <w:p>
            <w:pPr>
              <w:pStyle w:val="TableContents"/>
              <w:bidi w:val="0"/>
              <w:spacing w:lineRule="auto" w:line="240" w:before="60" w:after="283"/>
              <w:ind w:left="0" w:right="0" w:hanging="360"/>
              <w:jc w:val="left"/>
              <w:rPr/>
            </w:pPr>
            <w:r>
              <w:rPr>
                <w:rFonts w:ascii="Arial;sans-serif" w:hAnsi="Arial;sans-serif"/>
                <w:b w:val="false"/>
                <w:color w:val="000000"/>
                <w:sz w:val="8"/>
              </w:rPr>
              <w:t>(1)</w:t>
            </w:r>
            <w:r>
              <w:rPr>
                <w:rFonts w:ascii="Arial;sans-serif" w:hAnsi="Arial;sans-serif"/>
                <w:b w:val="false"/>
                <w:color w:val="000000"/>
                <w:sz w:val="12"/>
              </w:rPr>
              <w:t>Balance represents gross Private Education Loans held for investment.</w:t>
            </w:r>
          </w:p>
          <w:p>
            <w:pPr>
              <w:pStyle w:val="TableContents"/>
              <w:bidi w:val="0"/>
              <w:spacing w:lineRule="auto" w:line="240" w:before="60" w:after="283"/>
              <w:ind w:left="0" w:right="0" w:hanging="360"/>
              <w:jc w:val="left"/>
              <w:rPr/>
            </w:pPr>
            <w:r>
              <w:rPr>
                <w:rFonts w:ascii="Arial;sans-serif" w:hAnsi="Arial;sans-serif"/>
                <w:b w:val="false"/>
                <w:color w:val="000000"/>
                <w:sz w:val="8"/>
              </w:rPr>
              <w:t>(2)</w:t>
            </w:r>
            <w:r>
              <w:rPr>
                <w:rFonts w:ascii="Arial;sans-serif" w:hAnsi="Arial;sans-serif"/>
                <w:b w:val="false"/>
                <w:color w:val="000000"/>
                <w:sz w:val="12"/>
              </w:rPr>
              <w:t>Represents the higher credit score of the cosigner or the borrower.</w:t>
            </w:r>
          </w:p>
          <w:p>
            <w:pPr>
              <w:pStyle w:val="TableContents"/>
              <w:bidi w:val="0"/>
              <w:spacing w:lineRule="auto" w:line="240" w:before="60" w:after="283"/>
              <w:ind w:left="0" w:right="0" w:hanging="360"/>
              <w:jc w:val="left"/>
              <w:rPr/>
            </w:pPr>
            <w:r>
              <w:rPr>
                <w:rFonts w:ascii="Arial;sans-serif" w:hAnsi="Arial;sans-serif"/>
                <w:b w:val="false"/>
                <w:color w:val="000000"/>
                <w:sz w:val="8"/>
              </w:rPr>
              <w:t>(3)</w:t>
            </w:r>
            <w:r>
              <w:rPr>
                <w:rFonts w:ascii="Arial;sans-serif" w:hAnsi="Arial;sans-serif"/>
                <w:b w:val="false"/>
                <w:color w:val="000000"/>
                <w:sz w:val="12"/>
              </w:rPr>
              <w:t>Represents the FICO score updated as of the second quarter 2026.</w:t>
            </w:r>
          </w:p>
          <w:p>
            <w:pPr>
              <w:pStyle w:val="TableContents"/>
              <w:bidi w:val="0"/>
              <w:spacing w:lineRule="auto" w:line="240" w:before="60" w:after="283"/>
              <w:ind w:left="0" w:right="0" w:hanging="360"/>
              <w:jc w:val="left"/>
              <w:rPr/>
            </w:pPr>
            <w:r>
              <w:rPr>
                <w:rFonts w:ascii="Arial;sans-serif" w:hAnsi="Arial;sans-serif"/>
                <w:b w:val="false"/>
                <w:color w:val="000000"/>
                <w:sz w:val="8"/>
              </w:rPr>
              <w:t>(4)</w:t>
            </w:r>
            <w:r>
              <w:rPr>
                <w:rFonts w:ascii="Arial;sans-serif" w:hAnsi="Arial;sans-serif"/>
                <w:b w:val="false"/>
                <w:color w:val="000000"/>
                <w:sz w:val="12"/>
              </w:rPr>
              <w:t>Number of months in active repayment (whether interest only payment, fixed payment, or full principal and interest payment status) for which a scheduled payment was due.</w:t>
            </w:r>
          </w:p>
          <w:p>
            <w:pPr>
              <w:pStyle w:val="TableContents"/>
              <w:bidi w:val="0"/>
              <w:spacing w:lineRule="auto" w:line="240" w:before="60" w:after="283"/>
              <w:ind w:left="0" w:right="0" w:hanging="360"/>
              <w:jc w:val="left"/>
              <w:rPr/>
            </w:pPr>
            <w:r>
              <w:rPr>
                <w:rFonts w:ascii="Arial;sans-serif" w:hAnsi="Arial;sans-serif"/>
                <w:b w:val="false"/>
                <w:color w:val="000000"/>
                <w:sz w:val="8"/>
              </w:rPr>
              <w:t>(5)</w:t>
            </w:r>
            <w:r>
              <w:rPr>
                <w:rFonts w:ascii="Arial;sans-serif" w:hAnsi="Arial;sans-serif"/>
                <w:b w:val="false"/>
                <w:color w:val="000000"/>
                <w:sz w:val="12"/>
              </w:rPr>
              <w:t>Current period refers to period from January 1, 2026 through June 30, 2026.</w:t>
            </w:r>
          </w:p>
        </w:tc>
        <w:tc>
          <w:tcPr>
            <w:tcW w:w="154" w:type="dxa"/>
            <w:tcBorders/>
          </w:tcPr>
          <w:p>
            <w:pPr>
              <w:pStyle w:val="TableContents"/>
              <w:bidi w:val="0"/>
              <w:spacing w:before="0" w:after="283"/>
              <w:jc w:val="left"/>
              <w:rPr>
                <w:sz w:val="4"/>
                <w:szCs w:val="4"/>
              </w:rPr>
            </w:pPr>
            <w:r>
              <w:rPr>
                <w:sz w:val="4"/>
                <w:szCs w:val="4"/>
              </w:rPr>
            </w:r>
          </w:p>
        </w:tc>
      </w:tr>
      <w:tr>
        <w:trPr/>
        <w:tc>
          <w:tcPr>
            <w:tcW w:w="11614" w:type="dxa"/>
            <w:gridSpan w:val="51"/>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14" w:type="dxa"/>
            <w:gridSpan w:val="51"/>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p>
      <w:pPr>
        <w:pStyle w:val="TextBody"/>
        <w:bidi w:val="0"/>
        <w:spacing w:before="120" w:after="420"/>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27</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667" w:type="dxa"/>
        <w:jc w:val="center"/>
        <w:tblInd w:w="0" w:type="dxa"/>
        <w:tblLayout w:type="fixed"/>
        <w:tblCellMar>
          <w:top w:w="28" w:type="dxa"/>
          <w:left w:w="28" w:type="dxa"/>
          <w:bottom w:w="28" w:type="dxa"/>
          <w:right w:w="28" w:type="dxa"/>
        </w:tblCellMar>
      </w:tblPr>
      <w:tblGrid>
        <w:gridCol w:w="352"/>
        <w:gridCol w:w="244"/>
        <w:gridCol w:w="245"/>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841"/>
        <w:gridCol w:w="109"/>
        <w:gridCol w:w="109"/>
        <w:gridCol w:w="109"/>
        <w:gridCol w:w="109"/>
        <w:gridCol w:w="220"/>
        <w:gridCol w:w="156"/>
        <w:gridCol w:w="367"/>
      </w:tblGrid>
      <w:tr>
        <w:trPr/>
        <w:tc>
          <w:tcPr>
            <w:tcW w:w="3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As of December 31, 2025</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Credit Quality Indicators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Year of Origination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2025</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2024</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2023</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2022</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2021</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2020 and Prior</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Total</w:t>
            </w:r>
            <w:r>
              <w:rPr>
                <w:rFonts w:ascii="Arial;sans-serif" w:hAnsi="Arial;sans-serif"/>
                <w:b/>
                <w:color w:val="144F82"/>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 of Balance</w:t>
            </w:r>
          </w:p>
        </w:tc>
      </w:tr>
      <w:tr>
        <w:trPr/>
        <w:tc>
          <w:tcPr>
            <w:tcW w:w="84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Cosigners: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 cosigner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Without cosigner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347,965 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472,054 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368,920 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331,375 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246,687 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678,042 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2,445,043 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at Origination Approval</w:t>
            </w:r>
            <w:r>
              <w:rPr>
                <w:rFonts w:ascii="Arial;sans-serif" w:hAnsi="Arial;sans-serif"/>
                <w:b w:val="false"/>
                <w:color w:val="000000"/>
                <w:sz w:val="9"/>
              </w:rPr>
              <w:t>(2)</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263,280 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321,462 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214,219 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199,017 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127,109 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464,693 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1,589,780 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36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1,254,937 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1,645,649 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834,804 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716,088 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516,516 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1,794,886 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6,762,880 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10,300,553 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Refreshed</w:t>
            </w:r>
            <w:r>
              <w:rPr>
                <w:rFonts w:ascii="Arial;sans-serif" w:hAnsi="Arial;sans-serif"/>
                <w:b w:val="false"/>
                <w:color w:val="000000"/>
                <w:sz w:val="9"/>
              </w:rPr>
              <w:t>(2)(3)</w:t>
            </w: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532,758 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671,447 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343,793 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279,168 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183,279 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569,616 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2,580,061 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2,176,861 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2,675,316 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1,188,779 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1,005,831 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727,360 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2,428,194 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10,202,341 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Seasoning</w:t>
            </w:r>
            <w:r>
              <w:rPr>
                <w:rFonts w:ascii="Arial;sans-serif" w:hAnsi="Arial;sans-serif"/>
                <w:b w:val="false"/>
                <w:color w:val="000000"/>
                <w:sz w:val="9"/>
              </w:rPr>
              <w:t>(4)</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1-12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2,583,918 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725,720 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453,904 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331,804 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194,121 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284,210 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4,573,677 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36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13-24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2,859,837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3,816,855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25-36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1,260,916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302,417</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132,813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371,012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2,067,158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37-48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1,039,762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1,692,504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More than 48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706,571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3,471,137</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4,177,708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yet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1,747,456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1,855,164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5,332,532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2025 Current period</w:t>
            </w:r>
            <w:r>
              <w:rPr>
                <w:rFonts w:ascii="Arial;sans-serif" w:hAnsi="Arial;sans-serif"/>
                <w:b w:val="false"/>
                <w:color w:val="000000"/>
                <w:sz w:val="9"/>
              </w:rPr>
              <w:t xml:space="preserve">(5) </w:t>
            </w:r>
            <w:r>
              <w:rPr>
                <w:rFonts w:ascii="Arial;sans-serif" w:hAnsi="Arial;sans-serif"/>
                <w:b w:val="false"/>
                <w:color w:val="000000"/>
                <w:sz w:val="14"/>
              </w:rPr>
              <w:t>gross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(21,763)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(73,247)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(69,089)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(51,038)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(182,920)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(399,636)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2025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2025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net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(20,116)</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(66,278)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(61,231)</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(44,598)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(152,024)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(345,725)</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accrued interest by origination approval vintage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169,560 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486,685 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304,418 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230,680 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243,949 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1,570,069 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000000"/>
          <w:sz w:val="8"/>
        </w:rPr>
        <w:t>(1)</w:t>
      </w:r>
      <w:r>
        <w:rPr>
          <w:rFonts w:ascii="Arial;sans-serif" w:hAnsi="Arial;sans-serif"/>
          <w:b w:val="false"/>
          <w:color w:val="000000"/>
          <w:sz w:val="12"/>
        </w:rPr>
        <w:t>Balance represents gross Private Education Loans held for investment.</w:t>
      </w:r>
    </w:p>
    <w:p>
      <w:pPr>
        <w:pStyle w:val="TextBody"/>
        <w:bidi w:val="0"/>
        <w:spacing w:lineRule="auto" w:line="288" w:before="60" w:after="283"/>
        <w:ind w:left="0" w:right="0" w:hanging="360"/>
        <w:jc w:val="left"/>
        <w:rPr/>
      </w:pPr>
      <w:r>
        <w:rPr>
          <w:rFonts w:ascii="Arial;sans-serif" w:hAnsi="Arial;sans-serif"/>
          <w:b w:val="false"/>
          <w:color w:val="000000"/>
          <w:sz w:val="8"/>
        </w:rPr>
        <w:t>(2)</w:t>
      </w:r>
      <w:r>
        <w:rPr>
          <w:rFonts w:ascii="Arial;sans-serif" w:hAnsi="Arial;sans-serif"/>
          <w:b w:val="false"/>
          <w:color w:val="000000"/>
          <w:sz w:val="12"/>
        </w:rPr>
        <w:t>Represents the higher credit score of the cosigner or the borrower.</w:t>
      </w:r>
    </w:p>
    <w:p>
      <w:pPr>
        <w:pStyle w:val="TextBody"/>
        <w:bidi w:val="0"/>
        <w:spacing w:lineRule="auto" w:line="288" w:before="60" w:after="283"/>
        <w:ind w:left="0" w:right="0" w:hanging="360"/>
        <w:jc w:val="left"/>
        <w:rPr/>
      </w:pPr>
      <w:r>
        <w:rPr>
          <w:rFonts w:ascii="Arial;sans-serif" w:hAnsi="Arial;sans-serif"/>
          <w:b w:val="false"/>
          <w:color w:val="000000"/>
          <w:sz w:val="8"/>
        </w:rPr>
        <w:t>(3)</w:t>
      </w:r>
      <w:r>
        <w:rPr>
          <w:rFonts w:ascii="Arial;sans-serif" w:hAnsi="Arial;sans-serif"/>
          <w:b w:val="false"/>
          <w:color w:val="000000"/>
          <w:sz w:val="12"/>
        </w:rPr>
        <w:t>Represents the FICO score updated as of the fourth quarter 2025.</w:t>
      </w:r>
    </w:p>
    <w:p>
      <w:pPr>
        <w:pStyle w:val="TextBody"/>
        <w:bidi w:val="0"/>
        <w:spacing w:lineRule="auto" w:line="288" w:before="60" w:after="283"/>
        <w:ind w:left="0" w:right="0" w:hanging="360"/>
        <w:jc w:val="left"/>
        <w:rPr/>
      </w:pPr>
      <w:r>
        <w:rPr>
          <w:rFonts w:ascii="Arial;sans-serif" w:hAnsi="Arial;sans-serif"/>
          <w:b w:val="false"/>
          <w:color w:val="000000"/>
          <w:sz w:val="8"/>
        </w:rPr>
        <w:t>(4)</w:t>
      </w:r>
      <w:r>
        <w:rPr>
          <w:rFonts w:ascii="Arial;sans-serif" w:hAnsi="Arial;sans-serif"/>
          <w:b w:val="false"/>
          <w:color w:val="000000"/>
          <w:sz w:val="12"/>
        </w:rPr>
        <w:t>Number of months in active repayment (whether interest only payment, fixed payment, or full principal and interest payment status) for which a scheduled payment was due.</w:t>
      </w:r>
    </w:p>
    <w:p>
      <w:pPr>
        <w:pStyle w:val="TextBody"/>
        <w:bidi w:val="0"/>
        <w:spacing w:lineRule="auto" w:line="288" w:before="60" w:after="283"/>
        <w:ind w:left="0" w:right="0" w:hanging="360"/>
        <w:jc w:val="left"/>
        <w:rPr/>
      </w:pPr>
      <w:r>
        <w:rPr>
          <w:rFonts w:ascii="Arial;sans-serif" w:hAnsi="Arial;sans-serif"/>
          <w:b w:val="false"/>
          <w:color w:val="000000"/>
          <w:sz w:val="8"/>
        </w:rPr>
        <w:t>(5)</w:t>
      </w:r>
      <w:r>
        <w:rPr>
          <w:rFonts w:ascii="Arial;sans-serif" w:hAnsi="Arial;sans-serif"/>
          <w:b w:val="false"/>
          <w:color w:val="000000"/>
          <w:sz w:val="12"/>
        </w:rPr>
        <w:t xml:space="preserve">Current period refers to January 1, 2025 through December 31, 2025. </w:t>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28</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25"/>
        <w:jc w:val="left"/>
        <w:rPr>
          <w:rFonts w:ascii="Arial;sans-serif" w:hAnsi="Arial;sans-serif"/>
          <w:b w:val="false"/>
          <w:i/>
          <w:color w:val="000000"/>
          <w:sz w:val="20"/>
        </w:rPr>
      </w:pPr>
      <w:r>
        <w:rPr>
          <w:rFonts w:ascii="Arial;sans-serif" w:hAnsi="Arial;sans-serif"/>
          <w:b w:val="false"/>
          <w:i/>
          <w:color w:val="000000"/>
          <w:sz w:val="20"/>
        </w:rPr>
        <w:t>Delinquencies - Private Education Loans Held for Investment</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tables provide information regarding the loan status of our Private Education Loans held for investment, by year of origination approval/first disbursement. Loans in repayment include loans on which borrowers are making interest only or fixed payments, as well as loans that have entered full principal and interest repayment status after any applicable grace period (but, for purposes of the following tables, do not include loans in the “loans in forbearance” metric).</w:t>
      </w:r>
    </w:p>
    <w:p>
      <w:pPr>
        <w:pStyle w:val="TextBody"/>
        <w:bidi w:val="0"/>
        <w:spacing w:before="0" w:after="0"/>
        <w:ind w:left="0" w:right="0" w:firstLine="450"/>
        <w:jc w:val="left"/>
        <w:rPr/>
      </w:pPr>
      <w:r>
        <w:rPr/>
      </w:r>
    </w:p>
    <w:tbl>
      <w:tblPr>
        <w:tblW w:w="11506" w:type="dxa"/>
        <w:jc w:val="left"/>
        <w:tblInd w:w="0" w:type="dxa"/>
        <w:tblLayout w:type="fixed"/>
        <w:tblCellMar>
          <w:top w:w="28" w:type="dxa"/>
          <w:left w:w="28" w:type="dxa"/>
          <w:bottom w:w="28" w:type="dxa"/>
          <w:right w:w="28" w:type="dxa"/>
        </w:tblCellMar>
      </w:tblPr>
      <w:tblGrid>
        <w:gridCol w:w="397"/>
        <w:gridCol w:w="244"/>
        <w:gridCol w:w="245"/>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841"/>
        <w:gridCol w:w="271"/>
      </w:tblGrid>
      <w:tr>
        <w:trPr/>
        <w:tc>
          <w:tcPr>
            <w:tcW w:w="3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3"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Delinquencies by Origination Approval Vintage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June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2021 and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w:t>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in-school/grace/deferment</w:t>
            </w:r>
            <w:r>
              <w:rPr>
                <w:rFonts w:ascii="Arial;sans-serif" w:hAnsi="Arial;sans-serif"/>
                <w:b w:val="false"/>
                <w:color w:val="000000"/>
                <w:sz w:val="9"/>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505,842 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2,021,505 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1,195,933 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495,468 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331,963 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545,589 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5,096,300 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 forbearance</w:t>
            </w:r>
            <w:r>
              <w:rPr>
                <w:rFonts w:ascii="Arial;sans-serif" w:hAnsi="Arial;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110,327 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620,435 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3,261,987 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2,542,458 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1,604,502 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1,579,515 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5,185,377 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14,794,274 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30-59 days</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2,267 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16,491 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30,351 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35,301 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36,292 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169,062 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289,764 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60-89 days</w:t>
            </w:r>
            <w:r>
              <w:rPr>
                <w:rFonts w:ascii="Arial;sans-serif" w:hAnsi="Arial;sans-serif"/>
                <w:b w:val="false"/>
                <w:color w:val="000000"/>
                <w:sz w:val="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83,297 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90 days or greater past due</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14,335 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17,326 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80,040 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136,434 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623,597 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3,288,835 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2,602,439 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1,676,261 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1,657,688 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5,517,776 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15,366,596 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1,131,734 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5,347,952 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3,880,911 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2,223,093 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2,034,115 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6,173,692 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20,791,497 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1,145,942 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5,378,026 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3,902,117 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2,233,527 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2,040,219 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6,185,676 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20,885,507 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allowance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(282,369)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(176,768)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(162,087)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(434,059)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(1,354,014)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Private Education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1,088,824 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5,095,657 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3,660,504 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2,056,759 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1,878,132 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5,751,617 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19,531,493 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Percentage of Private Education 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61.5 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73.9 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Delinquent Private Education Loans in repayment as a percentage of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forbearance as a percentage of loans in repayment and forbearance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Deferment includes customers who have returned to school or are engaged in other permitted educational activities and are not yet required to make payments on the loans (e.g., residency periods for medical students or a grace period for bar exam preparation).</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pStyle w:val="TextBody"/>
        <w:bidi w:val="0"/>
        <w:spacing w:lineRule="auto" w:line="288" w:before="180" w:after="283"/>
        <w:ind w:left="0" w:right="0" w:hanging="180"/>
        <w:jc w:val="left"/>
        <w:rPr/>
      </w:pPr>
      <w:r>
        <w:rPr>
          <w:rFonts w:ascii="Arial;sans-serif" w:hAnsi="Arial;sans-serif"/>
          <w:b w:val="false"/>
          <w:color w:val="000000"/>
          <w:sz w:val="9"/>
        </w:rPr>
        <w:t>(3)</w:t>
      </w:r>
      <w:r>
        <w:rPr>
          <w:rFonts w:ascii="Arial;sans-serif" w:hAnsi="Arial;sans-serif"/>
          <w:b w:val="false"/>
          <w:color w:val="000000"/>
          <w:sz w:val="14"/>
        </w:rPr>
        <w:t>The period of delinquency is based on the number of days scheduled payments are contractually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29</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506" w:type="dxa"/>
        <w:jc w:val="center"/>
        <w:tblInd w:w="0" w:type="dxa"/>
        <w:tblLayout w:type="fixed"/>
        <w:tblCellMar>
          <w:top w:w="28" w:type="dxa"/>
          <w:left w:w="28" w:type="dxa"/>
          <w:bottom w:w="28" w:type="dxa"/>
          <w:right w:w="28" w:type="dxa"/>
        </w:tblCellMar>
      </w:tblPr>
      <w:tblGrid>
        <w:gridCol w:w="397"/>
        <w:gridCol w:w="244"/>
        <w:gridCol w:w="245"/>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841"/>
        <w:gridCol w:w="271"/>
      </w:tblGrid>
      <w:tr>
        <w:trPr/>
        <w:tc>
          <w:tcPr>
            <w:tcW w:w="3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3"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Delinquencies by Origination Vintage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As of December 31, 2025</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2020 and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w:t>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in-school/grace/deferment</w:t>
            </w:r>
            <w:r>
              <w:rPr>
                <w:rFonts w:ascii="Arial;sans-serif" w:hAnsi="Arial;sans-serif"/>
                <w:b w:val="false"/>
                <w:color w:val="000000"/>
                <w:sz w:val="9"/>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1,747,456 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1,855,164 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658,750 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402,546 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215,115 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453,501 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5,332,532 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 forbearance</w:t>
            </w:r>
            <w:r>
              <w:rPr>
                <w:rFonts w:ascii="Arial;sans-serif" w:hAnsi="Arial;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87,534 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2,545,734 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3,404,837 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1,863,481 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1,284,830 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4,436,303 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15,258,723 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30-59 days</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10,981 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29,336 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41,888 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44,106 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33,983 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170,013 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330,307 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60-89 days</w:t>
            </w:r>
            <w:r>
              <w:rPr>
                <w:rFonts w:ascii="Arial;sans-serif" w:hAnsi="Arial;sans-serif"/>
                <w:b w:val="false"/>
                <w:color w:val="000000"/>
                <w:sz w:val="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76,017 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90 days or greater past due</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1,457 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22,265 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17,873 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76,141 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151,114 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2,561,439 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3,458,164 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1,950,308 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1,812,638 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1,353,804 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4,758,474 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15,894,827 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4,368,869 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5,471,283 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2,705,956 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2,289,340 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1,617,980 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5,309,014 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21,762,442 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allowance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(231,497)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(312,665)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(211,732)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(182,408)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(122,163)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(369,853)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(1,430,318)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Private Education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4,137,372 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5,158,618 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2,494,224 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2,106,932 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1,495,817 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4,939,161 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20,332,124 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Percentage of Private Education 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73.4 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Delinquent Private Education Loans in repayment as a percentage of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forbearance as a percentage of loans in repayment and forbearance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ind w:left="0" w:right="0" w:firstLine="450"/>
        <w:jc w:val="left"/>
        <w:rPr/>
      </w:pPr>
      <w:r>
        <w:rPr/>
      </w:r>
    </w:p>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Deferment includes customers who have returned to school or are engaged in other permitted educational activities and are not yet required to make payments on the loans (e.g., residency periods for medical students or a grace period for bar exam preparation).</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pStyle w:val="TextBody"/>
        <w:bidi w:val="0"/>
        <w:spacing w:lineRule="auto" w:line="288" w:before="180" w:after="283"/>
        <w:ind w:left="0" w:right="0" w:hanging="180"/>
        <w:jc w:val="left"/>
        <w:rPr/>
      </w:pPr>
      <w:r>
        <w:rPr>
          <w:rFonts w:ascii="Arial;sans-serif" w:hAnsi="Arial;sans-serif"/>
          <w:b w:val="false"/>
          <w:color w:val="000000"/>
          <w:sz w:val="9"/>
        </w:rPr>
        <w:t>(3)</w:t>
      </w:r>
      <w:r>
        <w:rPr>
          <w:rFonts w:ascii="Arial;sans-serif" w:hAnsi="Arial;sans-serif"/>
          <w:b w:val="false"/>
          <w:color w:val="000000"/>
          <w:sz w:val="14"/>
        </w:rPr>
        <w:t>The period of delinquency is based on the number of days scheduled payments are contractually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30</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jc w:val="left"/>
        <w:rPr/>
      </w:pPr>
      <w:r>
        <w:rPr>
          <w:color w:val="000000"/>
        </w:rPr>
        <w:t> </w:t>
      </w:r>
      <w:r>
        <w:rPr>
          <w:rFonts w:ascii="Arial;sans-serif" w:hAnsi="Arial;sans-serif"/>
          <w:b w:val="false"/>
          <w:i/>
          <w:color w:val="000000"/>
          <w:sz w:val="20"/>
        </w:rPr>
        <w:t>Accrued Interest Receivable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accrued interest receivable on our Private Education Loans. The table also discloses the amount of accrued interest on loans 90 days or greater past due as compared to our allowance for uncollectible interest. The majority of the total accrued interest receivable represents accrued interest on deferred loans where no payments are due while the borrower is in school and fixed-pay loans where the borrower makes a $25 monthly payment that is smaller than the interest accruing on the loan in that month. The accrued interest on these loans will be capitalized to the balance of the loans when the borrower exits the grace period after separation from school. The allowance for credit losses considers the collectibility of both principal and accrued interest. The allowance for uncollectible interest estimates the additional uncollectible interest that is not captured in the allowance for credit losses. </w:t>
      </w:r>
    </w:p>
    <w:p>
      <w:pPr>
        <w:pStyle w:val="TextBody"/>
        <w:bidi w:val="0"/>
        <w:spacing w:before="0" w:after="0"/>
        <w:ind w:left="0" w:right="0" w:firstLine="495"/>
        <w:jc w:val="left"/>
        <w:rPr/>
      </w:pPr>
      <w:r>
        <w:rPr/>
      </w:r>
    </w:p>
    <w:tbl>
      <w:tblPr>
        <w:tblW w:w="10173"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334"/>
        <w:gridCol w:w="1548"/>
        <w:gridCol w:w="172"/>
        <w:gridCol w:w="109"/>
        <w:gridCol w:w="109"/>
        <w:gridCol w:w="109"/>
        <w:gridCol w:w="520"/>
        <w:gridCol w:w="1520"/>
        <w:gridCol w:w="269"/>
        <w:gridCol w:w="109"/>
        <w:gridCol w:w="109"/>
        <w:gridCol w:w="109"/>
        <w:gridCol w:w="599"/>
        <w:gridCol w:w="2051"/>
        <w:gridCol w:w="44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 Loans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Accrued Interest Receivable</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 Interest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90 Days or Greater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Allowance for Uncollectible Interest</w:t>
            </w:r>
            <w:r>
              <w:rPr>
                <w:rFonts w:ascii="Arial;sans-serif" w:hAnsi="Arial;sans-serif"/>
                <w:b/>
                <w:color w:val="144F82"/>
                <w:sz w:val="10"/>
              </w:rPr>
              <w:t>(1)</w:t>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30, 2026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1,604,848 </w:t>
            </w:r>
          </w:p>
        </w:tc>
        <w:tc>
          <w:tcPr>
            <w:tcW w:w="17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5,417 </w:t>
            </w:r>
          </w:p>
        </w:tc>
        <w:tc>
          <w:tcPr>
            <w:tcW w:w="2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5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9,770 </w:t>
            </w:r>
          </w:p>
        </w:tc>
        <w:tc>
          <w:tcPr>
            <w:tcW w:w="44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Arial;sans-serif" w:hAnsi="Arial;sans-serif"/>
          <w:b w:val="false"/>
          <w:color w:val="000000"/>
          <w:sz w:val="9"/>
        </w:rPr>
        <w:t>(1)</w:t>
      </w:r>
      <w:r>
        <w:rPr>
          <w:rFonts w:ascii="Arial;sans-serif" w:hAnsi="Arial;sans-serif"/>
          <w:b w:val="false"/>
          <w:color w:val="000000"/>
          <w:sz w:val="14"/>
        </w:rPr>
        <w:t>At June 30, 2026 and December 31, 2025, $154 million and $164 million, respectively, of accrued interest receivable was not expected to be capitalized and $1.5 billion and $1.4 billion of accrued interest receivable was expected to be capitalized.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31</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Unfunded Loan Commitments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later (usually at the start of the second semester or subsequent trimesters). We estimate expected credit losses over the contractual period in which we are exposed to credit risk via a contractual obligation to extend credit unless that obligation is unconditionally cancellable by us. See Note 2, “Significant Accounting Policies - Allowance for Credit Losses — Off-Balance Sheet Exposure for Contractual Loan Commitments” in our 2025 Form 10-K for additional information.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June 30, 2026, we had $1.7 billion of outstanding contractual loan commitments that we expect to fund during the remainder of the 2026/2027 academic year, including $28 million of contractual loan commitments associated with loans classified as held for sale. The table below summarizes the activity in the allowance recorded to cover lifetime expected credit losses on the unfunded commitments, which is recorded in “Other Liabilities” on the consolidated balance sheets, as well as the activity in the unfunded commitments balance. </w:t>
      </w:r>
    </w:p>
    <w:tbl>
      <w:tblPr>
        <w:tblW w:w="10205" w:type="dxa"/>
        <w:jc w:val="center"/>
        <w:tblInd w:w="0" w:type="dxa"/>
        <w:tblLayout w:type="fixed"/>
        <w:tblCellMar>
          <w:top w:w="28" w:type="dxa"/>
          <w:left w:w="28" w:type="dxa"/>
          <w:bottom w:w="28" w:type="dxa"/>
          <w:right w:w="28" w:type="dxa"/>
        </w:tblCellMar>
      </w:tblPr>
      <w:tblGrid>
        <w:gridCol w:w="1075"/>
        <w:gridCol w:w="945"/>
        <w:gridCol w:w="948"/>
        <w:gridCol w:w="211"/>
        <w:gridCol w:w="721"/>
        <w:gridCol w:w="109"/>
        <w:gridCol w:w="109"/>
        <w:gridCol w:w="109"/>
        <w:gridCol w:w="109"/>
        <w:gridCol w:w="335"/>
        <w:gridCol w:w="1554"/>
        <w:gridCol w:w="173"/>
        <w:gridCol w:w="109"/>
        <w:gridCol w:w="109"/>
        <w:gridCol w:w="109"/>
        <w:gridCol w:w="211"/>
        <w:gridCol w:w="721"/>
        <w:gridCol w:w="109"/>
        <w:gridCol w:w="109"/>
        <w:gridCol w:w="109"/>
        <w:gridCol w:w="109"/>
        <w:gridCol w:w="330"/>
        <w:gridCol w:w="1535"/>
        <w:gridCol w:w="247"/>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Three Months Ended June 30,</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r>
      <w:tr>
        <w:trPr/>
        <w:tc>
          <w:tcPr>
            <w:tcW w:w="2968"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587,882 </w:t>
            </w:r>
          </w:p>
        </w:tc>
        <w:tc>
          <w:tcPr>
            <w:tcW w:w="17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584,140 </w:t>
            </w:r>
          </w:p>
        </w:tc>
        <w:tc>
          <w:tcPr>
            <w:tcW w:w="24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Provision/New commitments - net</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1,848,800 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1,459,626 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 funded loans</w:t>
            </w:r>
            <w:r>
              <w:rPr>
                <w:rFonts w:ascii="Arial;sans-serif" w:hAnsi="Arial;sans-serif"/>
                <w:b w:val="false"/>
                <w:color w:val="000000"/>
                <w:sz w:val="12"/>
              </w:rPr>
              <w:t>(2)</w:t>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(673,590)</w:t>
            </w:r>
          </w:p>
        </w:tc>
        <w:tc>
          <w:tcPr>
            <w:tcW w:w="17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(685,603)</w:t>
            </w:r>
          </w:p>
        </w:tc>
        <w:tc>
          <w:tcPr>
            <w:tcW w:w="24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loan commitments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Ending Balance</w:t>
            </w:r>
            <w:r>
              <w:rPr>
                <w:rFonts w:ascii="Arial;sans-serif" w:hAnsi="Arial;sans-serif"/>
                <w:b/>
                <w:color w:val="144F82"/>
                <w:sz w:val="12"/>
              </w:rPr>
              <w:t>(3)</w:t>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66,015 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1,728,478 </w:t>
            </w:r>
          </w:p>
        </w:tc>
        <w:tc>
          <w:tcPr>
            <w:tcW w:w="17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1,358,163 </w:t>
            </w:r>
          </w:p>
        </w:tc>
        <w:tc>
          <w:tcPr>
            <w:tcW w:w="24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807" w:type="dxa"/>
            <w:gridSpan w:val="12"/>
            <w:tcBorders/>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1074"/>
        <w:gridCol w:w="945"/>
        <w:gridCol w:w="948"/>
        <w:gridCol w:w="211"/>
        <w:gridCol w:w="721"/>
        <w:gridCol w:w="109"/>
        <w:gridCol w:w="109"/>
        <w:gridCol w:w="109"/>
        <w:gridCol w:w="109"/>
        <w:gridCol w:w="335"/>
        <w:gridCol w:w="1554"/>
        <w:gridCol w:w="173"/>
        <w:gridCol w:w="109"/>
        <w:gridCol w:w="109"/>
        <w:gridCol w:w="109"/>
        <w:gridCol w:w="211"/>
        <w:gridCol w:w="721"/>
        <w:gridCol w:w="109"/>
        <w:gridCol w:w="109"/>
        <w:gridCol w:w="109"/>
        <w:gridCol w:w="109"/>
        <w:gridCol w:w="331"/>
        <w:gridCol w:w="1535"/>
        <w:gridCol w:w="247"/>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9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Six Months Ended June 30,</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r>
      <w:tr>
        <w:trPr/>
        <w:tc>
          <w:tcPr>
            <w:tcW w:w="296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77,132 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2,437,035 </w:t>
            </w:r>
          </w:p>
        </w:tc>
        <w:tc>
          <w:tcPr>
            <w:tcW w:w="17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2,311,660 </w:t>
            </w:r>
          </w:p>
        </w:tc>
        <w:tc>
          <w:tcPr>
            <w:tcW w:w="24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Provision/New commitments - net</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2,945,185 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2,503,584 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 funded loans</w:t>
            </w:r>
            <w:r>
              <w:rPr>
                <w:rFonts w:ascii="Arial;sans-serif" w:hAnsi="Arial;sans-serif"/>
                <w:b w:val="false"/>
                <w:color w:val="000000"/>
                <w:sz w:val="12"/>
              </w:rPr>
              <w:t>(2)</w:t>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(127,503)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(3,095,958)</w:t>
            </w:r>
          </w:p>
        </w:tc>
        <w:tc>
          <w:tcPr>
            <w:tcW w:w="17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(133,012)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(3,457,081)</w:t>
            </w:r>
          </w:p>
        </w:tc>
        <w:tc>
          <w:tcPr>
            <w:tcW w:w="24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loan commitments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(557,784)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Ending Balance</w:t>
            </w:r>
            <w:r>
              <w:rPr>
                <w:rFonts w:ascii="Arial;sans-serif" w:hAnsi="Arial;sans-serif"/>
                <w:b/>
                <w:color w:val="144F82"/>
                <w:sz w:val="12"/>
              </w:rPr>
              <w:t>(3)</w:t>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66,015 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1,728,478 </w:t>
            </w:r>
          </w:p>
        </w:tc>
        <w:tc>
          <w:tcPr>
            <w:tcW w:w="17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1,358,163 </w:t>
            </w:r>
          </w:p>
        </w:tc>
        <w:tc>
          <w:tcPr>
            <w:tcW w:w="24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808" w:type="dxa"/>
            <w:gridSpan w:val="12"/>
            <w:tcBorders/>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color w:val="000000"/>
        </w:rPr>
        <w:t>     </w:t>
      </w:r>
      <w:r>
        <w:rPr>
          <w:rFonts w:ascii="Arial;sans-serif" w:hAnsi="Arial;sans-serif"/>
          <w:b w:val="false"/>
          <w:color w:val="000000"/>
          <w:sz w:val="14"/>
        </w:rPr>
        <w:t xml:space="preserve">Net of expirations of commitments unused. Also includes incremental provision for new commitments and changes to provision for existing commitments. </w:t>
      </w:r>
    </w:p>
    <w:p>
      <w:pPr>
        <w:pStyle w:val="TextBody"/>
        <w:bidi w:val="0"/>
        <w:spacing w:lineRule="auto" w:line="288" w:before="0" w:after="0"/>
        <w:ind w:left="0" w:right="0" w:hanging="180"/>
        <w:jc w:val="left"/>
        <w:rPr/>
      </w:pPr>
      <w:r>
        <w:rPr>
          <w:rFonts w:ascii="Arial;sans-serif" w:hAnsi="Arial;sans-serif"/>
          <w:b w:val="false"/>
          <w:color w:val="000000"/>
          <w:sz w:val="9"/>
        </w:rPr>
        <w:t>(2)</w:t>
      </w:r>
      <w:r>
        <w:rPr>
          <w:color w:val="000000"/>
        </w:rPr>
        <w:t>     </w:t>
      </w:r>
      <w:r>
        <w:rPr>
          <w:rFonts w:ascii="Arial;sans-serif" w:hAnsi="Arial;sans-serif"/>
          <w:b w:val="false"/>
          <w:color w:val="000000"/>
          <w:sz w:val="14"/>
        </w:rPr>
        <w:t>When a loan commitment is funded, its related liability for credit losses (which originally was recorded as a provision for unfunded commitments) is transferred to the allowance for credit losses.</w:t>
      </w:r>
    </w:p>
    <w:p>
      <w:pPr>
        <w:pStyle w:val="TextBody"/>
        <w:bidi w:val="0"/>
        <w:spacing w:lineRule="auto" w:line="288" w:before="0" w:after="0"/>
        <w:ind w:left="0" w:right="0" w:hanging="180"/>
        <w:jc w:val="left"/>
        <w:rPr/>
      </w:pPr>
      <w:r>
        <w:rPr>
          <w:rFonts w:ascii="Arial;sans-serif" w:hAnsi="Arial;sans-serif"/>
          <w:b w:val="false"/>
          <w:color w:val="000000"/>
          <w:sz w:val="9"/>
        </w:rPr>
        <w:t>(3)</w:t>
      </w:r>
      <w:r>
        <w:rPr>
          <w:color w:val="000000"/>
        </w:rPr>
        <w:t>     </w:t>
      </w:r>
      <w:r>
        <w:rPr>
          <w:rFonts w:ascii="Arial;sans-serif" w:hAnsi="Arial;sans-serif"/>
          <w:b w:val="false"/>
          <w:color w:val="000000"/>
          <w:sz w:val="14"/>
        </w:rPr>
        <w:t xml:space="preserve">The ending balance of unfunded loan commitments includes $28 million of unfunded loan commitments associated with the loans classified as held for sale at June 30, 2026. Due to the near-term timing of the loan sale and credit quality of the loans, we believe there is no risk of credit loss and are not recording an allowance for the unfunded loan commitments related to the loans classified as held for sale. </w:t>
      </w:r>
    </w:p>
    <w:p>
      <w:pPr>
        <w:pStyle w:val="TextBody"/>
        <w:bidi w:val="0"/>
        <w:spacing w:before="0" w:after="0"/>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unfunded commitments disclosed above represent the total amount of outstanding unfunded commitments at each period end. However, historically not all of these commitments are funded prior to the expiration of the commitments. We estimate the amount of commitments expected to be funded in calculating the reserve for unfunded commitments. The amount we expect to fund and use in our calculation of the reserve for unfunded commitments will change period to period based upon the loan characteristics of the underlying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6. Goodwill and Acquired Intangible Assets</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20" w:after="283"/>
        <w:ind w:left="0" w:right="0" w:firstLine="495"/>
        <w:jc w:val="left"/>
        <w:rPr/>
      </w:pPr>
      <w:r>
        <w:rPr>
          <w:rFonts w:ascii="Arial;sans-serif" w:hAnsi="Arial;sans-serif"/>
          <w:b w:val="false"/>
          <w:color w:val="000000"/>
          <w:sz w:val="20"/>
        </w:rPr>
        <w:t xml:space="preserve">We recorded as goodwill the excess of the purchase price over the estimated fair values of identifiable assets and liabilities acquired as part of the </w:t>
      </w:r>
      <w:r>
        <w:rPr>
          <w:rFonts w:ascii="Arial;sans-serif" w:hAnsi="Arial;sans-serif"/>
          <w:b w:val="false"/>
          <w:color w:val="000000"/>
          <w:sz w:val="20"/>
          <w:shd w:fill="FFFFFF" w:val="clear"/>
        </w:rPr>
        <w:t>acquisition of the assets primarily used or held for use of Epic Research Education Services, LLC, which did business as Nitro College (“Nitro”),</w:t>
      </w:r>
      <w:r>
        <w:rPr>
          <w:color w:val="000000"/>
        </w:rPr>
        <w:t xml:space="preserve"> </w:t>
      </w:r>
      <w:r>
        <w:rPr>
          <w:rFonts w:ascii="Arial;sans-serif" w:hAnsi="Arial;sans-serif"/>
          <w:b w:val="false"/>
          <w:color w:val="000000"/>
          <w:sz w:val="20"/>
        </w:rPr>
        <w:t>in the first quarter of 2022, and the acquisition of the key assets of Scholly Inc. (“Scholly”) in the third quarter of 2023. Goodwill is not amortized but is tested periodically for impairment. We test goodwill for impairment annually in the fourth quarter of the year, or more frequently if we believe that indicators of impairment exist. At both June 30, 2026 and December 31, 2025,</w:t>
      </w:r>
      <w:r>
        <w:rPr>
          <w:color w:val="000000"/>
        </w:rPr>
        <w:t xml:space="preserve"> </w:t>
      </w:r>
      <w:r>
        <w:rPr>
          <w:rFonts w:ascii="Arial;sans-serif" w:hAnsi="Arial;sans-serif"/>
          <w:b w:val="false"/>
          <w:color w:val="000000"/>
          <w:sz w:val="20"/>
        </w:rPr>
        <w:t xml:space="preserve">we had $56 million in total goodwill. See Note 2, “Significant Accounting Policies — Business Combinations” in our 2025 Form 10-K for additional details on our acquisitions of Nitro and Scholly. </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Acquired Intangible Assets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intangible assets include acquired trade names and trademarks, customer relationships, and developed technologies. We review our long-lived assets for impairment whenever events or changes in circumstances indicate that the carrying amount of such assets may not be recoverable.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Acquired intangible assets include the following: </w:t>
      </w:r>
    </w:p>
    <w:p>
      <w:pPr>
        <w:pStyle w:val="TextBody"/>
        <w:bidi w:val="0"/>
        <w:spacing w:before="100" w:after="283"/>
        <w:ind w:left="0" w:right="0" w:firstLine="495"/>
        <w:jc w:val="center"/>
        <w:rPr/>
      </w:pPr>
      <w:r>
        <w:rPr/>
      </w:r>
    </w:p>
    <w:tbl>
      <w:tblPr>
        <w:tblW w:w="10627" w:type="dxa"/>
        <w:jc w:val="center"/>
        <w:tblInd w:w="0" w:type="dxa"/>
        <w:tblLayout w:type="fixed"/>
        <w:tblCellMar>
          <w:top w:w="28" w:type="dxa"/>
          <w:left w:w="28" w:type="dxa"/>
          <w:bottom w:w="28" w:type="dxa"/>
          <w:right w:w="28" w:type="dxa"/>
        </w:tblCellMar>
      </w:tblPr>
      <w:tblGrid>
        <w:gridCol w:w="548"/>
        <w:gridCol w:w="311"/>
        <w:gridCol w:w="312"/>
        <w:gridCol w:w="109"/>
        <w:gridCol w:w="109"/>
        <w:gridCol w:w="109"/>
        <w:gridCol w:w="285"/>
        <w:gridCol w:w="285"/>
        <w:gridCol w:w="286"/>
        <w:gridCol w:w="109"/>
        <w:gridCol w:w="109"/>
        <w:gridCol w:w="109"/>
        <w:gridCol w:w="211"/>
        <w:gridCol w:w="721"/>
        <w:gridCol w:w="109"/>
        <w:gridCol w:w="109"/>
        <w:gridCol w:w="109"/>
        <w:gridCol w:w="109"/>
        <w:gridCol w:w="230"/>
        <w:gridCol w:w="805"/>
        <w:gridCol w:w="121"/>
        <w:gridCol w:w="109"/>
        <w:gridCol w:w="109"/>
        <w:gridCol w:w="109"/>
        <w:gridCol w:w="211"/>
        <w:gridCol w:w="616"/>
        <w:gridCol w:w="109"/>
        <w:gridCol w:w="109"/>
        <w:gridCol w:w="109"/>
        <w:gridCol w:w="109"/>
        <w:gridCol w:w="211"/>
        <w:gridCol w:w="721"/>
        <w:gridCol w:w="109"/>
        <w:gridCol w:w="109"/>
        <w:gridCol w:w="109"/>
        <w:gridCol w:w="109"/>
        <w:gridCol w:w="230"/>
        <w:gridCol w:w="805"/>
        <w:gridCol w:w="121"/>
        <w:gridCol w:w="109"/>
        <w:gridCol w:w="109"/>
        <w:gridCol w:w="109"/>
        <w:gridCol w:w="211"/>
        <w:gridCol w:w="61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 Average Useful Life</w:t>
            </w:r>
          </w:p>
          <w:p>
            <w:pPr>
              <w:pStyle w:val="TableContents"/>
              <w:bidi w:val="0"/>
              <w:spacing w:lineRule="auto" w:line="240" w:before="0" w:after="0"/>
              <w:jc w:val="center"/>
              <w:rPr/>
            </w:pPr>
            <w:r>
              <w:rPr>
                <w:rFonts w:ascii="Arial;sans-serif" w:hAnsi="Arial;sans-serif"/>
                <w:b/>
                <w:color w:val="144F82"/>
                <w:sz w:val="16"/>
              </w:rPr>
              <w:t>(in years)</w:t>
            </w:r>
            <w:r>
              <w:rPr>
                <w:rFonts w:ascii="Arial;sans-serif" w:hAnsi="Arial;sans-serif"/>
                <w:b/>
                <w:color w:val="144F82"/>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Net</w:t>
            </w:r>
          </w:p>
        </w:tc>
      </w:tr>
      <w:tr>
        <w:trPr/>
        <w:tc>
          <w:tcPr>
            <w:tcW w:w="117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 and trademarks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(4,404)</w:t>
            </w:r>
          </w:p>
        </w:tc>
        <w:tc>
          <w:tcPr>
            <w:tcW w:w="12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(3,649)</w:t>
            </w:r>
          </w:p>
        </w:tc>
        <w:tc>
          <w:tcPr>
            <w:tcW w:w="12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Sallie.com domain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acquired intangible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17,700 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(15,257)</w:t>
            </w:r>
          </w:p>
        </w:tc>
        <w:tc>
          <w:tcPr>
            <w:tcW w:w="1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17,700 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(13,829)</w:t>
            </w:r>
          </w:p>
        </w:tc>
        <w:tc>
          <w:tcPr>
            <w:tcW w:w="1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180"/>
        <w:jc w:val="left"/>
        <w:rPr/>
      </w:pPr>
      <w:r>
        <w:rPr>
          <w:rFonts w:ascii="Arial;sans-serif" w:hAnsi="Arial;sans-serif"/>
          <w:b w:val="false"/>
          <w:color w:val="000000"/>
          <w:sz w:val="9"/>
        </w:rPr>
        <w:t>(1)</w:t>
      </w:r>
      <w:r>
        <w:rPr>
          <w:color w:val="000000"/>
        </w:rPr>
        <w:t> </w:t>
      </w:r>
      <w:r>
        <w:rPr>
          <w:rFonts w:ascii="Arial;sans-serif" w:hAnsi="Arial;sans-serif"/>
          <w:b w:val="false"/>
          <w:color w:val="000000"/>
          <w:sz w:val="16"/>
        </w:rPr>
        <w:t>The weighted average useful life of acquired intangible assets related to the Nitro acquisition is 4.6 years and the weighted average useful life of the acquired intangible assets related to the Scholly acquisition is 4.0 years.</w:t>
      </w:r>
    </w:p>
    <w:p>
      <w:pPr>
        <w:pStyle w:val="TextBody"/>
        <w:bidi w:val="0"/>
        <w:spacing w:lineRule="auto" w:line="288" w:before="24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recorded amortization of acquired intangible assets totaling approximately $1 million in both the three and six months ended June 30, 2026 and approximately $1 million and $2 million in the three and six months ended June 30, 2025, respectively. We will continue to amortize our intangible assets with definite useful lives over their remaining estimated useful lives. We estimate amortization expense associated with these intangible assets will be approximately $3 million, $1 million, and less than $1 million in 2026, 2027, and 2028,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7. Deposits </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total deposits at June 30, 2026 and December 31, 2025.</w:t>
      </w:r>
    </w:p>
    <w:p>
      <w:pPr>
        <w:pStyle w:val="TextBody"/>
        <w:bidi w:val="0"/>
        <w:spacing w:before="100" w:after="283"/>
        <w:ind w:left="0" w:right="0" w:firstLine="495"/>
        <w:jc w:val="left"/>
        <w:rPr/>
      </w:pPr>
      <w:r>
        <w:rPr/>
      </w:r>
    </w:p>
    <w:tbl>
      <w:tblPr>
        <w:tblW w:w="6156" w:type="dxa"/>
        <w:jc w:val="center"/>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1081"/>
        <w:gridCol w:w="109"/>
        <w:gridCol w:w="109"/>
        <w:gridCol w:w="109"/>
        <w:gridCol w:w="109"/>
        <w:gridCol w:w="211"/>
        <w:gridCol w:w="108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65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interest-bearing</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19,894,290 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non-interest-bearing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19,894,501 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Our total deposits of $19.9 billion were comprised of $8.2 billion in brokered deposits and $11.6 billion in retail and other deposits at June 30, 2026, compared to total deposits of $21.1 billion, which were comprised of $8.8 billion in brokered deposits and $12.3 billion in retail and other deposits, at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Interest-bearing deposits as of June 30, 2026 and December 31, 2025 consisted of retail and brokered non-maturity savings deposits, retail and brokered non-maturity money market deposits (“MMDAs”), and retail and brokered certificates of deposit (“CDs”). Interest-bearing deposits also include deposits from Educational 529 and Health Savings plans that diversify our funding sources and that we consider to be core. These and other large omnibus accounts, aggregating the deposits of many individual depositors, represented $6.8 billion and $7.6 billion of our deposit total as of June 30, 2026 and December 31, 2025, respectively. The omnibus accounts are structured in such a way that entitles the individual depositor pass-through deposit insurance (subject to Federal Deposit Insurance Corporation (“FDIC”) rules and limitations), and the majority of these deposits have contractual minimum balances and maturity terms.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Some of our deposit products are serviced by third-party providers. Placement fees associated with the brokered CDs are amortized into interest expense using the effective interest rate method. We recognized placement fee expense of $2 million in both the three months ended June 30, 2026 and 2025, and placement fee expense of $4 million in both the six months ended June 30, 2026 and 2025. There were no fees paid to third-party brokers related to brokered CDs for the three months ended June 30, 2026 and $5 million in fees paid to third-party brokers related to brokered CDs for the six months ended June 30, 2026. There were no fees paid to third-party brokers related to brokered CDs for either the three or six months ended June 30,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bearing deposits at June 30, 2026 and December 31, 2025 are summarized as follows:</w:t>
      </w:r>
    </w:p>
    <w:p>
      <w:pPr>
        <w:pStyle w:val="TextBody"/>
        <w:bidi w:val="0"/>
        <w:spacing w:lineRule="auto" w:line="288" w:before="180" w:after="283"/>
        <w:jc w:val="center"/>
        <w:rPr>
          <w:color w:val="000000"/>
        </w:rPr>
      </w:pPr>
      <w:r>
        <w:rPr>
          <w:color w:val="000000"/>
        </w:rPr>
        <w:t> </w:t>
      </w:r>
    </w:p>
    <w:tbl>
      <w:tblPr>
        <w:tblW w:w="8854" w:type="dxa"/>
        <w:jc w:val="center"/>
        <w:tblInd w:w="0" w:type="dxa"/>
        <w:tblLayout w:type="fixed"/>
        <w:tblCellMar>
          <w:top w:w="28" w:type="dxa"/>
          <w:left w:w="28" w:type="dxa"/>
          <w:bottom w:w="28" w:type="dxa"/>
          <w:right w:w="28" w:type="dxa"/>
        </w:tblCellMar>
      </w:tblPr>
      <w:tblGrid>
        <w:gridCol w:w="862"/>
        <w:gridCol w:w="760"/>
        <w:gridCol w:w="762"/>
        <w:gridCol w:w="109"/>
        <w:gridCol w:w="109"/>
        <w:gridCol w:w="109"/>
        <w:gridCol w:w="211"/>
        <w:gridCol w:w="1081"/>
        <w:gridCol w:w="109"/>
        <w:gridCol w:w="109"/>
        <w:gridCol w:w="109"/>
        <w:gridCol w:w="109"/>
        <w:gridCol w:w="255"/>
        <w:gridCol w:w="256"/>
        <w:gridCol w:w="634"/>
        <w:gridCol w:w="109"/>
        <w:gridCol w:w="109"/>
        <w:gridCol w:w="109"/>
        <w:gridCol w:w="211"/>
        <w:gridCol w:w="1081"/>
        <w:gridCol w:w="109"/>
        <w:gridCol w:w="109"/>
        <w:gridCol w:w="109"/>
        <w:gridCol w:w="109"/>
        <w:gridCol w:w="255"/>
        <w:gridCol w:w="256"/>
        <w:gridCol w:w="70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Qtr.-End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 xml:space="preserve">Average </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Year-End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r>
      <w:tr>
        <w:trPr/>
        <w:tc>
          <w:tcPr>
            <w:tcW w:w="238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9,105,154 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6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10,004,845 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70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9,262,730 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6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70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Deposits - interest 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19,894,290 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left"/>
        <w:rPr/>
      </w:pPr>
      <w:r>
        <w:rPr>
          <w:color w:val="000000"/>
        </w:rPr>
        <w:t>    </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effect of interest rate swaps in effective hedge relationships.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34</w:t>
                      </w:r>
                    </w:p>
                  </w:txbxContent>
                </v:textbox>
                <w10:wrap type="none"/>
              </v:rect>
            </w:pict>
          </mc:Fallback>
        </mc:AlternateContent>
      </w:r>
    </w:p>
    <w:p>
      <w:pPr>
        <w:pStyle w:val="TextBody"/>
        <w:bidi w:val="0"/>
        <w:spacing w:before="0" w:after="0"/>
        <w:jc w:val="left"/>
        <w:rPr/>
      </w:pPr>
      <w:r>
        <w:rPr/>
      </w:r>
    </w:p>
    <w:tbl>
      <w:tblPr>
        <w:tblW w:w="2768" w:type="dxa"/>
        <w:jc w:val="center"/>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7.</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Deposits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Certificates of deposit remaining maturities are summarized as follows:</w:t>
      </w:r>
    </w:p>
    <w:tbl>
      <w:tblPr>
        <w:tblW w:w="5579" w:type="dxa"/>
        <w:jc w:val="center"/>
        <w:tblInd w:w="0" w:type="dxa"/>
        <w:tblLayout w:type="fixed"/>
        <w:tblCellMar>
          <w:top w:w="28" w:type="dxa"/>
          <w:left w:w="28" w:type="dxa"/>
          <w:bottom w:w="28" w:type="dxa"/>
          <w:right w:w="28" w:type="dxa"/>
        </w:tblCellMar>
      </w:tblPr>
      <w:tblGrid>
        <w:gridCol w:w="727"/>
        <w:gridCol w:w="640"/>
        <w:gridCol w:w="642"/>
        <w:gridCol w:w="109"/>
        <w:gridCol w:w="109"/>
        <w:gridCol w:w="109"/>
        <w:gridCol w:w="211"/>
        <w:gridCol w:w="976"/>
        <w:gridCol w:w="109"/>
        <w:gridCol w:w="109"/>
        <w:gridCol w:w="109"/>
        <w:gridCol w:w="109"/>
        <w:gridCol w:w="255"/>
        <w:gridCol w:w="1179"/>
        <w:gridCol w:w="186"/>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78A1"/>
                <w:sz w:val="16"/>
              </w:rPr>
            </w:pPr>
            <w:r>
              <w:rPr>
                <w:rFonts w:ascii="Arial;sans-serif" w:hAnsi="Arial;sans-serif"/>
                <w:b/>
                <w:color w:val="5078A1"/>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78A1"/>
                <w:sz w:val="16"/>
              </w:rPr>
            </w:pPr>
            <w:r>
              <w:rPr>
                <w:rFonts w:ascii="Arial;sans-serif" w:hAnsi="Arial;sans-serif"/>
                <w:b/>
                <w:color w:val="5078A1"/>
                <w:sz w:val="16"/>
              </w:rPr>
              <w:t>December 31, 2025</w:t>
            </w:r>
          </w:p>
        </w:tc>
      </w:tr>
      <w:tr>
        <w:trPr/>
        <w:tc>
          <w:tcPr>
            <w:tcW w:w="200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 year or less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4,645,153 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5,709,977 </w:t>
            </w:r>
          </w:p>
        </w:tc>
        <w:tc>
          <w:tcPr>
            <w:tcW w:w="18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1,841,311 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two to three years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783,521 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710,978 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three to four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723,186 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four to five years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1,540,936 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892,492 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9,262,730 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8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June 30, 2026 and December 31, 2025, certificates of deposits included $1.3 billion and $1.2 billion, respectively, of those in denominations that met or exceeded FDIC insurance limits. Accrued interest on deposits was $70 million and $71 million at June 30, 2026 and December 31, 2025, respectively.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8. Borrowings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Outstanding borrowings consist of unsecured debt and secured borrowings issued through our term asset-backed securities (“ABS”) program and our Private Education Loan multi-lender secured borrowing facility (the “Secured Borrowing Facility”). For additional information regarding our borrowings, see Note 11, “Borrowings” in our 2025 Form 10-K. The following table summarizes our borrowings at June 30, 2026 and December 31, 2025. </w:t>
      </w:r>
    </w:p>
    <w:p>
      <w:pPr>
        <w:pStyle w:val="TextBody"/>
        <w:bidi w:val="0"/>
        <w:spacing w:before="100" w:after="283"/>
        <w:ind w:left="0" w:right="0" w:firstLine="495"/>
        <w:jc w:val="left"/>
        <w:rPr/>
      </w:pPr>
      <w:r>
        <w:rPr/>
      </w:r>
    </w:p>
    <w:tbl>
      <w:tblPr>
        <w:tblW w:w="10634" w:type="dxa"/>
        <w:jc w:val="center"/>
        <w:tblInd w:w="0" w:type="dxa"/>
        <w:tblLayout w:type="fixed"/>
        <w:tblCellMar>
          <w:top w:w="28" w:type="dxa"/>
          <w:left w:w="28" w:type="dxa"/>
          <w:bottom w:w="28" w:type="dxa"/>
          <w:right w:w="28" w:type="dxa"/>
        </w:tblCellMar>
      </w:tblPr>
      <w:tblGrid>
        <w:gridCol w:w="668"/>
        <w:gridCol w:w="311"/>
        <w:gridCol w:w="312"/>
        <w:gridCol w:w="109"/>
        <w:gridCol w:w="109"/>
        <w:gridCol w:w="109"/>
        <w:gridCol w:w="292"/>
        <w:gridCol w:w="562"/>
        <w:gridCol w:w="152"/>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Unsecured borrowings: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debt (fixed-rate)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unsecured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Secured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 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 term securitizations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secured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5,844,116 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5,844,116 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5,860,909 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120" w:after="60"/>
        <w:jc w:val="left"/>
        <w:rPr>
          <w:rFonts w:ascii="Arial;sans-serif" w:hAnsi="Arial;sans-serif"/>
          <w:b/>
          <w:i/>
          <w:color w:val="000000"/>
          <w:sz w:val="20"/>
        </w:rPr>
      </w:pPr>
      <w:r>
        <w:rPr>
          <w:rFonts w:ascii="Arial;sans-serif" w:hAnsi="Arial;sans-serif"/>
          <w:b/>
          <w:i/>
          <w:color w:val="000000"/>
          <w:sz w:val="20"/>
        </w:rPr>
        <w:t>Long-term Borrowings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Unsecured Borrowings Transactions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January 31, 2025, we issued $500 million of 6.50 percent unsecured Senior Notes due January 31, 2030 (the “2030 Senior Notes”), at a price of 99.78 percent. At June 30, 2026, the outstanding carrying value, net of deferred financing fees, was $494 million.</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February 18, 2025, we redeemed $500 million of the 4.20 percent unsecured Senior Notes due October 29, 2025 (the “2025 Senior Notes”). The 2025 Senior Notes were redeemed at 100 percent of their principal amount, plus the accrued and unpaid interest thereon through the redemption date. As a result of the redemption, we recognized a $1 million loss on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712" w:type="dxa"/>
        <w:jc w:val="center"/>
        <w:tblInd w:w="0" w:type="dxa"/>
        <w:tblLayout w:type="fixed"/>
        <w:tblCellMar>
          <w:top w:w="28" w:type="dxa"/>
          <w:left w:w="28" w:type="dxa"/>
          <w:bottom w:w="28" w:type="dxa"/>
          <w:right w:w="28" w:type="dxa"/>
        </w:tblCellMar>
      </w:tblPr>
      <w:tblGrid>
        <w:gridCol w:w="124"/>
        <w:gridCol w:w="109"/>
        <w:gridCol w:w="109"/>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Borrowings (Continued)</w:t>
            </w:r>
          </w:p>
        </w:tc>
      </w:tr>
    </w:tbl>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15, 2026, we issued $500 million of 6.495 percent unsecured Senior Notes due May 15, 2032 (the “2032 Senior Notes”), at a price of 100 percent. At June 30, 2026, the outstanding carrying value, net of deferred financing fees, was $494 million.</w:t>
      </w:r>
    </w:p>
    <w:p>
      <w:pPr>
        <w:pStyle w:val="TextBody"/>
        <w:bidi w:val="0"/>
        <w:spacing w:lineRule="auto" w:line="288" w:before="120" w:after="283"/>
        <w:ind w:left="0" w:right="0" w:firstLine="495"/>
        <w:jc w:val="left"/>
        <w:rPr>
          <w:rFonts w:ascii="Arial;sans-serif" w:hAnsi="Arial;sans-serif"/>
          <w:b w:val="false"/>
          <w:i/>
          <w:color w:val="000000"/>
          <w:sz w:val="20"/>
        </w:rPr>
      </w:pPr>
      <w:r>
        <w:rPr>
          <w:rFonts w:ascii="Arial;sans-serif" w:hAnsi="Arial;sans-serif"/>
          <w:b w:val="false"/>
          <w:i/>
          <w:color w:val="000000"/>
          <w:sz w:val="20"/>
        </w:rPr>
        <w:t xml:space="preserve">Tender Offer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12, 2026, we completed a cash tender offer for any and all of the $500 million of 3.125 percent unsecured Senior Notes due November 2, 2026 (the “2026 Senior Notes”), which was made concurrently with the offerings of the 2032 Senior Notes (the “Tender Offer”). We paid an aggregate consideration of $447 million in the Tender Offer to repurchase $448 million principal amount of the 2026 Senior Notes at a repurchase price equal to 99.58 percent of the principal amount plus accrued and unpaid interest. The repurchase of the 2026 Senior Notes accepted for purchase in the Tender Offer was accounted as a debt extinguishment.</w:t>
      </w:r>
    </w:p>
    <w:p>
      <w:pPr>
        <w:pStyle w:val="TextBody"/>
        <w:bidi w:val="0"/>
        <w:spacing w:lineRule="auto" w:line="288" w:before="120" w:after="120"/>
        <w:ind w:left="0" w:right="0" w:firstLine="495"/>
        <w:jc w:val="left"/>
        <w:rPr>
          <w:rFonts w:ascii="Arial;sans-serif" w:hAnsi="Arial;sans-serif"/>
          <w:b w:val="false"/>
          <w:i/>
          <w:color w:val="000000"/>
          <w:sz w:val="20"/>
        </w:rPr>
      </w:pPr>
      <w:r>
        <w:rPr>
          <w:rFonts w:ascii="Arial;sans-serif" w:hAnsi="Arial;sans-serif"/>
          <w:b w:val="false"/>
          <w:i/>
          <w:color w:val="000000"/>
          <w:sz w:val="20"/>
        </w:rPr>
        <w:t>Satisfaction and Discharge of 2026 Senior Notes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15, 2026, we irrevocably deposited funds with the 2026 Senior Notes’ trustee that were used to purchase a sufficient amount of U.S. government obligations to satisfy and discharge the indenture governing the 2026 Senior Notes, fund the payment of accrued and unpaid interest on the remaining $52 million principal amount of the 2026 Senior Notes as it becomes due, and fund the principal amount of those 2026 Senior Notes on their November 2, 2026 maturity date. The U.S. government obligations were purchased using a portion of the net proceeds from the offering of the 2032 Senior Notes. After the deposit of such funds with the trustee, our obligations under the 2026 Senior Notes indenture were satisfied and discharged and the transaction was accounted for as a debt extinguishment.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a result of the debt extinguishment of the 2026 Senior Notes, we recognized a gain of less than $1 million on the transactions described above.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Secured Borrowings Transactions</w:t>
      </w:r>
    </w:p>
    <w:p>
      <w:pPr>
        <w:pStyle w:val="TextBody"/>
        <w:bidi w:val="0"/>
        <w:spacing w:lineRule="auto" w:line="276"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term ABS fundings issued in the year ended December 31, 2025 and in the six months ended June 30, 2026, in which we retained 100 percent of the residual class certificates and which are collateralized by pools of Private Education Loans. The transfer of these loans did not qualify for sale treatment and thus remain encumbered on our consolidated balance sheet.</w:t>
      </w:r>
    </w:p>
    <w:tbl>
      <w:tblPr>
        <w:tblW w:w="10205" w:type="dxa"/>
        <w:jc w:val="center"/>
        <w:tblInd w:w="0" w:type="dxa"/>
        <w:tblLayout w:type="fixed"/>
        <w:tblCellMar>
          <w:top w:w="28" w:type="dxa"/>
          <w:left w:w="28" w:type="dxa"/>
          <w:bottom w:w="28" w:type="dxa"/>
          <w:right w:w="28" w:type="dxa"/>
        </w:tblCellMar>
      </w:tblPr>
      <w:tblGrid>
        <w:gridCol w:w="610"/>
        <w:gridCol w:w="426"/>
        <w:gridCol w:w="429"/>
        <w:gridCol w:w="119"/>
        <w:gridCol w:w="119"/>
        <w:gridCol w:w="119"/>
        <w:gridCol w:w="281"/>
        <w:gridCol w:w="281"/>
        <w:gridCol w:w="282"/>
        <w:gridCol w:w="109"/>
        <w:gridCol w:w="109"/>
        <w:gridCol w:w="109"/>
        <w:gridCol w:w="213"/>
        <w:gridCol w:w="836"/>
        <w:gridCol w:w="110"/>
        <w:gridCol w:w="109"/>
        <w:gridCol w:w="109"/>
        <w:gridCol w:w="109"/>
        <w:gridCol w:w="211"/>
        <w:gridCol w:w="826"/>
        <w:gridCol w:w="109"/>
        <w:gridCol w:w="109"/>
        <w:gridCol w:w="109"/>
        <w:gridCol w:w="109"/>
        <w:gridCol w:w="217"/>
        <w:gridCol w:w="853"/>
        <w:gridCol w:w="112"/>
        <w:gridCol w:w="109"/>
        <w:gridCol w:w="109"/>
        <w:gridCol w:w="109"/>
        <w:gridCol w:w="400"/>
        <w:gridCol w:w="400"/>
        <w:gridCol w:w="402"/>
        <w:gridCol w:w="109"/>
        <w:gridCol w:w="109"/>
        <w:gridCol w:w="109"/>
        <w:gridCol w:w="353"/>
        <w:gridCol w:w="353"/>
        <w:gridCol w:w="509"/>
      </w:tblGrid>
      <w:tr>
        <w:trPr/>
        <w:tc>
          <w:tcPr>
            <w:tcW w:w="61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SMB Private Education</w:t>
              <w:br/>
              <w:t>Loan Trust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Date Closed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Loans</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Transferred to</w:t>
            </w:r>
          </w:p>
          <w:p>
            <w:pPr>
              <w:pStyle w:val="TableContents"/>
              <w:bidi w:val="0"/>
              <w:spacing w:lineRule="auto" w:line="240" w:before="0" w:after="0"/>
              <w:jc w:val="center"/>
              <w:rPr/>
            </w:pPr>
            <w:r>
              <w:rPr>
                <w:rFonts w:ascii="Arial;sans-serif" w:hAnsi="Arial;sans-serif"/>
                <w:b/>
                <w:color w:val="144F82"/>
                <w:sz w:val="16"/>
              </w:rPr>
              <w:t>the Trust</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Notes</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 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Weighted Average Cost of Funds</w:t>
            </w:r>
            <w:r>
              <w:rPr>
                <w:rFonts w:ascii="Arial;sans-serif" w:hAnsi="Arial;sans-serif"/>
                <w:b/>
                <w:color w:val="144F82"/>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Weighted Average Life of Notes</w:t>
              <w:br/>
              <w:t> (in years)</w:t>
            </w:r>
          </w:p>
        </w:tc>
      </w:tr>
      <w:tr>
        <w:trPr/>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2025-A ABS Transaction</w:t>
            </w:r>
          </w:p>
        </w:tc>
        <w:tc>
          <w:tcPr>
            <w:tcW w:w="35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7, 2025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576,908 </w:t>
            </w:r>
          </w:p>
        </w:tc>
        <w:tc>
          <w:tcPr>
            <w:tcW w:w="1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539,000 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538,889 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1.49%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5.46</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2025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576,908 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538,889 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encumbered at June 30, 2026, related to 2025 term ABS: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513,140 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2026-A ABS Transaction</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649,813 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5.64</w:t>
            </w:r>
          </w:p>
        </w:tc>
      </w:tr>
      <w:tr>
        <w:trPr/>
        <w:tc>
          <w:tcPr>
            <w:tcW w:w="14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2026</w:t>
            </w:r>
          </w:p>
        </w:tc>
        <w:tc>
          <w:tcPr>
            <w:tcW w:w="35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649,813 </w:t>
            </w:r>
          </w:p>
        </w:tc>
        <w:tc>
          <w:tcPr>
            <w:tcW w:w="11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618,000 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617,781 </w:t>
            </w:r>
          </w:p>
        </w:tc>
        <w:tc>
          <w:tcPr>
            <w:tcW w:w="11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9"/>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encumbered at June 30, 2026, related to 2026 term ABS: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632,214 </w:t>
            </w:r>
          </w:p>
        </w:tc>
        <w:tc>
          <w:tcPr>
            <w:tcW w:w="11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ind w:left="0" w:right="0" w:firstLine="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Represents principal and capitalized interest. </w:t>
      </w:r>
    </w:p>
    <w:p>
      <w:pPr>
        <w:pStyle w:val="TextBody"/>
        <w:bidi w:val="0"/>
        <w:spacing w:lineRule="auto" w:line="288" w:before="0" w:after="60"/>
        <w:ind w:left="0" w:right="0" w:firstLine="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Represents SOFR equivalent cost of funds for variable and fixed-rate bonds, excluding issuance costs.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Secured Borrowing Facility</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June 13, 2025, we amended our Secured Borrowing Facility to increase the amount to be borrowed under the facility from $2 billion to $2.5 billion and extended the maturity. We hold 100 percent of the residual interest in the Secured Borrowing Facility Trust. The amendment extended the revolving period until June 12, 2026, and a subsequent amendment on June 12, 2026 further extended the revolving period to July 27, 2026. The scheduled amortization period, during which amounts outstanding under the Secured Borrowing Facility must be repaid, ends on June 12, 2027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712" w:type="dxa"/>
        <w:jc w:val="center"/>
        <w:tblInd w:w="0" w:type="dxa"/>
        <w:tblLayout w:type="fixed"/>
        <w:tblCellMar>
          <w:top w:w="28" w:type="dxa"/>
          <w:left w:w="28" w:type="dxa"/>
          <w:bottom w:w="28" w:type="dxa"/>
          <w:right w:w="28" w:type="dxa"/>
        </w:tblCellMar>
      </w:tblPr>
      <w:tblGrid>
        <w:gridCol w:w="124"/>
        <w:gridCol w:w="109"/>
        <w:gridCol w:w="109"/>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Borrowings (Continued)</w:t>
            </w:r>
          </w:p>
        </w:tc>
      </w:tr>
    </w:tbl>
    <w:p>
      <w:pPr>
        <w:pStyle w:val="TextBody"/>
        <w:bidi w:val="0"/>
        <w:spacing w:lineRule="auto" w:line="288" w:before="100" w:after="60"/>
        <w:jc w:val="left"/>
        <w:rPr>
          <w:rFonts w:ascii="Arial;sans-serif" w:hAnsi="Arial;sans-serif"/>
          <w:b w:val="false"/>
          <w:color w:val="000000"/>
          <w:sz w:val="20"/>
        </w:rPr>
      </w:pPr>
      <w:r>
        <w:rPr>
          <w:rFonts w:ascii="Arial;sans-serif" w:hAnsi="Arial;sans-serif"/>
          <w:b w:val="false"/>
          <w:color w:val="000000"/>
          <w:sz w:val="20"/>
        </w:rPr>
        <w:t>earlier, if certain material adverse events occur). The one-year revolving period plus the one-year amortization period results in a contractual maturity that is two years from the date of inception or renewal. At both June 30, 2026 and December 31, 2025, there were no outstanding borrowings under the Secured Borrowing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Funding Vehicles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consolidate our financing entities that are VIEs as a result of our being the entities’ primary beneficiary. As a result, these financing VIEs are accounted for as secured borrowings. </w:t>
      </w:r>
    </w:p>
    <w:tbl>
      <w:tblPr>
        <w:tblW w:w="12107" w:type="dxa"/>
        <w:jc w:val="left"/>
        <w:tblInd w:w="0" w:type="dxa"/>
        <w:tblLayout w:type="fixed"/>
        <w:tblCellMar>
          <w:top w:w="28" w:type="dxa"/>
          <w:left w:w="28" w:type="dxa"/>
          <w:bottom w:w="28" w:type="dxa"/>
          <w:right w:w="28" w:type="dxa"/>
        </w:tblCellMar>
      </w:tblPr>
      <w:tblGrid>
        <w:gridCol w:w="668"/>
        <w:gridCol w:w="311"/>
        <w:gridCol w:w="312"/>
        <w:gridCol w:w="109"/>
        <w:gridCol w:w="109"/>
        <w:gridCol w:w="109"/>
        <w:gridCol w:w="292"/>
        <w:gridCol w:w="562"/>
        <w:gridCol w:w="15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June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Carrying Amount of Net Assets Securing Debt Outstanding</w:t>
            </w:r>
          </w:p>
        </w:tc>
      </w:tr>
      <w:tr>
        <w:trPr/>
        <w:tc>
          <w:tcPr>
            <w:tcW w:w="12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Restricted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Other Assets,</w:t>
            </w:r>
          </w:p>
          <w:p>
            <w:pPr>
              <w:pStyle w:val="TableContents"/>
              <w:bidi w:val="0"/>
              <w:spacing w:lineRule="auto" w:line="240" w:before="0" w:after="0"/>
              <w:jc w:val="center"/>
              <w:rPr/>
            </w:pPr>
            <w:r>
              <w:rPr>
                <w:rFonts w:ascii="Arial;sans-serif" w:hAnsi="Arial;sans-serif"/>
                <w:b/>
                <w:color w:val="144F82"/>
                <w:sz w:val="16"/>
              </w:rPr>
              <w:t>Net</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w:t>
              <w:br/>
              <w:t>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6,220,983 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174,852 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401,067 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6,796,902 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w:t>
              <w:b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6,220,983 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174,852 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401,067 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6,796,902 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2107" w:type="dxa"/>
        <w:jc w:val="left"/>
        <w:tblInd w:w="0" w:type="dxa"/>
        <w:tblLayout w:type="fixed"/>
        <w:tblCellMar>
          <w:top w:w="28" w:type="dxa"/>
          <w:left w:w="28" w:type="dxa"/>
          <w:bottom w:w="28" w:type="dxa"/>
          <w:right w:w="28" w:type="dxa"/>
        </w:tblCellMar>
      </w:tblPr>
      <w:tblGrid>
        <w:gridCol w:w="535"/>
        <w:gridCol w:w="377"/>
        <w:gridCol w:w="379"/>
        <w:gridCol w:w="109"/>
        <w:gridCol w:w="109"/>
        <w:gridCol w:w="109"/>
        <w:gridCol w:w="292"/>
        <w:gridCol w:w="562"/>
        <w:gridCol w:w="15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December 31, 2025</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Carrying Amount of Net Assets Securing Debt Outstanding</w:t>
            </w:r>
          </w:p>
        </w:tc>
      </w:tr>
      <w:tr>
        <w:trPr/>
        <w:tc>
          <w:tcPr>
            <w:tcW w:w="12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Restricted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Other Assets,</w:t>
            </w:r>
          </w:p>
          <w:p>
            <w:pPr>
              <w:pStyle w:val="TableContents"/>
              <w:bidi w:val="0"/>
              <w:spacing w:lineRule="auto" w:line="240" w:before="0" w:after="0"/>
              <w:jc w:val="center"/>
              <w:rPr/>
            </w:pPr>
            <w:r>
              <w:rPr>
                <w:rFonts w:ascii="Arial;sans-serif" w:hAnsi="Arial;sans-serif"/>
                <w:b/>
                <w:color w:val="144F82"/>
                <w:sz w:val="16"/>
              </w:rPr>
              <w:t>Net</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w:t>
              <w:br/>
              <w:t>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6,249,064 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6,803,997 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w:t>
              <w:b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6,249,064 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177,260 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378,997 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6,805,321 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Other assets, net primarily represents accrued interest receivable and payable. </w:t>
      </w:r>
    </w:p>
    <w:p>
      <w:pPr>
        <w:pStyle w:val="TextBody"/>
        <w:bidi w:val="0"/>
        <w:spacing w:before="0" w:after="0"/>
        <w:ind w:left="0" w:right="0" w:hanging="180"/>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712" w:type="dxa"/>
        <w:jc w:val="center"/>
        <w:tblInd w:w="0" w:type="dxa"/>
        <w:tblLayout w:type="fixed"/>
        <w:tblCellMar>
          <w:top w:w="28" w:type="dxa"/>
          <w:left w:w="28" w:type="dxa"/>
          <w:bottom w:w="28" w:type="dxa"/>
          <w:right w:w="28" w:type="dxa"/>
        </w:tblCellMar>
      </w:tblPr>
      <w:tblGrid>
        <w:gridCol w:w="124"/>
        <w:gridCol w:w="109"/>
        <w:gridCol w:w="109"/>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Borrowings (Continued)</w:t>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Unconsolidated Funding Vehicles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Private Education Loan Securitizations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Unconsolidated VIEs include variable interests that we hold in certain securitization trusts created by the sale of our Private Education Loans to unaffiliated third parties. We remained the servicer of these loans pursuant to applicable servicing agreements executed in connection with the sales, and we are also the administrator of these trusts. Additionally, we own five percent of the securities issued by the trusts, as a vertical interest, to meet risk retention requirements. We were not required to consolidate these entities because the fees we receive as the servicer/administrator are commensurate with our responsibility, so the fees are not considered a variable interest. Additionally, the five percent vertical interest we maintain does not absorb more than an insignificant amount of the VIE’s expected losses, nor do we receive more than an insignificant amount of the VIE’s expected residual returns. We classified those vertical risk retention interests related to securitization transactions as available-for-sale investments, except for the interest in the residual class, which we classified as trading investments recorded at fair value with changes recorded through earnings. The following summarizes our Private Education Loan ABS transactions closed in the six months ended June 30, 2026 where the respective VIEs were not consolidated. </w:t>
      </w:r>
    </w:p>
    <w:tbl>
      <w:tblPr>
        <w:tblW w:w="10205" w:type="dxa"/>
        <w:jc w:val="center"/>
        <w:tblInd w:w="0" w:type="dxa"/>
        <w:tblLayout w:type="fixed"/>
        <w:tblCellMar>
          <w:top w:w="28" w:type="dxa"/>
          <w:left w:w="28" w:type="dxa"/>
          <w:bottom w:w="28" w:type="dxa"/>
          <w:right w:w="28" w:type="dxa"/>
        </w:tblCellMar>
      </w:tblPr>
      <w:tblGrid>
        <w:gridCol w:w="611"/>
        <w:gridCol w:w="448"/>
        <w:gridCol w:w="451"/>
        <w:gridCol w:w="268"/>
        <w:gridCol w:w="268"/>
        <w:gridCol w:w="270"/>
        <w:gridCol w:w="329"/>
        <w:gridCol w:w="1523"/>
        <w:gridCol w:w="170"/>
        <w:gridCol w:w="694"/>
        <w:gridCol w:w="694"/>
        <w:gridCol w:w="696"/>
        <w:gridCol w:w="375"/>
        <w:gridCol w:w="1284"/>
        <w:gridCol w:w="194"/>
        <w:gridCol w:w="413"/>
        <w:gridCol w:w="1208"/>
        <w:gridCol w:w="309"/>
      </w:tblGrid>
      <w:tr>
        <w:trPr/>
        <w:tc>
          <w:tcPr>
            <w:tcW w:w="6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SMB Private Education Loan Trust</w:t>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Date Closed</w:t>
            </w:r>
          </w:p>
        </w:tc>
        <w:tc>
          <w:tcPr>
            <w:tcW w:w="2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Loans Transferred to the Trust by Third-Party Seller</w:t>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Date Third-Party Seller Previously Purchased Loans from the Bank</w:t>
            </w:r>
          </w:p>
        </w:tc>
        <w:tc>
          <w:tcPr>
            <w:tcW w:w="1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34F82"/>
                <w:sz w:val="16"/>
              </w:rPr>
              <w:t>Additional Loans the Bank Transferred to the Trust</w:t>
            </w:r>
            <w:r>
              <w:rPr>
                <w:rFonts w:ascii="Arial;sans-serif" w:hAnsi="Arial;sans-serif"/>
                <w:b/>
                <w:color w:val="134F82"/>
                <w:sz w:val="10"/>
              </w:rPr>
              <w:t>(1)</w:t>
            </w:r>
          </w:p>
        </w:tc>
        <w:tc>
          <w:tcPr>
            <w:tcW w:w="1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Gain on Sale for Additional Loans Transferred by Bank</w:t>
            </w:r>
          </w:p>
        </w:tc>
      </w:tr>
      <w:tr>
        <w:trPr/>
        <w:tc>
          <w:tcPr>
            <w:tcW w:w="1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4"/>
              </w:rPr>
            </w:pPr>
            <w:r>
              <w:rPr>
                <w:rFonts w:ascii="Arial;sans-serif" w:hAnsi="Arial;sans-serif"/>
                <w:b/>
                <w:color w:val="134F82"/>
                <w:sz w:val="14"/>
              </w:rPr>
              <w:t>(Dollars in thousands)</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2026-B ABS transaction</w:t>
            </w:r>
            <w:r>
              <w:rPr>
                <w:rFonts w:ascii="Arial;sans-serif" w:hAnsi="Arial;sans-serif"/>
                <w:b w:val="false"/>
                <w:color w:val="000000"/>
                <w:sz w:val="12"/>
              </w:rPr>
              <w:t>(2)</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2026</w:t>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1,364,421 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6, 2025</w:t>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6,031 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2026-C ABS transaction</w:t>
            </w:r>
            <w:r>
              <w:rPr>
                <w:rFonts w:ascii="Arial;sans-serif" w:hAnsi="Arial;sans-serif"/>
                <w:b w:val="false"/>
                <w:color w:val="000000"/>
                <w:sz w:val="12"/>
              </w:rPr>
              <w:t>(2)</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15, 2026</w:t>
            </w:r>
          </w:p>
        </w:tc>
        <w:tc>
          <w:tcPr>
            <w:tcW w:w="1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2,037,435 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2026</w:t>
            </w:r>
          </w:p>
        </w:tc>
        <w:tc>
          <w:tcPr>
            <w:tcW w:w="16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The transfer of such additional loans qualified for sale treatment and removed these loans from our balance sheet on the settlement date of the transaction.</w:t>
      </w:r>
    </w:p>
    <w:p>
      <w:pPr>
        <w:pStyle w:val="TextBody"/>
        <w:bidi w:val="0"/>
        <w:spacing w:lineRule="auto" w:line="288" w:before="18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Sallie Mae Bank sponsored the transaction and is the servicer and administrator.</w:t>
      </w:r>
    </w:p>
    <w:p>
      <w:pPr>
        <w:pStyle w:val="TextBody"/>
        <w:bidi w:val="0"/>
        <w:spacing w:before="100" w:after="283"/>
        <w:ind w:left="0" w:right="0" w:firstLine="495"/>
        <w:jc w:val="left"/>
        <w:rPr/>
      </w:pPr>
      <w:r>
        <w:rPr/>
      </w:r>
    </w:p>
    <w:p>
      <w:pPr>
        <w:pStyle w:val="TextBody"/>
        <w:bidi w:val="0"/>
        <w:spacing w:lineRule="auto" w:line="276" w:before="160" w:after="180"/>
        <w:ind w:left="0" w:right="0" w:firstLine="495"/>
        <w:jc w:val="left"/>
        <w:rPr>
          <w:rFonts w:ascii="Arial;sans-serif" w:hAnsi="Arial;sans-serif"/>
          <w:b w:val="false"/>
          <w:color w:val="000000"/>
          <w:sz w:val="20"/>
        </w:rPr>
      </w:pPr>
      <w:r>
        <w:rPr>
          <w:rFonts w:ascii="Arial;sans-serif" w:hAnsi="Arial;sans-serif"/>
          <w:b w:val="false"/>
          <w:color w:val="000000"/>
          <w:sz w:val="20"/>
        </w:rPr>
        <w:t>The table below provides a summary of our exposure related to our unconsolidated VIEs.</w:t>
      </w:r>
    </w:p>
    <w:tbl>
      <w:tblPr>
        <w:tblW w:w="10205" w:type="dxa"/>
        <w:jc w:val="center"/>
        <w:tblInd w:w="0" w:type="dxa"/>
        <w:tblLayout w:type="fixed"/>
        <w:tblCellMar>
          <w:top w:w="28" w:type="dxa"/>
          <w:left w:w="28" w:type="dxa"/>
          <w:bottom w:w="28" w:type="dxa"/>
          <w:right w:w="28" w:type="dxa"/>
        </w:tblCellMar>
      </w:tblPr>
      <w:tblGrid>
        <w:gridCol w:w="667"/>
        <w:gridCol w:w="430"/>
        <w:gridCol w:w="337"/>
        <w:gridCol w:w="109"/>
        <w:gridCol w:w="109"/>
        <w:gridCol w:w="109"/>
        <w:gridCol w:w="213"/>
        <w:gridCol w:w="834"/>
        <w:gridCol w:w="110"/>
        <w:gridCol w:w="109"/>
        <w:gridCol w:w="109"/>
        <w:gridCol w:w="109"/>
        <w:gridCol w:w="216"/>
        <w:gridCol w:w="739"/>
        <w:gridCol w:w="111"/>
        <w:gridCol w:w="109"/>
        <w:gridCol w:w="109"/>
        <w:gridCol w:w="109"/>
        <w:gridCol w:w="212"/>
        <w:gridCol w:w="833"/>
        <w:gridCol w:w="109"/>
        <w:gridCol w:w="109"/>
        <w:gridCol w:w="109"/>
        <w:gridCol w:w="109"/>
        <w:gridCol w:w="213"/>
        <w:gridCol w:w="834"/>
        <w:gridCol w:w="110"/>
        <w:gridCol w:w="109"/>
        <w:gridCol w:w="109"/>
        <w:gridCol w:w="109"/>
        <w:gridCol w:w="216"/>
        <w:gridCol w:w="739"/>
        <w:gridCol w:w="111"/>
        <w:gridCol w:w="109"/>
        <w:gridCol w:w="109"/>
        <w:gridCol w:w="109"/>
        <w:gridCol w:w="212"/>
        <w:gridCol w:w="832"/>
        <w:gridCol w:w="165"/>
      </w:tblGrid>
      <w:tr>
        <w:trPr/>
        <w:tc>
          <w:tcPr>
            <w:tcW w:w="66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Debt Interests</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Equity Interests</w:t>
            </w:r>
            <w:r>
              <w:rPr>
                <w:rFonts w:ascii="Arial;sans-serif" w:hAnsi="Arial;sans-serif"/>
                <w:b/>
                <w:color w:val="144F82"/>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Debt Interests</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Equity Interests</w:t>
            </w:r>
            <w:r>
              <w:rPr>
                <w:rFonts w:ascii="Arial;sans-serif" w:hAnsi="Arial;sans-serif"/>
                <w:b/>
                <w:color w:val="144F82"/>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 Exposure</w:t>
            </w:r>
          </w:p>
        </w:tc>
      </w:tr>
      <w:tr>
        <w:trPr/>
        <w:tc>
          <w:tcPr>
            <w:tcW w:w="1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 term securitizations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750,395 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806,333 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622,184 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671,434 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Vertical risk retention interest classified as available-for-sale investment.</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xml:space="preserve">Vertical risk retention interest classified as trading investment.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Borrowing Sources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maintain discretionary uncommitted Federal Funds lines of credit with various correspondent banks, which totaled $125 million at June 30, 2026. The interest rate we are charged on these lines of credit is priced at Fed Funds plus a spread at the time of borrowing and is payable daily. We did not utilize these lines of credit in the six months ended June 30, 2026, nor in the year ended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established an account at the FRB to meet eligibility requirements for access to the Primary Credit borrowing facility at the FRB’s Discount Window (the “Window”). The Primary Credit borrowing facility is a lending program available to depository institutions that are in generally sound financial condition. All borrowings at the Window must be fully collateralized. We can pledge asset-backed and mortgage-backed securities, as well as Private Education Loans, to the FRB as collateral for borrowings at the Window. Generally, collateral value is assigned based on the estimated fair value of the pledged assets. At June 30, 2026 and December 31, 2025, the value of our pledged collateral at the FRB totaled $2.2 billion and $2.5 billion, respectively. The interest rate charged to us is the discount rate set by the FRB. We did not utilize this facility in the six months ended June 30, 2026, nor in the year ended December 31, 2025.</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9. Derivative Financial Instruments</w:t>
      </w:r>
    </w:p>
    <w:p>
      <w:pPr>
        <w:pStyle w:val="TextBody"/>
        <w:bidi w:val="0"/>
        <w:spacing w:lineRule="auto" w:line="288" w:before="0" w:after="60"/>
        <w:ind w:left="0" w:right="0" w:firstLine="225"/>
        <w:jc w:val="left"/>
        <w:rPr>
          <w:rFonts w:ascii="Arial;sans-serif" w:hAnsi="Arial;sans-serif"/>
          <w:b/>
          <w:i/>
          <w:color w:val="000000"/>
          <w:sz w:val="20"/>
        </w:rPr>
      </w:pPr>
      <w:r>
        <w:rPr>
          <w:rFonts w:ascii="Arial;sans-serif" w:hAnsi="Arial;sans-serif"/>
          <w:b/>
          <w:i/>
          <w:color w:val="000000"/>
          <w:sz w:val="20"/>
        </w:rPr>
        <w:t>Risk Management Strategy</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We maintain an overall interest rate risk management strategy that incorporates the use of derivative instruments to reduce the economic effect of interest rate changes. Our goal is to manage interest rate sensitivity by modifying the repricing frequency and underlying index characteristics of certain balance sheet assets or liabilities so any adverse impacts related to movements in interest rates are managed within low to moderate limits. As a result of interest rate fluctuations, hedged balance sheet positions will appreciate or depreciate in market value or create variability in cash flows. Income or loss on the derivative instruments linked to the hedged item will generally offset the effect of this unrealized appreciation or depreciation or volatility in cash flows for the period the item is being hedged. We view this strategy as a prudent management of interest rate risk. Please refer to Note 12, “Derivative Financial Instruments” in our 2025 Form 10-K for a full discussion of our risk management strategy.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Title VII of the Dodd-Frank Wall Street Reform and Consumer Protection Act of 2010 (the “Dodd-Frank Act”) requires all standardized derivatives, including most interest rate swaps, to be submitted for clearing to central counterparties to reduce counterparty risk. Two of the central counterparties we use are the Chicago Mercantile Exchange (“CME”) and the London Clearing House (“LCH”). All variation margin payments on derivatives cleared through the CME and LCH are accounted for as legal settlement. As of June 30, 2026, $10 million notional of our derivative contracts were cleared on the CME and $2 million were cleared on the LCH. The derivative contracts cleared through the CME and LCH represent 79.2 percent and 20.8 percent, respectively, of our total notional derivative contracts of $12 million at June 30, 2026.</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derivatives cleared through the CME and LCH, the net gain (loss) position includes the variation margin amounts as settlement of the derivative and not collateral against the fair value of the derivative. The amount of variation margin included as settlement as of June 30, 2026 was immaterial for both the CME and LCH. Changes in fair value for derivatives not designated as hedging instruments are presented as realized gains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exposure to the counterparty is limited to the value of the derivative contracts in a gain position less any collateral held and plus any collateral posted. When there is a net negative exposure, we consider our exposure to the counterparty to be zero. At June 30, 2026 and December 31, 2025, we had a net positive exposure (derivative gain/loss positions to us, less collateral held by us and plus collateral posted with counterparties) related to derivatives of $0.1 million and $0.1 million, respectively.</w:t>
      </w:r>
    </w:p>
    <w:p>
      <w:pPr>
        <w:pStyle w:val="TextBody"/>
        <w:bidi w:val="0"/>
        <w:spacing w:before="120" w:after="283"/>
        <w:ind w:left="0" w:right="0" w:firstLine="495"/>
        <w:jc w:val="left"/>
        <w:rPr/>
      </w:pPr>
      <w:r>
        <w:rPr/>
      </w:r>
    </w:p>
    <w:p>
      <w:pPr>
        <w:pStyle w:val="TextBody"/>
        <w:bidi w:val="0"/>
        <w:spacing w:before="0" w:after="0"/>
        <w:ind w:left="0" w:right="0" w:firstLine="22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39</w:t>
                      </w:r>
                    </w:p>
                  </w:txbxContent>
                </v:textbox>
                <w10:wrap type="none"/>
              </v:rect>
            </w:pict>
          </mc:Fallback>
        </mc:AlternateContent>
      </w:r>
    </w:p>
    <w:p>
      <w:pPr>
        <w:pStyle w:val="TextBody"/>
        <w:bidi w:val="0"/>
        <w:spacing w:before="0" w:after="0"/>
        <w:jc w:val="left"/>
        <w:rPr/>
      </w:pPr>
      <w:r>
        <w:rPr/>
      </w:r>
    </w:p>
    <w:tbl>
      <w:tblPr>
        <w:tblW w:w="4959" w:type="dxa"/>
        <w:jc w:val="center"/>
        <w:tblInd w:w="0" w:type="dxa"/>
        <w:tblLayout w:type="fixed"/>
        <w:tblCellMar>
          <w:top w:w="28" w:type="dxa"/>
          <w:left w:w="28" w:type="dxa"/>
          <w:bottom w:w="28" w:type="dxa"/>
          <w:right w:w="28" w:type="dxa"/>
        </w:tblCellMar>
      </w:tblPr>
      <w:tblGrid>
        <w:gridCol w:w="124"/>
        <w:gridCol w:w="109"/>
        <w:gridCol w:w="109"/>
        <w:gridCol w:w="1414"/>
        <w:gridCol w:w="1414"/>
        <w:gridCol w:w="14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9.</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 Financial Instruments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25"/>
        <w:jc w:val="left"/>
        <w:rPr>
          <w:rFonts w:ascii="Arial;sans-serif" w:hAnsi="Arial;sans-serif"/>
          <w:b/>
          <w:i/>
          <w:color w:val="000000"/>
          <w:sz w:val="20"/>
        </w:rPr>
      </w:pPr>
      <w:r>
        <w:rPr>
          <w:rFonts w:ascii="Arial;sans-serif" w:hAnsi="Arial;sans-serif"/>
          <w:b/>
          <w:i/>
          <w:color w:val="000000"/>
          <w:sz w:val="20"/>
        </w:rPr>
        <w:t>Summary of Derivative Financial Statement Impact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summarize the fair values and notional amounts of all derivative instruments at June 30, 2026 and December 31, 2025, and their impact on earnings and other comprehensive income for the six months ended June 30, 2026 and June 30, 2025. Please refer to Note 12, “Derivative Financial Instruments” in our 2025 Form 10-K for a full discussion of fair value hedges and cash flow hedges.</w:t>
      </w:r>
    </w:p>
    <w:p>
      <w:pPr>
        <w:pStyle w:val="TextBody"/>
        <w:bidi w:val="0"/>
        <w:spacing w:before="120" w:after="283"/>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477"/>
        <w:gridCol w:w="420"/>
        <w:gridCol w:w="389"/>
        <w:gridCol w:w="424"/>
        <w:gridCol w:w="424"/>
        <w:gridCol w:w="428"/>
        <w:gridCol w:w="109"/>
        <w:gridCol w:w="109"/>
        <w:gridCol w:w="109"/>
        <w:gridCol w:w="242"/>
        <w:gridCol w:w="297"/>
        <w:gridCol w:w="134"/>
        <w:gridCol w:w="109"/>
        <w:gridCol w:w="109"/>
        <w:gridCol w:w="109"/>
        <w:gridCol w:w="285"/>
        <w:gridCol w:w="592"/>
        <w:gridCol w:w="160"/>
        <w:gridCol w:w="109"/>
        <w:gridCol w:w="109"/>
        <w:gridCol w:w="109"/>
        <w:gridCol w:w="200"/>
        <w:gridCol w:w="415"/>
        <w:gridCol w:w="111"/>
        <w:gridCol w:w="109"/>
        <w:gridCol w:w="109"/>
        <w:gridCol w:w="109"/>
        <w:gridCol w:w="285"/>
        <w:gridCol w:w="592"/>
        <w:gridCol w:w="160"/>
        <w:gridCol w:w="109"/>
        <w:gridCol w:w="109"/>
        <w:gridCol w:w="109"/>
        <w:gridCol w:w="109"/>
        <w:gridCol w:w="109"/>
        <w:gridCol w:w="109"/>
        <w:gridCol w:w="109"/>
        <w:gridCol w:w="220"/>
        <w:gridCol w:w="336"/>
        <w:gridCol w:w="122"/>
        <w:gridCol w:w="109"/>
        <w:gridCol w:w="109"/>
        <w:gridCol w:w="109"/>
        <w:gridCol w:w="280"/>
        <w:gridCol w:w="581"/>
        <w:gridCol w:w="233"/>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7997"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Impact of Derivatives on the Consolidated Balance Sheets</w:t>
            </w:r>
          </w:p>
        </w:tc>
        <w:tc>
          <w:tcPr>
            <w:tcW w:w="2208" w:type="dxa"/>
            <w:gridSpan w:val="10"/>
            <w:tcBorders/>
          </w:tcPr>
          <w:p>
            <w:pPr>
              <w:pStyle w:val="TableContents"/>
              <w:bidi w:val="0"/>
              <w:spacing w:before="0" w:after="283"/>
              <w:jc w:val="left"/>
              <w:rPr>
                <w:sz w:val="4"/>
                <w:szCs w:val="4"/>
              </w:rPr>
            </w:pPr>
            <w:r>
              <w:rPr>
                <w:sz w:val="4"/>
                <w:szCs w:val="4"/>
              </w:rPr>
            </w:r>
          </w:p>
        </w:tc>
      </w:tr>
      <w:tr>
        <w:trPr/>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Fair Value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Total</w:t>
            </w:r>
          </w:p>
        </w:tc>
        <w:tc>
          <w:tcPr>
            <w:tcW w:w="1421" w:type="dxa"/>
            <w:gridSpan w:val="6"/>
            <w:tcBorders/>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December 31,</w:t>
            </w:r>
          </w:p>
        </w:tc>
      </w:tr>
      <w:tr>
        <w:trPr/>
        <w:tc>
          <w:tcPr>
            <w:tcW w:w="2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r>
      <w:tr>
        <w:trPr/>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Fair Values</w:t>
            </w:r>
            <w:r>
              <w:rPr>
                <w:rFonts w:ascii="Arial;sans-serif" w:hAnsi="Arial;sans-serif"/>
                <w:b/>
                <w:color w:val="144F82"/>
                <w:sz w:val="10"/>
              </w:rPr>
              <w:t>(1)</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Hedged Risk Exposure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144F82"/>
                <w:sz w:val="17"/>
              </w:rPr>
              <w:t>Derivative Assets:</w:t>
            </w:r>
            <w:r>
              <w:rPr>
                <w:rFonts w:ascii="Arial;sans-serif" w:hAnsi="Arial;sans-serif"/>
                <w:b/>
                <w:i/>
                <w:color w:val="144F82"/>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swaps</w:t>
            </w:r>
          </w:p>
        </w:tc>
        <w:tc>
          <w:tcPr>
            <w:tcW w:w="127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Interest 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9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2"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1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2"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144F82"/>
                <w:sz w:val="17"/>
              </w:rPr>
              <w:t>Derivative Liabilities:</w:t>
            </w:r>
            <w:r>
              <w:rPr>
                <w:rFonts w:ascii="Arial;sans-serif" w:hAnsi="Arial;sans-serif"/>
                <w:b/>
                <w:i/>
                <w:color w:val="144F82"/>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Interest rate swaps </w:t>
            </w:r>
          </w:p>
        </w:tc>
        <w:tc>
          <w:tcPr>
            <w:tcW w:w="127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Interest 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6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6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23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Total net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center"/>
        <w:rPr>
          <w:color w:val="000000"/>
        </w:rPr>
      </w:pPr>
      <w:r>
        <w:rPr>
          <w:color w:val="000000"/>
        </w:rPr>
        <w:t> </w:t>
      </w:r>
    </w:p>
    <w:p>
      <w:pPr>
        <w:pStyle w:val="TextBody"/>
        <w:bidi w:val="0"/>
        <w:spacing w:lineRule="auto" w:line="288" w:before="0" w:after="0"/>
        <w:ind w:left="0" w:right="0" w:hanging="27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5"/>
        </w:rPr>
        <w:t xml:space="preserve">Fair values reported include variation margin as legal settlement of the derivative contract. Assets and liabilities are presented without consideration of master netting agreements. Derivatives are carried on the balance sheet based on net position by counterparty under master netting agreements and classified in other assets or other liabilities depending on whether in a net positive or negative position. </w:t>
      </w:r>
    </w:p>
    <w:p>
      <w:pPr>
        <w:pStyle w:val="TextBody"/>
        <w:bidi w:val="0"/>
        <w:spacing w:lineRule="auto" w:line="288" w:before="60" w:after="283"/>
        <w:ind w:left="0" w:right="0" w:hanging="27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5"/>
        </w:rPr>
        <w:t>The following table reconciles gross positions with the impact of master netting agreements to the balance sheet classification:</w:t>
      </w:r>
    </w:p>
    <w:p>
      <w:pPr>
        <w:pStyle w:val="TextBody"/>
        <w:bidi w:val="0"/>
        <w:spacing w:lineRule="auto" w:line="288" w:before="0" w:after="0"/>
        <w:ind w:left="0" w:right="0" w:hanging="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16"/>
        <w:gridCol w:w="1639"/>
        <w:gridCol w:w="1644"/>
        <w:gridCol w:w="109"/>
        <w:gridCol w:w="109"/>
        <w:gridCol w:w="109"/>
        <w:gridCol w:w="226"/>
        <w:gridCol w:w="381"/>
        <w:gridCol w:w="125"/>
        <w:gridCol w:w="109"/>
        <w:gridCol w:w="109"/>
        <w:gridCol w:w="109"/>
        <w:gridCol w:w="297"/>
        <w:gridCol w:w="639"/>
        <w:gridCol w:w="166"/>
        <w:gridCol w:w="109"/>
        <w:gridCol w:w="109"/>
        <w:gridCol w:w="109"/>
        <w:gridCol w:w="229"/>
        <w:gridCol w:w="355"/>
        <w:gridCol w:w="127"/>
        <w:gridCol w:w="109"/>
        <w:gridCol w:w="109"/>
        <w:gridCol w:w="109"/>
        <w:gridCol w:w="370"/>
        <w:gridCol w:w="483"/>
        <w:gridCol w:w="300"/>
      </w:tblGrid>
      <w:tr>
        <w:trPr/>
        <w:tc>
          <w:tcPr>
            <w:tcW w:w="191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5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Other Liabilities</w:t>
            </w:r>
          </w:p>
        </w:tc>
      </w:tr>
      <w:tr>
        <w:trPr/>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5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r>
      <w:tr>
        <w:trPr/>
        <w:tc>
          <w:tcPr>
            <w:tcW w:w="51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Gross position</w:t>
            </w:r>
            <w:r>
              <w:rPr>
                <w:rFonts w:ascii="Arial;sans-serif" w:hAnsi="Arial;sans-serif"/>
                <w:b w:val="false"/>
                <w:color w:val="000000"/>
                <w:sz w:val="10"/>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master netting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values with impact of master netting agreements (as carried on balance sheet)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collateral pledged</w:t>
            </w:r>
            <w:r>
              <w:rPr>
                <w:rFonts w:ascii="Arial;sans-serif" w:hAnsi="Arial;sans-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position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2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6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rFonts w:ascii="Arial;sans-serif" w:hAnsi="Arial;sans-serif"/>
          <w:b w:val="false"/>
          <w:color w:val="000000"/>
          <w:sz w:val="15"/>
        </w:rPr>
        <w:t xml:space="preserve">Gross position amounts include accrued interest and variation margin as legal settlement of the derivative contract. </w:t>
      </w:r>
    </w:p>
    <w:p>
      <w:pPr>
        <w:pStyle w:val="TextBody"/>
        <w:bidi w:val="0"/>
        <w:spacing w:lineRule="auto" w:line="288" w:before="0" w:after="0"/>
        <w:ind w:left="0" w:right="0" w:hanging="180"/>
        <w:jc w:val="left"/>
        <w:rPr/>
      </w:pPr>
      <w:r>
        <w:rPr>
          <w:rFonts w:ascii="Arial;sans-serif" w:hAnsi="Arial;sans-serif"/>
          <w:b w:val="false"/>
          <w:color w:val="000000"/>
          <w:sz w:val="10"/>
        </w:rPr>
        <w:t>(2)</w:t>
      </w:r>
      <w:r>
        <w:rPr>
          <w:rFonts w:ascii="Arial;sans-serif" w:hAnsi="Arial;sans-serif"/>
          <w:b w:val="false"/>
          <w:color w:val="000000"/>
          <w:sz w:val="15"/>
        </w:rPr>
        <w:t xml:space="preserve">Cash collateral pledged excludes amounts that represent legal settlement of the derivative contracts. </w:t>
      </w:r>
    </w:p>
    <w:p>
      <w:pPr>
        <w:pStyle w:val="TextBody"/>
        <w:bidi w:val="0"/>
        <w:spacing w:before="0" w:after="0"/>
        <w:jc w:val="left"/>
        <w:rPr/>
      </w:pPr>
      <w:r>
        <w:rPr/>
      </w:r>
    </w:p>
    <w:p>
      <w:pPr>
        <w:pStyle w:val="TextBody"/>
        <w:bidi w:val="0"/>
        <w:spacing w:before="0" w:after="0"/>
        <w:jc w:val="left"/>
        <w:rPr/>
      </w:pPr>
      <w:r>
        <w:rPr/>
      </w:r>
    </w:p>
    <w:tbl>
      <w:tblPr>
        <w:tblW w:w="10154"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196"/>
        <w:gridCol w:w="556"/>
        <w:gridCol w:w="109"/>
        <w:gridCol w:w="109"/>
        <w:gridCol w:w="109"/>
        <w:gridCol w:w="109"/>
        <w:gridCol w:w="220"/>
        <w:gridCol w:w="827"/>
        <w:gridCol w:w="122"/>
        <w:gridCol w:w="109"/>
        <w:gridCol w:w="109"/>
        <w:gridCol w:w="109"/>
        <w:gridCol w:w="196"/>
        <w:gridCol w:w="556"/>
        <w:gridCol w:w="109"/>
        <w:gridCol w:w="109"/>
        <w:gridCol w:w="109"/>
        <w:gridCol w:w="109"/>
        <w:gridCol w:w="266"/>
        <w:gridCol w:w="755"/>
        <w:gridCol w:w="149"/>
        <w:gridCol w:w="109"/>
        <w:gridCol w:w="109"/>
        <w:gridCol w:w="109"/>
        <w:gridCol w:w="109"/>
        <w:gridCol w:w="109"/>
        <w:gridCol w:w="109"/>
        <w:gridCol w:w="109"/>
        <w:gridCol w:w="196"/>
        <w:gridCol w:w="646"/>
        <w:gridCol w:w="109"/>
        <w:gridCol w:w="109"/>
        <w:gridCol w:w="109"/>
        <w:gridCol w:w="109"/>
        <w:gridCol w:w="219"/>
        <w:gridCol w:w="824"/>
        <w:gridCol w:w="172"/>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Notional Values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Cash Flow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1542" w:type="dxa"/>
            <w:gridSpan w:val="6"/>
            <w:tcBorders/>
          </w:tcPr>
          <w:p>
            <w:pPr>
              <w:pStyle w:val="TableContents"/>
              <w:bidi w:val="0"/>
              <w:spacing w:before="0" w:after="283"/>
              <w:jc w:val="left"/>
              <w:rPr>
                <w:sz w:val="4"/>
                <w:szCs w:val="4"/>
              </w:rPr>
            </w:pPr>
            <w:r>
              <w:rPr>
                <w:sz w:val="4"/>
                <w:szCs w:val="4"/>
              </w:rPr>
            </w:r>
          </w:p>
        </w:tc>
      </w:tr>
      <w:tr>
        <w:trPr/>
        <w:tc>
          <w:tcPr>
            <w:tcW w:w="15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152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566,592 </w:t>
            </w:r>
          </w:p>
        </w:tc>
        <w:tc>
          <w:tcPr>
            <w:tcW w:w="12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4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573,112 </w:t>
            </w:r>
          </w:p>
        </w:tc>
        <w:tc>
          <w:tcPr>
            <w:tcW w:w="17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Net total notional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566,592 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573,112 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40</w:t>
                      </w:r>
                    </w:p>
                  </w:txbxContent>
                </v:textbox>
                <w10:wrap type="none"/>
              </v:rect>
            </w:pict>
          </mc:Fallback>
        </mc:AlternateContent>
      </w:r>
    </w:p>
    <w:p>
      <w:pPr>
        <w:pStyle w:val="TextBody"/>
        <w:bidi w:val="0"/>
        <w:spacing w:before="0" w:after="0"/>
        <w:jc w:val="left"/>
        <w:rPr/>
      </w:pPr>
      <w:r>
        <w:rPr/>
      </w:r>
    </w:p>
    <w:tbl>
      <w:tblPr>
        <w:tblW w:w="4959" w:type="dxa"/>
        <w:jc w:val="center"/>
        <w:tblInd w:w="0" w:type="dxa"/>
        <w:tblLayout w:type="fixed"/>
        <w:tblCellMar>
          <w:top w:w="28" w:type="dxa"/>
          <w:left w:w="28" w:type="dxa"/>
          <w:bottom w:w="28" w:type="dxa"/>
          <w:right w:w="28" w:type="dxa"/>
        </w:tblCellMar>
      </w:tblPr>
      <w:tblGrid>
        <w:gridCol w:w="124"/>
        <w:gridCol w:w="109"/>
        <w:gridCol w:w="109"/>
        <w:gridCol w:w="1414"/>
        <w:gridCol w:w="1414"/>
        <w:gridCol w:w="14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9.</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 Financial Instruments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left"/>
        <w:rPr>
          <w:rFonts w:ascii="Arial;sans-serif" w:hAnsi="Arial;sans-serif"/>
          <w:b w:val="false"/>
          <w:color w:val="000000"/>
          <w:sz w:val="20"/>
        </w:rPr>
      </w:pPr>
      <w:r>
        <w:rPr>
          <w:rFonts w:ascii="Arial;sans-serif" w:hAnsi="Arial;sans-serif"/>
          <w:b w:val="false"/>
          <w:color w:val="000000"/>
          <w:sz w:val="20"/>
        </w:rPr>
        <w:t>As of June 30, 2026 and December 31, 2025, the following amounts were recorded on the consolidated balance sheet related to cumulative basis adjustments for fair value hedges:</w:t>
      </w:r>
    </w:p>
    <w:tbl>
      <w:tblPr>
        <w:tblW w:w="10205" w:type="dxa"/>
        <w:jc w:val="center"/>
        <w:tblInd w:w="0" w:type="dxa"/>
        <w:tblLayout w:type="fixed"/>
        <w:tblCellMar>
          <w:top w:w="28" w:type="dxa"/>
          <w:left w:w="28" w:type="dxa"/>
          <w:bottom w:w="28" w:type="dxa"/>
          <w:right w:w="28" w:type="dxa"/>
        </w:tblCellMar>
      </w:tblPr>
      <w:tblGrid>
        <w:gridCol w:w="863"/>
        <w:gridCol w:w="715"/>
        <w:gridCol w:w="717"/>
        <w:gridCol w:w="109"/>
        <w:gridCol w:w="109"/>
        <w:gridCol w:w="109"/>
        <w:gridCol w:w="260"/>
        <w:gridCol w:w="812"/>
        <w:gridCol w:w="134"/>
        <w:gridCol w:w="134"/>
        <w:gridCol w:w="134"/>
        <w:gridCol w:w="134"/>
        <w:gridCol w:w="260"/>
        <w:gridCol w:w="812"/>
        <w:gridCol w:w="134"/>
        <w:gridCol w:w="109"/>
        <w:gridCol w:w="109"/>
        <w:gridCol w:w="109"/>
        <w:gridCol w:w="491"/>
        <w:gridCol w:w="1085"/>
        <w:gridCol w:w="253"/>
        <w:gridCol w:w="253"/>
        <w:gridCol w:w="253"/>
        <w:gridCol w:w="253"/>
        <w:gridCol w:w="643"/>
        <w:gridCol w:w="840"/>
        <w:gridCol w:w="371"/>
      </w:tblGrid>
      <w:tr>
        <w:trPr/>
        <w:tc>
          <w:tcPr>
            <w:tcW w:w="8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Carrying Amount of the Hedged Assets/(Liabilities)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Cumulative Amount of Fair Value Hedging Adjustment Included in the Carrying Amount of the Hedged Assets/(Liabilities)</w:t>
            </w:r>
          </w:p>
        </w:tc>
      </w:tr>
      <w:tr>
        <w:trPr/>
        <w:tc>
          <w:tcPr>
            <w:tcW w:w="229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Line Item in the Balance Sheet in Which the Hedged Item is Included: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22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82"/>
        <w:gridCol w:w="1580"/>
        <w:gridCol w:w="1584"/>
        <w:gridCol w:w="113"/>
        <w:gridCol w:w="113"/>
        <w:gridCol w:w="113"/>
        <w:gridCol w:w="220"/>
        <w:gridCol w:w="426"/>
        <w:gridCol w:w="113"/>
        <w:gridCol w:w="113"/>
        <w:gridCol w:w="113"/>
        <w:gridCol w:w="113"/>
        <w:gridCol w:w="220"/>
        <w:gridCol w:w="643"/>
        <w:gridCol w:w="113"/>
        <w:gridCol w:w="113"/>
        <w:gridCol w:w="113"/>
        <w:gridCol w:w="113"/>
        <w:gridCol w:w="220"/>
        <w:gridCol w:w="486"/>
        <w:gridCol w:w="113"/>
        <w:gridCol w:w="113"/>
        <w:gridCol w:w="113"/>
        <w:gridCol w:w="113"/>
        <w:gridCol w:w="220"/>
        <w:gridCol w:w="753"/>
        <w:gridCol w:w="176"/>
      </w:tblGrid>
      <w:tr>
        <w:trPr/>
        <w:tc>
          <w:tcPr>
            <w:tcW w:w="1982"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Impact of Derivatives on the Consolidated Statements of Income</w:t>
            </w:r>
          </w:p>
        </w:tc>
      </w:tr>
      <w:tr>
        <w:trPr/>
        <w:tc>
          <w:tcPr>
            <w:tcW w:w="5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June 30,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Six Months Ended </w:t>
              <w:br/>
              <w:t> June 30,</w:t>
            </w:r>
          </w:p>
        </w:tc>
      </w:tr>
      <w:tr>
        <w:trPr/>
        <w:tc>
          <w:tcPr>
            <w:tcW w:w="5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5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u w:val="single"/>
              </w:rPr>
            </w:pPr>
            <w:r>
              <w:rPr>
                <w:rFonts w:ascii="Arial;sans-serif" w:hAnsi="Arial;sans-serif"/>
                <w:b/>
                <w:color w:val="144F82"/>
                <w:sz w:val="18"/>
                <w:u w:val="single"/>
              </w:rPr>
              <w:t>Fair Value Hedges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recognized on derivatives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Hedged items recorded in interest expense</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recorded in interest expense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w:t>
            </w:r>
          </w:p>
        </w:tc>
        <w:tc>
          <w:tcPr>
            <w:tcW w:w="17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u w:val="single"/>
              </w:rPr>
            </w:pPr>
            <w:r>
              <w:rPr>
                <w:rFonts w:ascii="Arial;sans-serif" w:hAnsi="Arial;sans-serif"/>
                <w:b/>
                <w:color w:val="144F82"/>
                <w:sz w:val="18"/>
                <w:u w:val="single"/>
              </w:rPr>
              <w:t>Cash Flow Hedges</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gain (loss) reclassified from accumulated other comprehensive income into interest expense</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5,843 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11,762 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51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51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51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51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51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5,656 </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10,176 </w:t>
            </w:r>
          </w:p>
        </w:tc>
        <w:tc>
          <w:tcPr>
            <w:tcW w:w="17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41</w:t>
                      </w:r>
                    </w:p>
                  </w:txbxContent>
                </v:textbox>
                <w10:wrap type="none"/>
              </v:rect>
            </w:pict>
          </mc:Fallback>
        </mc:AlternateContent>
      </w:r>
    </w:p>
    <w:p>
      <w:pPr>
        <w:pStyle w:val="TextBody"/>
        <w:bidi w:val="0"/>
        <w:spacing w:before="0" w:after="0"/>
        <w:jc w:val="left"/>
        <w:rPr/>
      </w:pPr>
      <w:r>
        <w:rPr/>
      </w:r>
    </w:p>
    <w:tbl>
      <w:tblPr>
        <w:tblW w:w="4959" w:type="dxa"/>
        <w:jc w:val="center"/>
        <w:tblInd w:w="0" w:type="dxa"/>
        <w:tblLayout w:type="fixed"/>
        <w:tblCellMar>
          <w:top w:w="28" w:type="dxa"/>
          <w:left w:w="28" w:type="dxa"/>
          <w:bottom w:w="28" w:type="dxa"/>
          <w:right w:w="28" w:type="dxa"/>
        </w:tblCellMar>
      </w:tblPr>
      <w:tblGrid>
        <w:gridCol w:w="124"/>
        <w:gridCol w:w="109"/>
        <w:gridCol w:w="109"/>
        <w:gridCol w:w="1414"/>
        <w:gridCol w:w="1414"/>
        <w:gridCol w:w="14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9.</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 Financial Instruments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22"/>
        <w:gridCol w:w="1316"/>
        <w:gridCol w:w="1267"/>
        <w:gridCol w:w="152"/>
        <w:gridCol w:w="152"/>
        <w:gridCol w:w="152"/>
        <w:gridCol w:w="295"/>
        <w:gridCol w:w="568"/>
        <w:gridCol w:w="152"/>
        <w:gridCol w:w="152"/>
        <w:gridCol w:w="152"/>
        <w:gridCol w:w="152"/>
        <w:gridCol w:w="295"/>
        <w:gridCol w:w="926"/>
        <w:gridCol w:w="152"/>
        <w:gridCol w:w="109"/>
        <w:gridCol w:w="109"/>
        <w:gridCol w:w="109"/>
        <w:gridCol w:w="211"/>
        <w:gridCol w:w="498"/>
        <w:gridCol w:w="109"/>
        <w:gridCol w:w="109"/>
        <w:gridCol w:w="109"/>
        <w:gridCol w:w="109"/>
        <w:gridCol w:w="211"/>
        <w:gridCol w:w="753"/>
        <w:gridCol w:w="164"/>
      </w:tblGrid>
      <w:tr>
        <w:trPr/>
        <w:tc>
          <w:tcPr>
            <w:tcW w:w="172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 xml:space="preserve">Impact of Derivatives on the Statements of Changes in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gain (loss) recognized in other comprehensive income (loss)</w:t>
            </w:r>
          </w:p>
        </w:tc>
        <w:tc>
          <w:tcPr>
            <w:tcW w:w="4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6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amount of gain (loss) reclassified in interest expense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change in other comprehensive income (loss) for unrealized gains (losses) on derivatives, before income tax (expense) benefit</w:t>
            </w:r>
          </w:p>
        </w:tc>
        <w:tc>
          <w:tcPr>
            <w:tcW w:w="4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(10,753)</w:t>
            </w:r>
          </w:p>
        </w:tc>
        <w:tc>
          <w:tcPr>
            <w:tcW w:w="16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80" w:after="283"/>
        <w:ind w:left="0" w:right="0" w:firstLine="225"/>
        <w:jc w:val="left"/>
        <w:rPr>
          <w:rFonts w:ascii="Arial;sans-serif" w:hAnsi="Arial;sans-serif"/>
          <w:b w:val="false"/>
          <w:color w:val="000000"/>
          <w:sz w:val="20"/>
        </w:rPr>
      </w:pPr>
      <w:r>
        <w:rPr>
          <w:rFonts w:ascii="Arial;sans-serif" w:hAnsi="Arial;sans-serif"/>
          <w:b w:val="false"/>
          <w:color w:val="000000"/>
          <w:sz w:val="20"/>
        </w:rPr>
        <w:t>Amounts reported in accumulated other comprehensive income related to derivatives will be reclassified to interest expense as interest payments are made on our variable-rate deposits. During the next twelve months, we estimate $0.1 million will be reclassified as a decrease to interest expense.</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Cash Collateral</w:t>
      </w:r>
    </w:p>
    <w:p>
      <w:pPr>
        <w:pStyle w:val="TextBody"/>
        <w:bidi w:val="0"/>
        <w:spacing w:lineRule="auto" w:line="288" w:before="280" w:after="283"/>
        <w:ind w:left="0" w:right="0" w:firstLine="225"/>
        <w:jc w:val="left"/>
        <w:rPr>
          <w:rFonts w:ascii="Arial;sans-serif" w:hAnsi="Arial;sans-serif"/>
          <w:b w:val="false"/>
          <w:color w:val="000000"/>
          <w:sz w:val="20"/>
        </w:rPr>
      </w:pPr>
      <w:r>
        <w:rPr>
          <w:rFonts w:ascii="Arial;sans-serif" w:hAnsi="Arial;sans-serif"/>
          <w:b w:val="false"/>
          <w:color w:val="000000"/>
          <w:sz w:val="20"/>
        </w:rPr>
        <w:t>As of June 30, 2026, cash collateral held and pledged excludes amounts that represent legal settlement of the derivative contracts held with the CME and LCH. There was no cash collateral held by us related to derivative exposure between us and our derivatives counterparties at June 30, 2026 and December 31, 2025, respectively. Collateral held is recorded in “Other Liabilities” on the consolidated balance sheets. Cash collateral pledged by us related to derivative exposure between us and our derivatives counterparties was $0.1 million at both June 30, 2026 and December 31, 2025. Collateral pledged is recorded in “Other interest-earning assets” on the consolidated balance sheets.</w:t>
      </w:r>
    </w:p>
    <w:p>
      <w:pPr>
        <w:pStyle w:val="TextBody"/>
        <w:bidi w:val="0"/>
        <w:spacing w:before="280" w:after="283"/>
        <w:ind w:left="0" w:right="0" w:firstLine="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10. Stockholders’ Equity</w:t>
      </w:r>
    </w:p>
    <w:p>
      <w:pPr>
        <w:pStyle w:val="TextBody"/>
        <w:bidi w:val="0"/>
        <w:spacing w:before="0" w:after="0"/>
        <w:ind w:left="0" w:right="0" w:firstLine="450"/>
        <w:jc w:val="left"/>
        <w:rPr/>
      </w:pPr>
      <w:r>
        <w:rPr/>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common share repurchases and issuances.</w:t>
      </w:r>
    </w:p>
    <w:p>
      <w:pPr>
        <w:pStyle w:val="TextBody"/>
        <w:bidi w:val="0"/>
        <w:spacing w:before="9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49"/>
        <w:gridCol w:w="1400"/>
        <w:gridCol w:w="1405"/>
        <w:gridCol w:w="109"/>
        <w:gridCol w:w="109"/>
        <w:gridCol w:w="109"/>
        <w:gridCol w:w="211"/>
        <w:gridCol w:w="616"/>
        <w:gridCol w:w="109"/>
        <w:gridCol w:w="109"/>
        <w:gridCol w:w="109"/>
        <w:gridCol w:w="109"/>
        <w:gridCol w:w="249"/>
        <w:gridCol w:w="727"/>
        <w:gridCol w:w="109"/>
        <w:gridCol w:w="109"/>
        <w:gridCol w:w="109"/>
        <w:gridCol w:w="109"/>
        <w:gridCol w:w="275"/>
        <w:gridCol w:w="806"/>
        <w:gridCol w:w="109"/>
        <w:gridCol w:w="109"/>
        <w:gridCol w:w="109"/>
        <w:gridCol w:w="109"/>
        <w:gridCol w:w="249"/>
        <w:gridCol w:w="727"/>
        <w:gridCol w:w="156"/>
      </w:tblGrid>
      <w:tr>
        <w:trPr/>
        <w:tc>
          <w:tcPr>
            <w:tcW w:w="174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(Shares and per share amounts in actuals)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5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Common stock repurchased under repurchase programs</w:t>
            </w:r>
            <w:r>
              <w:rPr>
                <w:rFonts w:ascii="Arial;sans-serif" w:hAnsi="Arial;sans-serif"/>
                <w:b w:val="false"/>
                <w:color w:val="000000"/>
                <w:sz w:val="12"/>
              </w:rPr>
              <w:t>(1)(2)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880,970 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2,366,356 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12,911,950 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3,403,747 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purchase price per share</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Shares repurchased related to employee stock-based compensation plans</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840,939 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850,738 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purchase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Common shares issued</w:t>
            </w:r>
            <w:r>
              <w:rPr>
                <w:rFonts w:ascii="Arial;sans-serif" w:hAnsi="Arial;sans-serif"/>
                <w:b w:val="false"/>
                <w:color w:val="000000"/>
                <w:sz w:val="12"/>
              </w:rPr>
              <w:t>(5)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251,232 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2,431,529 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2,353,571 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Common shares purchased under our share repurchase programs. There was $242 million of capacity remaining under the 2026 Share Repurchase Program at June 30, 2026.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For the three months ended June 30, 2026, the amount is related to the final settlement of the ASR, defined below. For the six months ended June 30, 2026, the amount includes 9.3 million shares related to the ASR, defined below.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(3) </w:t>
      </w:r>
      <w:r>
        <w:rPr>
          <w:rFonts w:ascii="Arial;sans-serif" w:hAnsi="Arial;sans-serif"/>
          <w:b w:val="false"/>
          <w:color w:val="000000"/>
          <w:sz w:val="16"/>
        </w:rPr>
        <w:t xml:space="preserve">Average purchase price per share includes purchase commission costs and excise taxes. The average purchase price of the 9.3 million shares repurchased under the ASR, defined below, was $21.59 per share, excluding excise taxes.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(4) </w:t>
      </w:r>
      <w:r>
        <w:rPr>
          <w:rFonts w:ascii="Arial;sans-serif" w:hAnsi="Arial;sans-serif"/>
          <w:b w:val="false"/>
          <w:color w:val="000000"/>
          <w:sz w:val="16"/>
        </w:rPr>
        <w:t xml:space="preserve">Comprised of shares withheld from stock option exercises and the vesting of restricted stock, restricted stock units, performance stock units, and dividend equivalent units for employees’ tax withholding obligations and shares tendered by employees to satisfy option exercise costs. </w:t>
      </w:r>
    </w:p>
    <w:p>
      <w:pPr>
        <w:pStyle w:val="TextBody"/>
        <w:bidi w:val="0"/>
        <w:spacing w:lineRule="auto" w:line="288" w:before="90" w:after="283"/>
        <w:ind w:left="0" w:right="0" w:hanging="27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Common shares issued under our various compensation and benefit plans.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The closing price of our common stock on the NASDAQ Global Select Market on June 30, 2026 was $25.94.</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i/>
          <w:color w:val="000000"/>
          <w:sz w:val="20"/>
        </w:rPr>
      </w:pPr>
      <w:r>
        <w:rPr>
          <w:rFonts w:ascii="Arial;sans-serif" w:hAnsi="Arial;sans-serif"/>
          <w:b/>
          <w:i/>
          <w:color w:val="000000"/>
          <w:sz w:val="20"/>
        </w:rPr>
        <w:t>Common Stock Dividend</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both June 2026 and June 2025, we paid a common stock dividend of $0.13 per common share.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i/>
          <w:color w:val="000000"/>
          <w:sz w:val="20"/>
        </w:rPr>
      </w:pPr>
      <w:r>
        <w:rPr>
          <w:rFonts w:ascii="Arial;sans-serif" w:hAnsi="Arial;sans-serif"/>
          <w:b/>
          <w:i/>
          <w:color w:val="000000"/>
          <w:sz w:val="20"/>
        </w:rPr>
        <w:t xml:space="preserve">Share Repurchases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In January 2024, we announced a share repurchase program of up to $650 million of common stock (the “2024 Share Repurchase Program”), which expired on February 6, 2026. Under the 2024 Share Repurchase Program, we repurchased 1.0 million shares of common stock for $33 million during the three months ended March 31, 2026, prior to the February 6, 2026 expiration. Under the 2024 Share Repurchase Program, we repurchased 2.4 million shares of common stock for $70 million during the three months ended June 30, 2025, and 3.4 million shares of common stock for $100 million during the six months ended June 30, 2025.</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On January 22, 2026, we announced a new share repurchase program (the “2026 Share Repurchase Program”), which became effective on January 22, 2026 and will expire, if not earlier exhausted, on February 4, 2028. The 2026 Share Repurchase Program permits us to repurchase shares of our common stock from time to time up to an aggregate repurchase price not to exceed $500 million. Under the 2026 Share Repurchase Program, we repurchased 0.9 million shares of common stock for $25 million in the three months ended June 30, 2026, and 11.7 million shares of common stock for $251 million in the six months ended June 30, 2026. We had $242 million of capacity remaining under the 2026 Share Repurchase Program at June 30, 2026.</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March 9, 2026, we entered into an accelerated share repurchase agreement (“ASR”) with a third-party financial institution under which we purchased $200 million of our outstanding common stock. On March 11, 2026, the third-party financial institution initially delivered to us approximately 8.4 million shares. The final total actual number of shares of common stock delivered to us was based generally upon a discount to the Rule 10b-18 volume-weighted average price at which the shares of our common stock traded during the regular trading sessions on the NASDAQ Global Select Market during the term of the ASR. The transactions were accounted for as equity transactions and were included in treasury stock, at which time there was an immediate reduction in the weighted average common shares calculation for basic and diluted earnings per share. On June 30, 2026, we completed the ASR and upon final settlement on July 1, 2026, we received an additional 0.9 million shares of common stock. In total, we repurchased 9.3 million shares of common stock under the ASR at an average price of $21.59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43</w:t>
                      </w:r>
                    </w:p>
                  </w:txbxContent>
                </v:textbox>
                <w10:wrap type="none"/>
              </v:rect>
            </w:pict>
          </mc:Fallback>
        </mc:AlternateContent>
      </w:r>
    </w:p>
    <w:p>
      <w:pPr>
        <w:pStyle w:val="TextBody"/>
        <w:bidi w:val="0"/>
        <w:spacing w:before="0" w:after="0"/>
        <w:jc w:val="left"/>
        <w:rPr/>
      </w:pPr>
      <w:r>
        <w:rPr/>
      </w:r>
    </w:p>
    <w:tbl>
      <w:tblPr>
        <w:tblW w:w="3955" w:type="dxa"/>
        <w:jc w:val="center"/>
        <w:tblInd w:w="0" w:type="dxa"/>
        <w:tblLayout w:type="fixed"/>
        <w:tblCellMar>
          <w:top w:w="28" w:type="dxa"/>
          <w:left w:w="28" w:type="dxa"/>
          <w:bottom w:w="28" w:type="dxa"/>
          <w:right w:w="28" w:type="dxa"/>
        </w:tblCellMar>
      </w:tblPr>
      <w:tblGrid>
        <w:gridCol w:w="141"/>
        <w:gridCol w:w="124"/>
        <w:gridCol w:w="124"/>
        <w:gridCol w:w="1064"/>
        <w:gridCol w:w="1064"/>
        <w:gridCol w:w="1066"/>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10.</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Under the 2026 Share Repurchase Program, repurchases may continue to occur from time to time and through a variety of methods, including open market repurchases, repurchases effected through Rule 10b5-1 trading plans, negotiated or block purchases, accelerated share repurchase programs, tender offers, or other similar transactions. The timing and volume of any repurchases are subject to market conditions, and there can be no guarantee that the Company will repurchase up to the limit of the 2026 Share Repurchase Program. </w:t>
      </w:r>
    </w:p>
    <w:p>
      <w:pPr>
        <w:pStyle w:val="TextBody"/>
        <w:bidi w:val="0"/>
        <w:spacing w:lineRule="auto" w:line="256" w:before="120" w:after="283"/>
        <w:ind w:left="0" w:right="0" w:firstLine="495"/>
        <w:jc w:val="left"/>
        <w:rPr>
          <w:rFonts w:ascii="Arial;sans-serif" w:hAnsi="Arial;sans-serif"/>
          <w:b w:val="false"/>
          <w:i/>
          <w:color w:val="000000"/>
          <w:sz w:val="20"/>
        </w:rPr>
      </w:pPr>
      <w:r>
        <w:rPr>
          <w:rFonts w:ascii="Arial;sans-serif" w:hAnsi="Arial;sans-serif"/>
          <w:b w:val="false"/>
          <w:i/>
          <w:color w:val="000000"/>
          <w:sz w:val="20"/>
        </w:rPr>
        <w:t>Share Repurchases under Rule 10b5-1 Trading Plans</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three months ended June 30, 2026 we did not repurchase shares of our common stock under Rule 10b5-1 trading plans as all repurchases occurred under the ASR. During the three months ended June 30, 2025, we repurchased 2.4 million shares of our common stock at a total cost of $70 million, and during the six months ended June 30, 2026 and 2025, we repurchased 3.6 million and 3.4 million shares, respectively, of our common stock at a total cost of $91 million and $100 million, respectively, under Rule 10b5-1 trading plans authorized under our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11. Earnings per Common Share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Basic earnings per common share (“EPS”) are calculated using the weighted average number of shares of common stock outstanding during each period. A reconciliation of the numerators and denominators of the basic and diluted EPS calculations follows. </w:t>
      </w:r>
    </w:p>
    <w:p>
      <w:pPr>
        <w:pStyle w:val="TextBody"/>
        <w:bidi w:val="0"/>
        <w:spacing w:before="90" w:after="283"/>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1722"/>
        <w:gridCol w:w="1376"/>
        <w:gridCol w:w="137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2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Numerator: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58,525 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375,812 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SLM Corporation common stock</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54,944 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359,343 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367,884 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to compute basic EPS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188,576 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209,282 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191,999 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209,978 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Dilutive effect of stock options, restricted stock, restricted stock units, performance stock units, dividend equivalent units, and Employee Stock Purchase Plan (“ESPP”) </w:t>
            </w:r>
            <w:r>
              <w:rPr>
                <w:rFonts w:ascii="Arial;sans-serif" w:hAnsi="Arial;sans-serif"/>
                <w:b w:val="false"/>
                <w:color w:val="000000"/>
                <w:sz w:val="12"/>
              </w:rPr>
              <w:t>(1)(2)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to compute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Basic earnings per common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95"/>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Includes the potential dilutive effect of additional common shares that are issuable upon exercise of outstanding stock options, restricted stock, restricted stock units, performance stock units, dividend equivalent units, and the outstanding commitment to issue shares under the ESPP, determined by the treasury stock method. </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 xml:space="preserve">For both the three months ended June 30, 2026 and 2025, securities covering less than 1 million shares, and for both the six months ended June 30, 2026 and 2025, securities covering less than 1 million shares were outstanding but not included in the computation of diluted earnings per share because they were anti-dilutive. </w:t>
      </w:r>
    </w:p>
    <w:p>
      <w:pPr>
        <w:pStyle w:val="TextBody"/>
        <w:bidi w:val="0"/>
        <w:spacing w:lineRule="auto" w:line="288" w:before="0" w:after="0"/>
        <w:ind w:left="0" w:right="0" w:hanging="18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12. Fair Value Measurements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use estimates of fair value in applying various accounting standards for our consolidated financial statements.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categorize our fair value estimates based on a hierarchical framework associated with three levels of price transparency utilized in measuring financial instruments at fair value. For additional information regarding our policies for determining fair value and the hierarchical framework, see Note 2, “Significant Accounting Policies - Fair Value Measurement” in our 2025 Form 10-K.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During the six months ended June 30, 2026, there were no significant transfers of financial instruments between levels or changes in our methodology or assumptions used to value our financial instruments.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summarizes the valuation of our financial instruments that are marked-to-fair value on a recurring basis.</w:t>
      </w:r>
    </w:p>
    <w:p>
      <w:pPr>
        <w:pStyle w:val="TextBody"/>
        <w:bidi w:val="0"/>
        <w:spacing w:before="0" w:after="0"/>
        <w:ind w:left="0" w:right="0" w:firstLine="450"/>
        <w:jc w:val="left"/>
        <w:rPr/>
      </w:pPr>
      <w:r>
        <w:rPr/>
      </w:r>
    </w:p>
    <w:tbl>
      <w:tblPr>
        <w:tblW w:w="13020" w:type="dxa"/>
        <w:jc w:val="center"/>
        <w:tblInd w:w="0" w:type="dxa"/>
        <w:tblLayout w:type="fixed"/>
        <w:tblCellMar>
          <w:top w:w="28" w:type="dxa"/>
          <w:left w:w="28" w:type="dxa"/>
          <w:bottom w:w="28" w:type="dxa"/>
          <w:right w:w="28" w:type="dxa"/>
        </w:tblCellMar>
      </w:tblPr>
      <w:tblGrid>
        <w:gridCol w:w="683"/>
        <w:gridCol w:w="566"/>
        <w:gridCol w:w="312"/>
        <w:gridCol w:w="109"/>
        <w:gridCol w:w="109"/>
        <w:gridCol w:w="109"/>
        <w:gridCol w:w="222"/>
        <w:gridCol w:w="428"/>
        <w:gridCol w:w="116"/>
        <w:gridCol w:w="109"/>
        <w:gridCol w:w="109"/>
        <w:gridCol w:w="109"/>
        <w:gridCol w:w="211"/>
        <w:gridCol w:w="976"/>
        <w:gridCol w:w="109"/>
        <w:gridCol w:w="109"/>
        <w:gridCol w:w="109"/>
        <w:gridCol w:w="109"/>
        <w:gridCol w:w="211"/>
        <w:gridCol w:w="721"/>
        <w:gridCol w:w="109"/>
        <w:gridCol w:w="109"/>
        <w:gridCol w:w="109"/>
        <w:gridCol w:w="109"/>
        <w:gridCol w:w="211"/>
        <w:gridCol w:w="976"/>
        <w:gridCol w:w="109"/>
        <w:gridCol w:w="109"/>
        <w:gridCol w:w="109"/>
        <w:gridCol w:w="109"/>
        <w:gridCol w:w="222"/>
        <w:gridCol w:w="428"/>
        <w:gridCol w:w="116"/>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2" w:type="dxa"/>
            <w:gridSpan w:val="4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Fair Value Measurements on a Recurring Basis</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December 31, 2025</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Total </w:t>
            </w:r>
          </w:p>
        </w:tc>
      </w:tr>
      <w:tr>
        <w:trPr/>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1,807,320 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45</w:t>
                      </w:r>
                    </w:p>
                  </w:txbxContent>
                </v:textbox>
                <w10:wrap type="none"/>
              </v:rect>
            </w:pict>
          </mc:Fallback>
        </mc:AlternateContent>
      </w:r>
    </w:p>
    <w:p>
      <w:pPr>
        <w:pStyle w:val="TextBody"/>
        <w:bidi w:val="0"/>
        <w:spacing w:before="0" w:after="0"/>
        <w:jc w:val="center"/>
        <w:rPr/>
      </w:pPr>
      <w:r>
        <w:rPr/>
      </w:r>
    </w:p>
    <w:tbl>
      <w:tblPr>
        <w:tblW w:w="4360" w:type="dxa"/>
        <w:jc w:val="center"/>
        <w:tblInd w:w="0" w:type="dxa"/>
        <w:tblLayout w:type="fixed"/>
        <w:tblCellMar>
          <w:top w:w="28" w:type="dxa"/>
          <w:left w:w="28" w:type="dxa"/>
          <w:bottom w:w="28" w:type="dxa"/>
          <w:right w:w="28" w:type="dxa"/>
        </w:tblCellMar>
      </w:tblPr>
      <w:tblGrid>
        <w:gridCol w:w="141"/>
        <w:gridCol w:w="124"/>
        <w:gridCol w:w="124"/>
        <w:gridCol w:w="1199"/>
        <w:gridCol w:w="1199"/>
        <w:gridCol w:w="1201"/>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12.</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Measurements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summarizes the change in balance sheet carrying value associated with level 3 financial instruments carried at fair value on a recurring basis.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974"/>
        <w:gridCol w:w="522"/>
        <w:gridCol w:w="524"/>
        <w:gridCol w:w="109"/>
        <w:gridCol w:w="109"/>
        <w:gridCol w:w="109"/>
        <w:gridCol w:w="220"/>
        <w:gridCol w:w="644"/>
        <w:gridCol w:w="114"/>
        <w:gridCol w:w="109"/>
        <w:gridCol w:w="109"/>
        <w:gridCol w:w="109"/>
        <w:gridCol w:w="216"/>
        <w:gridCol w:w="741"/>
        <w:gridCol w:w="112"/>
        <w:gridCol w:w="109"/>
        <w:gridCol w:w="109"/>
        <w:gridCol w:w="109"/>
        <w:gridCol w:w="211"/>
        <w:gridCol w:w="721"/>
        <w:gridCol w:w="109"/>
        <w:gridCol w:w="109"/>
        <w:gridCol w:w="109"/>
        <w:gridCol w:w="109"/>
        <w:gridCol w:w="220"/>
        <w:gridCol w:w="642"/>
        <w:gridCol w:w="113"/>
        <w:gridCol w:w="109"/>
        <w:gridCol w:w="109"/>
        <w:gridCol w:w="109"/>
        <w:gridCol w:w="216"/>
        <w:gridCol w:w="741"/>
        <w:gridCol w:w="112"/>
        <w:gridCol w:w="109"/>
        <w:gridCol w:w="109"/>
        <w:gridCol w:w="109"/>
        <w:gridCol w:w="211"/>
        <w:gridCol w:w="721"/>
        <w:gridCol w:w="159"/>
      </w:tblGrid>
      <w:tr>
        <w:trPr/>
        <w:tc>
          <w:tcPr>
            <w:tcW w:w="97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Six Months Ended June 30,</w:t>
            </w:r>
          </w:p>
        </w:tc>
      </w:tr>
      <w:tr>
        <w:trPr/>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Investments</w:t>
            </w:r>
          </w:p>
        </w:tc>
      </w:tr>
      <w:tr>
        <w:trPr/>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 xml:space="preserve">Available For Sale - </w:t>
              <w:br/>
              <w:t>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 xml:space="preserve">Trading - </w:t>
              <w:br/>
              <w:t>Residual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Available For Sale -</w:t>
              <w:br/>
              <w:t>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 xml:space="preserve">Trading - </w:t>
              <w:br/>
              <w:t>Residual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r>
      <w:tr>
        <w:trPr/>
        <w:tc>
          <w:tcPr>
            <w:tcW w:w="2020" w:type="dxa"/>
            <w:gridSpan w:val="3"/>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Balance, beginning of period</w:t>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14"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12"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51,142 </w:t>
            </w:r>
          </w:p>
        </w:tc>
        <w:tc>
          <w:tcPr>
            <w:tcW w:w="109"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2,689 </w:t>
            </w:r>
          </w:p>
        </w:tc>
        <w:tc>
          <w:tcPr>
            <w:tcW w:w="113"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53,262 </w:t>
            </w:r>
          </w:p>
        </w:tc>
        <w:tc>
          <w:tcPr>
            <w:tcW w:w="112"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55,951 </w:t>
            </w:r>
          </w:p>
        </w:tc>
        <w:tc>
          <w:tcPr>
            <w:tcW w:w="159"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gains/(losses):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EDEDE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Included in earnings (or changes in net assets)</w:t>
            </w:r>
            <w:r>
              <w:rPr>
                <w:rFonts w:ascii="Arial;sans-serif" w:hAnsi="Arial;sans-serif"/>
                <w:b w:val="false"/>
                <w:color w:val="000000"/>
                <w:sz w:val="12"/>
              </w:rPr>
              <w:t>(1)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6,308 </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6,317 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w:t>
            </w:r>
          </w:p>
        </w:tc>
        <w:tc>
          <w:tcPr>
            <w:tcW w:w="15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w:t>
            </w:r>
          </w:p>
        </w:tc>
        <w:tc>
          <w:tcPr>
            <w:tcW w:w="11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1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(3,413)</w:t>
            </w:r>
          </w:p>
        </w:tc>
        <w:tc>
          <w:tcPr>
            <w:tcW w:w="15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into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out of level 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47,154 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gains or losses for the period included in other comprehensive income for assets held at the end of the reporting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EDEDE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unrealized gains or losses for the period included in earnings (or changes in net assets) for assets held at the end of the reporting period</w:t>
            </w:r>
            <w:r>
              <w:rPr>
                <w:rFonts w:ascii="Arial;sans-serif" w:hAnsi="Arial;sans-serif"/>
                <w:b w:val="false"/>
                <w:color w:val="000000"/>
                <w:sz w:val="12"/>
              </w:rPr>
              <w:t>(2)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6,308 </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6,308 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11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15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0"/>
        </w:rPr>
        <w:t xml:space="preserve">(1) </w:t>
      </w:r>
      <w:r>
        <w:rPr>
          <w:rFonts w:ascii="Arial;sans-serif" w:hAnsi="Arial;sans-serif"/>
          <w:b w:val="false"/>
          <w:color w:val="000000"/>
          <w:sz w:val="16"/>
        </w:rPr>
        <w:t>Included in earnings (or changes in net assets) is comprised of the amounts recorded in the specified line item in the consolidated statements of income:</w:t>
      </w:r>
    </w:p>
    <w:p>
      <w:pPr>
        <w:pStyle w:val="TextBody"/>
        <w:bidi w:val="0"/>
        <w:spacing w:before="0" w:after="0"/>
        <w:ind w:left="0" w:right="0" w:hanging="270"/>
        <w:jc w:val="left"/>
        <w:rPr/>
      </w:pPr>
      <w:r>
        <w:rPr/>
      </w:r>
    </w:p>
    <w:tbl>
      <w:tblPr>
        <w:tblW w:w="4928" w:type="dxa"/>
        <w:jc w:val="left"/>
        <w:tblInd w:w="0" w:type="dxa"/>
        <w:tblLayout w:type="fixed"/>
        <w:tblCellMar>
          <w:top w:w="28" w:type="dxa"/>
          <w:left w:w="28" w:type="dxa"/>
          <w:bottom w:w="28" w:type="dxa"/>
          <w:right w:w="28" w:type="dxa"/>
        </w:tblCellMar>
      </w:tblPr>
      <w:tblGrid>
        <w:gridCol w:w="835"/>
        <w:gridCol w:w="736"/>
        <w:gridCol w:w="738"/>
        <w:gridCol w:w="109"/>
        <w:gridCol w:w="109"/>
        <w:gridCol w:w="109"/>
        <w:gridCol w:w="207"/>
        <w:gridCol w:w="588"/>
        <w:gridCol w:w="115"/>
        <w:gridCol w:w="115"/>
        <w:gridCol w:w="115"/>
        <w:gridCol w:w="115"/>
        <w:gridCol w:w="207"/>
        <w:gridCol w:w="667"/>
        <w:gridCol w:w="163"/>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309" w:type="dxa"/>
            <w:gridSpan w:val="3"/>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 Investments</w:t>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5"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3"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6,317 </w:t>
            </w:r>
          </w:p>
        </w:tc>
        <w:tc>
          <w:tcPr>
            <w:tcW w:w="115"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EDEDED"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(3,123)</w:t>
            </w:r>
          </w:p>
        </w:tc>
        <w:tc>
          <w:tcPr>
            <w:tcW w:w="163"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315"/>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Recorded in "losses on securities, net" in the consolidated statements of income.</w:t>
      </w:r>
    </w:p>
    <w:p>
      <w:pPr>
        <w:pStyle w:val="TextBody"/>
        <w:bidi w:val="0"/>
        <w:spacing w:before="0" w:after="0"/>
        <w:ind w:left="0" w:right="0" w:hanging="315"/>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significant unobservable inputs used in the recurring valuations of the level 3 financial instruments detailed above.</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49"/>
        <w:gridCol w:w="572"/>
        <w:gridCol w:w="573"/>
        <w:gridCol w:w="109"/>
        <w:gridCol w:w="109"/>
        <w:gridCol w:w="109"/>
        <w:gridCol w:w="211"/>
        <w:gridCol w:w="721"/>
        <w:gridCol w:w="109"/>
        <w:gridCol w:w="109"/>
        <w:gridCol w:w="109"/>
        <w:gridCol w:w="109"/>
        <w:gridCol w:w="595"/>
        <w:gridCol w:w="587"/>
        <w:gridCol w:w="589"/>
        <w:gridCol w:w="109"/>
        <w:gridCol w:w="109"/>
        <w:gridCol w:w="109"/>
        <w:gridCol w:w="736"/>
        <w:gridCol w:w="736"/>
        <w:gridCol w:w="739"/>
        <w:gridCol w:w="109"/>
        <w:gridCol w:w="109"/>
        <w:gridCol w:w="109"/>
        <w:gridCol w:w="606"/>
        <w:gridCol w:w="605"/>
        <w:gridCol w:w="869"/>
      </w:tblGrid>
      <w:tr>
        <w:trPr/>
        <w:tc>
          <w:tcPr>
            <w:tcW w:w="64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As of June 30, 2026</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Range (Average)</w:t>
            </w:r>
          </w:p>
        </w:tc>
      </w:tr>
      <w:tr>
        <w:trPr/>
        <w:tc>
          <w:tcPr>
            <w:tcW w:w="179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Discounted cash flow</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Constant Prepayment Rate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xml:space="preserve">7.0%-10.9% (8.3%) </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Probability of default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xml:space="preserve">2.9%-17.9% (10.3%) </w:t>
            </w:r>
          </w:p>
        </w:tc>
      </w:tr>
      <w:tr>
        <w:trPr/>
        <w:tc>
          <w:tcPr>
            <w:tcW w:w="179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Residual Interests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Discounted cash flow</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Constant Prepayment 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7.0%-10.9% (8.3%)</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Probability of default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xml:space="preserve">2.9%-17.9% (10.3%) </w:t>
            </w:r>
          </w:p>
        </w:tc>
      </w:tr>
      <w:tr>
        <w:trPr/>
        <w:tc>
          <w:tcPr>
            <w:tcW w:w="179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57,438 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46</w:t>
                      </w:r>
                    </w:p>
                  </w:txbxContent>
                </v:textbox>
                <w10:wrap type="none"/>
              </v:rect>
            </w:pict>
          </mc:Fallback>
        </mc:AlternateContent>
      </w:r>
    </w:p>
    <w:p>
      <w:pPr>
        <w:pStyle w:val="TextBody"/>
        <w:bidi w:val="0"/>
        <w:spacing w:before="0" w:after="0"/>
        <w:jc w:val="center"/>
        <w:rPr/>
      </w:pPr>
      <w:r>
        <w:rPr/>
      </w:r>
    </w:p>
    <w:tbl>
      <w:tblPr>
        <w:tblW w:w="4360" w:type="dxa"/>
        <w:jc w:val="center"/>
        <w:tblInd w:w="0" w:type="dxa"/>
        <w:tblLayout w:type="fixed"/>
        <w:tblCellMar>
          <w:top w:w="28" w:type="dxa"/>
          <w:left w:w="28" w:type="dxa"/>
          <w:bottom w:w="28" w:type="dxa"/>
          <w:right w:w="28" w:type="dxa"/>
        </w:tblCellMar>
      </w:tblPr>
      <w:tblGrid>
        <w:gridCol w:w="141"/>
        <w:gridCol w:w="124"/>
        <w:gridCol w:w="124"/>
        <w:gridCol w:w="1199"/>
        <w:gridCol w:w="1199"/>
        <w:gridCol w:w="1201"/>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12.</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Measurements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significant inputs detailed in the above table would be expected to have the following impacts to the valuations: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 xml:space="preserve">A decrease in constant prepayment rate (“CPR”) would result in a longer weighted average life of the trust, resulting in a decrease to the valuation due to the delay in residual cash flows with the increased term. The opposite is true for an increase in the CPR.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 xml:space="preserve">A decrease in the probability of defaults means increased principal receipts, resulting in an increase to the valuation due to the increase in residual cash flow.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Conversely, an increase in the probability of defaults means decreased principal receipts, resulting in a decrease to the valuation due to the decrease in residual cash flow.</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fair values of our financial assets and liabilities, including derivative financial instruments.</w:t>
      </w:r>
    </w:p>
    <w:p>
      <w:pPr>
        <w:pStyle w:val="TextBody"/>
        <w:bidi w:val="0"/>
        <w:spacing w:before="0" w:after="0"/>
        <w:ind w:left="0" w:right="0" w:firstLine="720"/>
        <w:jc w:val="left"/>
        <w:rPr/>
      </w:pPr>
      <w:r>
        <w:rPr/>
      </w:r>
    </w:p>
    <w:tbl>
      <w:tblPr>
        <w:tblW w:w="11764" w:type="dxa"/>
        <w:jc w:val="center"/>
        <w:tblInd w:w="0" w:type="dxa"/>
        <w:tblLayout w:type="fixed"/>
        <w:tblCellMar>
          <w:top w:w="28" w:type="dxa"/>
          <w:left w:w="28" w:type="dxa"/>
          <w:bottom w:w="28" w:type="dxa"/>
          <w:right w:w="28" w:type="dxa"/>
        </w:tblCellMar>
      </w:tblPr>
      <w:tblGrid>
        <w:gridCol w:w="944"/>
        <w:gridCol w:w="372"/>
        <w:gridCol w:w="245"/>
        <w:gridCol w:w="109"/>
        <w:gridCol w:w="109"/>
        <w:gridCol w:w="109"/>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09"/>
        <w:gridCol w:w="109"/>
        <w:gridCol w:w="109"/>
        <w:gridCol w:w="109"/>
        <w:gridCol w:w="211"/>
        <w:gridCol w:w="976"/>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December 31, 2025</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Difference</w:t>
            </w:r>
          </w:p>
        </w:tc>
      </w:tr>
      <w:tr>
        <w:trPr/>
        <w:tc>
          <w:tcPr>
            <w:tcW w:w="15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174,632 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947,078 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933,256 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13,822 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1,701,466 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1,602,311 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1,662,640 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1,562,811 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99,829 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earning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30,449,078 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27,667,050 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2,782,028 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31,856,437 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28,876,776 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2,979,661 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Money-market and savings accounts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10,609,001 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10,631,560 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11,187,471 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11,182,022 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489,802 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8,613 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25,716,657 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25,835,613 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118,956 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26,982,525 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27,018,408 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35,883 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Excess of net asset fair value over carrying value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2,900,984 </w:t>
            </w:r>
          </w:p>
        </w:tc>
        <w:tc>
          <w:tcPr>
            <w:tcW w:w="109"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3,015,544 </w:t>
            </w:r>
          </w:p>
        </w:tc>
        <w:tc>
          <w:tcPr>
            <w:tcW w:w="154"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Please refer to Note 16, “Fair Value Measurements” in our 2025 Form 10-K for a full discussion of the methods and assumptions used to estimate the fair value of each class of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Regulatory Capital</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Sallie Mae Bank (the “Bank”) is subject to various regulatory capital requirements administered by the FDIC and the Utah Department of Financial Institutions. Failure to meet minimum capital requirements can initiate certain mandatory and possibly additional discretionary actions by regulators that, if undertaken, could have a direct material adverse effect on our business, results of operations, and financial position. Under the FDIC’s regulations implementing the Basel III capital framework (“U.S. Basel III”) and the regulatory framework for prompt corrective action, the Bank must meet specific capital standards that involve quantitative measures of its assets, liabilities, and certain off-balance sheet items as calculated under regulatory accounting practices. The Bank’s capital amounts and its classification under the prompt corrective action framework are also subject to qualitative judgments by the regulators about components of capital, risk weightings, and other factors.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 is subject to the following minimum capital ratios under U.S. Basel III: a Common Equity Tier 1 risk-based capital ratio of 4.5 percent, a Tier 1 risk-based capital ratio of 6.0 percent, a Total risk-based capital ratio of 8.0 percent, and a Tier 1 leverage ratio of 4.0 percent. In addition, the Bank is subject to a Common Equity Tier 1 capital conservation buffer of greater than 2.5 percent. Failure to maintain the buffer will result in restrictions on the Bank’s ability to make capital distributions, including the payment of dividends, and to pay discretionary bonuses to executive officers. Including the buffer, the Bank is required to maintain the following capital ratios under U.S. Basel III in order to avoid such restrictions: a Common Equity Tier 1 risk-based capital ratio of greater than 7.0 percent, a Tier 1 risk-based capital ratio of greater than 8.5 percent, and a Total risk-based capital ratio of greater than 10.5 percent.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To qualify as “well capitalized” under the prompt corrective action framework for insured depository institutions, the Bank must maintain a Common Equity Tier 1 risk-based capital ratio of at least 6.5 percent, a Tier 1 risk-based capital ratio of at least 8.0 percent, a Total risk-based capital ratio of at least 10.0 percent, and a Tier 1 leverage ratio of at least 5.0 percent.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See Note 17, “Regulatory Capital” in our 2025 Form 10-K for additional information regarding the adjusted transition amounts.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Bank’s required and actual regulatory capital amounts and ratios, including applicable capital conservation buffers, under U.S. Basel III are shown in the following table. The following capital amounts and ratios are based upon the Bank’s average assets and risk-weighted assets, as indicated. The Bank has elected to exclude accumulated other comprehensive income related to both available-for-sale investments and swap valuations from Common Equity Tier 1 Capital.</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4"/>
        <w:gridCol w:w="1444"/>
        <w:gridCol w:w="1448"/>
        <w:gridCol w:w="109"/>
        <w:gridCol w:w="109"/>
        <w:gridCol w:w="109"/>
        <w:gridCol w:w="211"/>
        <w:gridCol w:w="976"/>
        <w:gridCol w:w="109"/>
        <w:gridCol w:w="255"/>
        <w:gridCol w:w="256"/>
        <w:gridCol w:w="310"/>
        <w:gridCol w:w="109"/>
        <w:gridCol w:w="109"/>
        <w:gridCol w:w="109"/>
        <w:gridCol w:w="258"/>
        <w:gridCol w:w="1196"/>
        <w:gridCol w:w="132"/>
        <w:gridCol w:w="132"/>
        <w:gridCol w:w="132"/>
        <w:gridCol w:w="132"/>
        <w:gridCol w:w="255"/>
        <w:gridCol w:w="256"/>
        <w:gridCol w:w="395"/>
      </w:tblGrid>
      <w:tr>
        <w:trPr/>
        <w:tc>
          <w:tcPr>
            <w:tcW w:w="165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4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8"/>
              </w:rPr>
            </w:pPr>
            <w:r>
              <w:rPr>
                <w:rFonts w:ascii="Arial;sans-serif" w:hAnsi="Arial;sans-serif"/>
                <w:b/>
                <w:color w:val="144F82"/>
                <w:sz w:val="18"/>
              </w:rPr>
              <w:t>U.S. Basel III Minimum</w:t>
            </w:r>
          </w:p>
          <w:p>
            <w:pPr>
              <w:pStyle w:val="TableContents"/>
              <w:bidi w:val="0"/>
              <w:spacing w:lineRule="auto" w:line="240" w:before="0" w:after="0"/>
              <w:jc w:val="center"/>
              <w:rPr/>
            </w:pPr>
            <w:r>
              <w:rPr>
                <w:rFonts w:ascii="Arial;sans-serif" w:hAnsi="Arial;sans-serif"/>
                <w:b/>
                <w:color w:val="144F82"/>
                <w:sz w:val="18"/>
              </w:rPr>
              <w:t>Requirements Plus Buffer</w:t>
            </w:r>
            <w:r>
              <w:rPr>
                <w:rFonts w:ascii="Arial;sans-serif" w:hAnsi="Arial;sans-serif"/>
                <w:b/>
                <w:color w:val="144F82"/>
                <w:sz w:val="12"/>
              </w:rPr>
              <w:t>(1)(2)</w:t>
            </w:r>
          </w:p>
        </w:tc>
      </w:tr>
      <w:tr>
        <w:trPr/>
        <w:tc>
          <w:tcPr>
            <w:tcW w:w="45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r>
      <w:tr>
        <w:trPr/>
        <w:tc>
          <w:tcPr>
            <w:tcW w:w="4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2,951,103 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1,752,917 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2,128,543 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3,277,882 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2,629,376 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1,161,093 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1,849,590 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2,245,930 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3,274,883 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2,774,384 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1,186,335 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20" w:after="283"/>
        <w:ind w:left="0" w:right="0" w:firstLine="45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80"/>
        <w:jc w:val="left"/>
        <w:rPr/>
      </w:pPr>
      <w:r>
        <w:rPr>
          <w:rFonts w:ascii="Arial;sans-serif" w:hAnsi="Arial;sans-serif"/>
          <w:b w:val="false"/>
          <w:color w:val="000000"/>
          <w:sz w:val="9"/>
        </w:rPr>
        <w:t>(1)</w:t>
      </w:r>
      <w:r>
        <w:rPr>
          <w:color w:val="000000"/>
        </w:rPr>
        <w:t>    </w:t>
      </w:r>
      <w:r>
        <w:rPr>
          <w:rFonts w:ascii="Arial;sans-serif" w:hAnsi="Arial;sans-serif"/>
          <w:b w:val="false"/>
          <w:color w:val="000000"/>
          <w:sz w:val="16"/>
        </w:rPr>
        <w:t xml:space="preserve">Reflects the U.S. Basel III minimum required ratio plus the applicable capital conservation buffer. </w:t>
      </w:r>
    </w:p>
    <w:p>
      <w:pPr>
        <w:pStyle w:val="TextBody"/>
        <w:bidi w:val="0"/>
        <w:spacing w:lineRule="auto" w:line="288" w:before="0" w:after="0"/>
        <w:ind w:left="0" w:right="0" w:hanging="180"/>
        <w:jc w:val="left"/>
        <w:rPr/>
      </w:pPr>
      <w:r>
        <w:rPr>
          <w:rFonts w:ascii="Arial;sans-serif" w:hAnsi="Arial;sans-serif"/>
          <w:b w:val="false"/>
          <w:color w:val="000000"/>
          <w:sz w:val="9"/>
        </w:rPr>
        <w:t>(2)</w:t>
      </w:r>
      <w:r>
        <w:rPr>
          <w:color w:val="000000"/>
        </w:rPr>
        <w:t>    </w:t>
      </w:r>
      <w:r>
        <w:rPr>
          <w:rFonts w:ascii="Arial;sans-serif" w:hAnsi="Arial;sans-serif"/>
          <w:b w:val="false"/>
          <w:color w:val="000000"/>
          <w:sz w:val="16"/>
        </w:rPr>
        <w:t xml:space="preserve">The Bank’s regulatory capital ratios also exceeded all applicable standards for the Bank to qualify as “well capitalized” under the prompt corrective action framework. </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48</w:t>
                      </w:r>
                    </w:p>
                  </w:txbxContent>
                </v:textbox>
                <w10:wrap type="none"/>
              </v:rect>
            </w:pict>
          </mc:Fallback>
        </mc:AlternateContent>
      </w:r>
    </w:p>
    <w:p>
      <w:pPr>
        <w:pStyle w:val="TextBody"/>
        <w:bidi w:val="0"/>
        <w:spacing w:before="0" w:after="0"/>
        <w:jc w:val="left"/>
        <w:rPr/>
      </w:pPr>
      <w:r>
        <w:rPr/>
      </w:r>
    </w:p>
    <w:tbl>
      <w:tblPr>
        <w:tblW w:w="3716" w:type="dxa"/>
        <w:jc w:val="center"/>
        <w:tblInd w:w="0" w:type="dxa"/>
        <w:tblLayout w:type="fixed"/>
        <w:tblCellMar>
          <w:top w:w="28" w:type="dxa"/>
          <w:left w:w="28" w:type="dxa"/>
          <w:bottom w:w="28" w:type="dxa"/>
          <w:right w:w="28" w:type="dxa"/>
        </w:tblCellMar>
      </w:tblPr>
      <w:tblGrid>
        <w:gridCol w:w="141"/>
        <w:gridCol w:w="124"/>
        <w:gridCol w:w="124"/>
        <w:gridCol w:w="984"/>
        <w:gridCol w:w="984"/>
        <w:gridCol w:w="987"/>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13.</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Regulatory Capital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left"/>
        <w:rPr>
          <w:rFonts w:ascii="Arial;sans-serif" w:hAnsi="Arial;sans-serif"/>
          <w:b w:val="false"/>
          <w:i/>
          <w:color w:val="000000"/>
          <w:sz w:val="20"/>
        </w:rPr>
      </w:pPr>
      <w:r>
        <w:rPr>
          <w:rFonts w:ascii="Arial;sans-serif" w:hAnsi="Arial;sans-serif"/>
          <w:b w:val="false"/>
          <w:i/>
          <w:color w:val="000000"/>
          <w:sz w:val="20"/>
        </w:rPr>
        <w:t>Bank Dividends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Bank is chartered under the laws of the State of Utah, and its deposits are insured by the FDIC. The Bank’s ability to pay dividends is subject to the laws of Utah and the regulations of the FDIC. Generally, under Utah’s industrial bank laws and regulations as well as FDIC regulations, the Bank may pay dividends from its net profits without regulatory approval if, following the payment of the dividend, the Bank’s capital and surplus would not be impaired. The Company relies on dividends from the Bank, as necessary, to enable the Company to pay any declared dividends and other payments and consummate share repurchases, as necessary. The Bank declared $200 million and $400 million in dividends to the Company for the three and six months ended June 30, 2026, respectively, and $94 million and $194 million in dividends to the Company for the three and six months ended June 30, 2025, respectively, with the proceeds primarily used to fund share repurchase programs and stock dividends.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14. Commitments, Contingencies and Guarantees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Commitments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later (usually at the start of the second semester or subsequent trimesters). We estimate expected credit losses over the contractual period that we are exposed to credit risk via a contractual obligation to extend credit, unless that obligation is unconditionally cancellable by us. At June 30, 2026, we had $1.7 billion of outstanding contractual loan commitments that we expect to fund during the remainder of the 2026/2027 academic year, including $28 million of contractual loan commitments associated with loans classified as held for sale. At June 30, 2026, we had a $66 million reserve recorded in “Other Liabilities” to cover lifetime expected credit losses on the unfunded commitments. See Note 2, “Significant Accounting Policies - Allowance for Credit Losses — Off-Balance Sheet Exposure for Contractual Loan Commitments” in our 2025 Form 10-K and Note 5, “Allowance for Credit Losses and Unfunded Loan Commitments” in this Form 10-Q for additional information.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Contingencies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the ordinary course of business, we and our subsidiaries are routinely defendants in or parties to pending and threatened legal actions and proceedings, including actions brought on behalf of various classes of claimants. These actions and proceedings may be based on alleged violations of consumer protection, securities, employment, and other laws. In certain of these actions and proceedings, claims for substantial monetary damage may be asserted against us and our subsidiaries.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It is common for the Company, our subsidiaries, and affiliates to receive information and document requests and investigative demands from state attorneys general, legislative committees, and administrative agencies. These requests may be for informational or regulatory purposes and may relate to our business practices, the industries in which we operate, or other companies with whom we conduct business. Our practice has been and continues to be to cooperate with these bodies and be responsive to any such requests.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required to establish reserves for litigation and regulatory matters where those matters present loss contingencies that are both probable and estimable. When loss contingencies are not both probable and estimable, we do not establish reserves.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Securities Class Action Litigation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December 19, 2025, a putative securities class action lawsuit was filed against SLM Corporation and certain of its officers in the United States District Court for the District of New Jersey, captioned Zappia v. SLM Corporation, et al. The complaint asserts claims under Section 10(b) and Section 20(a) of the Securities and Exchange Act of 1934, on behalf of a putative class of persons and entities who purchased (or otherwise acquired) the Company’s securities. The complaint contends that certain statements made by the Company and certain of its officers were allegedly false or misleading, and seeks unspecified damages on behalf of the putative class. The Company intends to defend itself vigorously. Plaintiff filed a Motion to Appoint Lead Plaintiff on February 17, 2026; the Court granted that motion on April 1, 2026. On June 8, 2026, Plaintiff filed his First Amended Class Action Complaint. At this time, the Company is unable to predict the outcome of this matter or estimate the possible loss or range of loss, if any, that may result from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15. Segment Reporting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is managed as a single line of business with a single reportable segment originating and servicing high-quality Private Education Loans and providing other education-related services to customers. Our consolidated financial results are regularly reviewed by the Company’s Chief Executive Officer (the “CEO”) to allocate resources and evaluate financial performance.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CEO evaluates the performance of the Company and decides how to allocate resources based on net income and total consolidated assets. The CEO uses net income to assess financial performance and to decide whether to re-invest profits into the Company or to return capital to stockholders in the form of dividends or the repurchase of common stock. Net income is also used to compare budget versus actual results, and the budget versus actual analysis is part of the segment financial performance review.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illustrates the significant expense categories and amounts regularly provided to the CEO.</w:t>
      </w:r>
    </w:p>
    <w:tbl>
      <w:tblPr>
        <w:tblW w:w="10205" w:type="dxa"/>
        <w:jc w:val="center"/>
        <w:tblInd w:w="0" w:type="dxa"/>
        <w:tblLayout w:type="fixed"/>
        <w:tblCellMar>
          <w:top w:w="28" w:type="dxa"/>
          <w:left w:w="28" w:type="dxa"/>
          <w:bottom w:w="28" w:type="dxa"/>
          <w:right w:w="28" w:type="dxa"/>
        </w:tblCellMar>
      </w:tblPr>
      <w:tblGrid>
        <w:gridCol w:w="1604"/>
        <w:gridCol w:w="1328"/>
        <w:gridCol w:w="133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0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26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expenses: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85,212 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62,128 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assessment fees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22,185 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194,296 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166,346 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364,657 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319,934 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impairment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non-interest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194,983 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167,244 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366,084 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321,853 </w:t>
            </w:r>
          </w:p>
        </w:tc>
        <w:tc>
          <w:tcPr>
            <w:tcW w:w="1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16. Subsequent Event</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2026 Loan Sales</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July 22, 2026, we sold approximately $175 million of our Private Education Loans to our strategic partner, including $172 million in principal, $3 million in capitalized interest and $0.2 million in accrued interest. The loan sale included the amounts that were classified as held for sale as of June 30, 2026, which consisted of newly originated loans, some of which were not fully-disbursed. Some of these loans had disbursements between June 30, 2026 and the date of the loan sale, resulting in the amount sold being larger than the $172 million of loans held for sale in the consolidated balance sheets. </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As the loan sale included newly originated loans that were not fully-disbursed, the resulting gain on sale expressed as a percentage was in the low single-digits. The gain will be recognized in the third quarter 2026 consolidated statements of income. The transaction qualified for sale treatment and removed the balance of the loans from our balance sheet on the settlement date. We will continue to service these loans and provide loan program management pursuant to the terms of the applicable transaction documents.</w:t>
      </w:r>
    </w:p>
    <w:p>
      <w:pPr>
        <w:pStyle w:val="TextBody"/>
        <w:bidi w:val="0"/>
        <w:spacing w:before="100" w:after="283"/>
        <w:ind w:left="0" w:right="0" w:firstLine="45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50</w:t>
                      </w:r>
                    </w:p>
                  </w:txbxContent>
                </v:textbox>
                <w10:wrap type="none"/>
              </v:rect>
            </w:pict>
          </mc:Fallback>
        </mc:AlternateContent>
      </w:r>
    </w:p>
    <w:p>
      <w:pPr>
        <w:pStyle w:val="TextBody"/>
        <w:bidi w:val="0"/>
        <w:spacing w:before="90" w:after="283"/>
        <w:jc w:val="left"/>
        <w:rPr/>
      </w:pPr>
      <w:r>
        <w:rPr/>
      </w:r>
    </w:p>
    <w:p>
      <w:pPr>
        <w:pStyle w:val="TextBody"/>
        <w:bidi w:val="0"/>
        <w:spacing w:before="0" w:after="0"/>
        <w:ind w:left="0" w:right="0" w:hanging="1215"/>
        <w:jc w:val="left"/>
        <w:rPr/>
      </w:pPr>
      <w:r>
        <w:rPr/>
      </w:r>
    </w:p>
    <w:p>
      <w:pPr>
        <w:pStyle w:val="TextBody"/>
        <w:bidi w:val="0"/>
        <w:spacing w:lineRule="auto" w:line="288" w:before="0" w:after="0"/>
        <w:ind w:left="0" w:right="0" w:hanging="1215"/>
        <w:jc w:val="left"/>
        <w:rPr/>
      </w:pPr>
      <w:r>
        <w:rPr>
          <w:rFonts w:ascii="Arial;sans-serif" w:hAnsi="Arial;sans-serif"/>
          <w:b/>
          <w:color w:val="144F82"/>
          <w:sz w:val="20"/>
        </w:rPr>
        <w:t xml:space="preserve">Item 2. </w:t>
      </w:r>
      <w:r>
        <w:rPr>
          <w:color w:val="144F82"/>
        </w:rPr>
        <w:t>    </w:t>
      </w:r>
      <w:r>
        <w:rPr>
          <w:rFonts w:ascii="Arial;sans-serif" w:hAnsi="Arial;sans-serif"/>
          <w:b/>
          <w:color w:val="144F82"/>
          <w:sz w:val="20"/>
        </w:rPr>
        <w:t xml:space="preserve">Management’s Discussion and Analysis of Financial Condition and Results of Operations </w:t>
      </w:r>
    </w:p>
    <w:p>
      <w:pPr>
        <w:pStyle w:val="TextBody"/>
        <w:bidi w:val="0"/>
        <w:spacing w:lineRule="auto" w:line="276"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Through this discussion and analysis, we intend to provide the reader with some narrative context for how our management views our consolidated financial statements, additional context within which to assess our operating results, and information on the quality and variability of our earnings, liquidity, and cash flows.</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information should be read in connection with SLM Corporation’s Annual Report on Form 10-K for the year ended December 31, 2025 (filed with the Securities and Exchange Commission (the “SEC”) on February 19, 2026) (the “2025 Form 10-K”), and subsequent reports filed with the SEC. Definitions for capitalized terms used in this report not defined herein can be found in the 2025 Form 10-K.</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References in this Form 10-Q to “we,” “us,” “our,” “Sallie Mae,” “SLM,” and the “Company” refer to SLM Corporation and its subsidiaries, except as otherwise indicated or unless the context otherwise requires.</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This report contains “forward-looking statements” and information based on management’s current expectations as of the date of this report. Statements that are not historical facts, including statements about the Company’s beliefs, opinions, expectations, and/or statements that assume or are dependent upon future events, are forward-looking statements. These include, but are not limited to, the strategies, goals, and assumptions of the Company; the Company’s expectation and ability to execute loan sales (including sales under the Company’s strategic partnership) and share repurchases; the Company’s expectation and ability to pay a quarterly cash dividend on the Company’s common stock in the future, subject to approval of the Board of Directors; the Company’s 2026 guidance; the Company’s three-year horizon outlook; the Company’s credit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changes in credit administration practices, including the results of simulations or other behavioral observations.</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Forward-looking statements are subject to risks, uncertainties, assumptions, and other factors, many of which are difficult to predict and generally beyond the Company’s control, which may cause actual results to differ materially from those reflected in such forward-looking statements. There can be no assurance that future developments affecting the Company will be as anticipated by management. The Company cautions readers that a number of important factors could cause actual results to differ materially from those expressed in, implied by, or projected in such forward-looking statements. These factors include, among others, the risks and uncertainties set forth in Item 1A., “Risk Factors,” and elsewhere in the Company’s most recently filed Annual Report on Form 10-K and subsequent filings with the SEC;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current federal administration; the ability to timely develop new products and services and the acceptance of those products and services by potential and existing customers; changes in accounting standards and related changes in significant accounting estimates, including those regarding the measurement of the Company’s allowance for credit losses and the related provision expense; any adverse outcomes in significant litigation to which the Company is a party; credit risk associated with the Company’s exposure to third parties, including counterparties to the Company’s derivative transactions; the effectiveness of the Company’s risk management framework and quantitative models; changes in the terms of education loans and the educational credit marketplace (including changes resulting from new laws and the implementation of existing laws); and changes in the demand for the Company’s deposit products, including changes caused by new or emerging market entrants or technologies. The Company could also be affected by, among other things, changes in funding costs and availability; reductions to credit ratings; cybersecurity incidents, cyberattacks, risks related to artificial intelligence (“AI”), and other failures or breaches of operating systems or infrastructure, including those of third-party vendors; the societal, demographic, business, and legislative/regulatory impacts of pandemics, other public health crises, severe weather events, and/or natural disasters; damage to reputation; risks associated with restructuring initiatives, including failures to successfully implement cost-cutting programs and the adverse effects of such initiatives on the business; changes in the demand for higher education, educational financing, or financing preferences of lenders, educational institutions, students, and their families, including changes to the amount or availability of funding that educational institutions, students, or their families receive from government sources; changes in laws and regulations with respect to the student lending business and financial institutions generally; changes in banking rules and regulations, including increased capital requirements; increased competition from banks and other consumer lenders; changes in customer creditworthiness; changes in the general interest rate environment, including the rate relationships among relevant money-market instruments and those of earning assets versus funding arrangements; rates of prepayments on loans owned by the Company; and changes in general economic or macroeconomic conditions, including, but not limited to, changes due to inflation, stagflation, recession, shifts in the labor market, and changes to government policies or initiatives, such as tariffs, trade wars, wars, immigration, and student visa policies, which could negatively impact consumer or business sentiment, demand for higher education, demand for student loans, financial and business results and/or modeling, and the ability to successfully effectuate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51</w:t>
                      </w:r>
                    </w:p>
                  </w:txbxContent>
                </v:textbox>
                <w10:wrap type="none"/>
              </v:rect>
            </w:pict>
          </mc:Fallback>
        </mc:AlternateContent>
      </w:r>
    </w:p>
    <w:p>
      <w:pPr>
        <w:pStyle w:val="TextBody"/>
        <w:bidi w:val="0"/>
        <w:spacing w:before="90" w:after="283"/>
        <w:jc w:val="left"/>
        <w:rPr/>
      </w:pPr>
      <w:r>
        <w:rPr/>
      </w:r>
    </w:p>
    <w:p>
      <w:pPr>
        <w:pStyle w:val="TextBody"/>
        <w:bidi w:val="0"/>
        <w:spacing w:lineRule="auto" w:line="276" w:before="90" w:after="283"/>
        <w:jc w:val="left"/>
        <w:rPr>
          <w:rFonts w:ascii="Arial;sans-serif" w:hAnsi="Arial;sans-serif"/>
          <w:b w:val="false"/>
          <w:color w:val="000000"/>
          <w:sz w:val="20"/>
        </w:rPr>
      </w:pPr>
      <w:r>
        <w:rPr>
          <w:rFonts w:ascii="Arial;sans-serif" w:hAnsi="Arial;sans-serif"/>
          <w:b w:val="false"/>
          <w:color w:val="000000"/>
          <w:sz w:val="20"/>
        </w:rPr>
        <w:t xml:space="preserve">acquisitions, strategic partnerships, or initiatives. The preparation of the Company’s consolidated financial statements also requires management to make certain estimates and assumptions, including estimates and assumptions about future events. These estimates or assumptions may prove to be incorrect. </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All forward-looking statements contained in this Form 10-Q are expressly qualified in their entirety by the factors, risks, and uncertainties set forth in the foregoing cautionary statements, and are made only as of the date of this report. The Company does not undertake any obligation to update, supplement, or revise any forward-looking statements or estimates to conform to actual results or changes in the Company’s expectations, nor to reflect events or circumstances that occur after the date on which such statements were made. In light of these risks, uncertainties, and assumptions, you should not place undue reliance on any forward-looking statements or estimates discussed herein.</w:t>
      </w:r>
    </w:p>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Selected Financial Information and Ratios</w:t>
      </w:r>
    </w:p>
    <w:p>
      <w:pPr>
        <w:pStyle w:val="TextBody"/>
        <w:bidi w:val="0"/>
        <w:spacing w:lineRule="auto" w:line="288" w:before="3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905"/>
        <w:gridCol w:w="796"/>
        <w:gridCol w:w="798"/>
        <w:gridCol w:w="111"/>
        <w:gridCol w:w="111"/>
        <w:gridCol w:w="111"/>
        <w:gridCol w:w="216"/>
        <w:gridCol w:w="1109"/>
        <w:gridCol w:w="278"/>
        <w:gridCol w:w="111"/>
        <w:gridCol w:w="111"/>
        <w:gridCol w:w="111"/>
        <w:gridCol w:w="216"/>
        <w:gridCol w:w="1109"/>
        <w:gridCol w:w="278"/>
        <w:gridCol w:w="109"/>
        <w:gridCol w:w="109"/>
        <w:gridCol w:w="109"/>
        <w:gridCol w:w="211"/>
        <w:gridCol w:w="1081"/>
        <w:gridCol w:w="271"/>
        <w:gridCol w:w="109"/>
        <w:gridCol w:w="109"/>
        <w:gridCol w:w="109"/>
        <w:gridCol w:w="211"/>
        <w:gridCol w:w="1081"/>
        <w:gridCol w:w="325"/>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9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 xml:space="preserve">(In thousands, </w:t>
              <w:br/>
              <w:t>except per share data and percentages)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249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4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SLM Corporation common stock</w:t>
            </w:r>
          </w:p>
        </w:tc>
        <w:tc>
          <w:tcPr>
            <w:tcW w:w="33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54,944 </w:t>
            </w:r>
          </w:p>
        </w:tc>
        <w:tc>
          <w:tcPr>
            <w:tcW w:w="27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67,300 </w:t>
            </w:r>
          </w:p>
        </w:tc>
        <w:tc>
          <w:tcPr>
            <w:tcW w:w="27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359,343 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367,884 </w:t>
            </w:r>
          </w:p>
        </w:tc>
        <w:tc>
          <w:tcPr>
            <w:tcW w:w="32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to compute diluted earnings per common share</w:t>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190,384 </w:t>
            </w:r>
          </w:p>
        </w:tc>
        <w:tc>
          <w:tcPr>
            <w:tcW w:w="27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213,220 </w:t>
            </w:r>
          </w:p>
        </w:tc>
        <w:tc>
          <w:tcPr>
            <w:tcW w:w="27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214,098 </w:t>
            </w:r>
          </w:p>
        </w:tc>
        <w:tc>
          <w:tcPr>
            <w:tcW w:w="32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Return on Assets</w:t>
            </w:r>
            <w:r>
              <w:rPr>
                <w:rFonts w:ascii="Arial;sans-serif" w:hAnsi="Arial;sans-serif"/>
                <w:b w:val="false"/>
                <w:color w:val="000000"/>
                <w:sz w:val="12"/>
              </w:rPr>
              <w:t>(1)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99"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Efficiency ratio</w:t>
            </w:r>
            <w:r>
              <w:rPr>
                <w:rFonts w:ascii="Arial;sans-serif" w:hAnsi="Arial;sans-serif"/>
                <w:b w:val="false"/>
                <w:color w:val="000000"/>
                <w:sz w:val="12"/>
              </w:rPr>
              <w:t>(2)</w:t>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27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27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32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Other Operating Statistics (Held for Investment)</w:t>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Private Education Loans,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21,160,332 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21,160,332 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education loans</w:t>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21,119,086 </w:t>
            </w:r>
          </w:p>
        </w:tc>
        <w:tc>
          <w:tcPr>
            <w:tcW w:w="27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22,561,636 </w:t>
            </w:r>
          </w:p>
        </w:tc>
        <w:tc>
          <w:tcPr>
            <w:tcW w:w="27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22,226,216 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22,738,295 </w:t>
            </w:r>
          </w:p>
        </w:tc>
        <w:tc>
          <w:tcPr>
            <w:tcW w:w="32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 We calculate and report our Return on Assets as the ratio of (a) GAAP net income numerator (annualized) to (b) the GAAP total average assets denominator.</w:t>
            </w:r>
          </w:p>
        </w:tc>
      </w:tr>
      <w:tr>
        <w:trPr/>
        <w:tc>
          <w:tcPr>
            <w:tcW w:w="637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 We calculate and report on our Efficiency ratio as the ratio of (a) GAAP total non-interest expenses to (b) the sum of GAAP net interest income plus GAAP 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discussion and analysis presents a review of our business and operations as of and for the three and six months ended June 30, 2026. </w:t>
      </w:r>
    </w:p>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Strategic Imperatives</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To further focus our business and increase stockholder value, we continue to advance our strategic imperatives. Our primary focus is driving innovation to maximize the sustainable growth and profitability of our core private student loan business. Additionally, we aim to accelerate the growth of new lines of business to attract more customers requiring our products and services. We are also focused on building the data infrastructure, technology, and talent required to compete in a digital world. We seek to create a customer-centric brand as an education solutions company that supports students and families through their higher education journey. We are focused on driving greater internal commitment to our mission, brand, and strategy, while we evolve our structure and risk capabilities to support our core private student loan business and emerging new businesses. </w:t>
      </w:r>
    </w:p>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 xml:space="preserve">Key Financial Measures </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operating results are primarily driven by net interest income from our Private Education Loan portfolio, gains and losses on loan sales, provision expense for credit losses, and operating expenses. The growth of our business and the strength of our financial condition are primarily driven by our ability to achieve our annual Private Education Loan origination goals while sustaining credit quality and maintaining cost-efficient funding sources to support our originations.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 brief summary of our key financial measures (net interest income and net interest margin; loan sales and secured financings; allowance for credit losses; charge-offs and delinquencies; operating expenses; Private Education Loan originations; and funding sources) can be found in Part II, Item 7. “Management’s Discussion and Analysis of Financial Condition and Results of Operations” in our 2025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52</w:t>
                      </w:r>
                    </w:p>
                  </w:txbxContent>
                </v:textbox>
                <w10:wrap type="none"/>
              </v:rect>
            </w:pict>
          </mc:Fallback>
        </mc:AlternateContent>
      </w:r>
    </w:p>
    <w:p>
      <w:pPr>
        <w:pStyle w:val="TextBody"/>
        <w:bidi w:val="0"/>
        <w:spacing w:before="90" w:after="283"/>
        <w:jc w:val="left"/>
        <w:rPr/>
      </w:pPr>
      <w:r>
        <w:rPr/>
      </w:r>
    </w:p>
    <w:p>
      <w:pPr>
        <w:pStyle w:val="TextBody"/>
        <w:bidi w:val="0"/>
        <w:spacing w:before="90" w:after="283"/>
        <w:ind w:left="0" w:right="0" w:firstLine="49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We present the results of operations below on a consolidated basis in accordance with GAAP.</w:t>
      </w:r>
    </w:p>
    <w:p>
      <w:pPr>
        <w:pStyle w:val="TextBody"/>
        <w:bidi w:val="0"/>
        <w:spacing w:lineRule="auto" w:line="288" w:before="90" w:after="283"/>
        <w:ind w:left="0" w:right="0" w:firstLine="495"/>
        <w:jc w:val="left"/>
        <w:rPr>
          <w:color w:val="000000"/>
        </w:rPr>
      </w:pPr>
      <w:r>
        <w:rPr>
          <w:color w:val="000000"/>
        </w:rPr>
        <w:t> </w:t>
      </w:r>
    </w:p>
    <w:p>
      <w:pPr>
        <w:pStyle w:val="TextBody"/>
        <w:bidi w:val="0"/>
        <w:spacing w:lineRule="auto" w:line="288" w:before="90" w:after="283"/>
        <w:ind w:left="0" w:right="0" w:firstLine="495"/>
        <w:jc w:val="left"/>
        <w:rPr>
          <w:rFonts w:ascii="Arial;sans-serif" w:hAnsi="Arial;sans-serif"/>
          <w:b/>
          <w:color w:val="000000"/>
          <w:sz w:val="20"/>
        </w:rPr>
      </w:pPr>
      <w:r>
        <w:rPr>
          <w:rFonts w:ascii="Arial;sans-serif" w:hAnsi="Arial;sans-serif"/>
          <w:b/>
          <w:color w:val="000000"/>
          <w:sz w:val="20"/>
        </w:rPr>
        <w:t xml:space="preserve">GAAP Consolidated Statements of Income (Unaudited) </w:t>
      </w:r>
    </w:p>
    <w:p>
      <w:pPr>
        <w:pStyle w:val="TextBody"/>
        <w:bidi w:val="0"/>
        <w:spacing w:before="90" w:after="283"/>
        <w:ind w:left="0" w:right="0" w:firstLine="495"/>
        <w:jc w:val="left"/>
        <w:rPr/>
      </w:pPr>
      <w:r>
        <w:rPr/>
      </w:r>
    </w:p>
    <w:tbl>
      <w:tblPr>
        <w:tblW w:w="10532" w:type="dxa"/>
        <w:jc w:val="center"/>
        <w:tblInd w:w="0" w:type="dxa"/>
        <w:tblLayout w:type="fixed"/>
        <w:tblCellMar>
          <w:top w:w="28" w:type="dxa"/>
          <w:left w:w="28" w:type="dxa"/>
          <w:bottom w:w="28" w:type="dxa"/>
          <w:right w:w="28" w:type="dxa"/>
        </w:tblCellMar>
      </w:tblPr>
      <w:tblGrid>
        <w:gridCol w:w="659"/>
        <w:gridCol w:w="263"/>
        <w:gridCol w:w="264"/>
        <w:gridCol w:w="109"/>
        <w:gridCol w:w="109"/>
        <w:gridCol w:w="109"/>
        <w:gridCol w:w="211"/>
        <w:gridCol w:w="511"/>
        <w:gridCol w:w="109"/>
        <w:gridCol w:w="109"/>
        <w:gridCol w:w="109"/>
        <w:gridCol w:w="109"/>
        <w:gridCol w:w="211"/>
        <w:gridCol w:w="511"/>
        <w:gridCol w:w="109"/>
        <w:gridCol w:w="109"/>
        <w:gridCol w:w="109"/>
        <w:gridCol w:w="109"/>
        <w:gridCol w:w="211"/>
        <w:gridCol w:w="526"/>
        <w:gridCol w:w="109"/>
        <w:gridCol w:w="109"/>
        <w:gridCol w:w="109"/>
        <w:gridCol w:w="109"/>
        <w:gridCol w:w="250"/>
        <w:gridCol w:w="216"/>
        <w:gridCol w:w="271"/>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30"/>
        <w:gridCol w:w="236"/>
        <w:gridCol w:w="316"/>
      </w:tblGrid>
      <w:tr>
        <w:trPr/>
        <w:tc>
          <w:tcPr>
            <w:tcW w:w="6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 xml:space="preserve">(Dollars in millions, </w:t>
              <w:br/>
              <w:t>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Increase</w:t>
            </w:r>
          </w:p>
          <w:p>
            <w:pPr>
              <w:pStyle w:val="TableContents"/>
              <w:bidi w:val="0"/>
              <w:spacing w:lineRule="auto" w:line="240" w:before="0" w:after="0"/>
              <w:jc w:val="center"/>
              <w:rPr/>
            </w:pPr>
            <w:r>
              <w:rPr>
                <w:rFonts w:ascii="Arial;sans-serif" w:hAnsi="Arial;sans-serif"/>
                <w:b/>
                <w:color w:val="144F82"/>
                <w:sz w:val="16"/>
              </w:rPr>
              <w:t>(Decrease)</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Increase</w:t>
            </w:r>
          </w:p>
          <w:p>
            <w:pPr>
              <w:pStyle w:val="TableContents"/>
              <w:bidi w:val="0"/>
              <w:spacing w:lineRule="auto" w:line="240" w:before="0" w:after="0"/>
              <w:jc w:val="center"/>
              <w:rPr/>
            </w:pPr>
            <w:r>
              <w:rPr>
                <w:rFonts w:ascii="Arial;sans-serif" w:hAnsi="Arial;sans-serif"/>
                <w:b/>
                <w:color w:val="144F82"/>
                <w:sz w:val="16"/>
              </w:rPr>
              <w:t>(Decrease)</w:t>
            </w:r>
            <w:r>
              <w:rPr>
                <w:color w:val="144F82"/>
              </w:rPr>
              <w:t xml:space="preserve"> </w:t>
            </w:r>
          </w:p>
        </w:tc>
      </w:tr>
      <w:tr>
        <w:trPr/>
        <w:tc>
          <w:tcPr>
            <w:tcW w:w="11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r>
      <w:tr>
        <w:trPr/>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cash equivalents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provisions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provisions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securities,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SLM Corporation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Basic earnings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1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Diluted earnings per common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Declared dividends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90" w:after="283"/>
        <w:ind w:left="0" w:right="0" w:hanging="900"/>
        <w:jc w:val="left"/>
        <w:rPr>
          <w:rFonts w:ascii="Arial;sans-serif" w:hAnsi="Arial;sans-serif"/>
          <w:b w:val="false"/>
          <w:i/>
          <w:color w:val="000000"/>
          <w:sz w:val="16"/>
        </w:rPr>
      </w:pPr>
      <w:r>
        <w:rPr>
          <w:rFonts w:ascii="Arial;sans-serif" w:hAnsi="Arial;sans-serif"/>
          <w:b w:val="false"/>
          <w:i/>
          <w:color w:val="000000"/>
          <w:sz w:val="16"/>
        </w:rPr>
        <w:t>Note: Due to rounding, amounts in this table may not sum to totals.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53</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70" w:after="283"/>
        <w:jc w:val="left"/>
        <w:rPr/>
      </w:pPr>
      <w:r>
        <w:rPr>
          <w:color w:val="000000"/>
        </w:rPr>
        <w:t> </w:t>
      </w:r>
      <w:r>
        <w:rPr>
          <w:rFonts w:ascii="Arial;sans-serif" w:hAnsi="Arial;sans-serif"/>
          <w:b/>
          <w:color w:val="000000"/>
          <w:sz w:val="20"/>
        </w:rPr>
        <w:t xml:space="preserve">GAAP Consolidated Earnings Summary </w:t>
      </w:r>
    </w:p>
    <w:p>
      <w:pPr>
        <w:pStyle w:val="TextBody"/>
        <w:bidi w:val="0"/>
        <w:spacing w:lineRule="auto" w:line="417" w:before="270" w:after="283"/>
        <w:jc w:val="left"/>
        <w:rPr>
          <w:rFonts w:ascii="Arial;sans-serif" w:hAnsi="Arial;sans-serif"/>
          <w:b/>
          <w:i/>
          <w:color w:val="000000"/>
          <w:sz w:val="20"/>
        </w:rPr>
      </w:pPr>
      <w:r>
        <w:rPr>
          <w:rFonts w:ascii="Arial;sans-serif" w:hAnsi="Arial;sans-serif"/>
          <w:b/>
          <w:i/>
          <w:color w:val="000000"/>
          <w:sz w:val="20"/>
        </w:rPr>
        <w:t xml:space="preserve">Three Months Ended June 30, 2026 Compared with Three Months Ended June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net income attributable to common stock was $55 million, or $0.29 diluted earnings per common share, compared with net income attributable to common stock of $67 million, or $0.32 diluted earnings per common share, for the three months ended June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primary drivers of changes in net income for the current quarter compared with net income in the year-ago quarter are as follows:</w:t>
      </w:r>
    </w:p>
    <w:p>
      <w:pPr>
        <w:pStyle w:val="TextBody"/>
        <w:bidi w:val="0"/>
        <w:spacing w:lineRule="auto" w:line="288" w:before="120" w:after="283"/>
        <w:ind w:left="0" w:right="0" w:firstLine="495"/>
        <w:jc w:val="left"/>
        <w:rPr/>
      </w:pPr>
      <w:r>
        <w:rPr>
          <w:color w:val="000000"/>
        </w:rPr>
        <w:t>•</w:t>
      </w:r>
      <w:r>
        <w:rPr>
          <w:rFonts w:ascii="Arial;sans-serif" w:hAnsi="Arial;sans-serif"/>
          <w:b w:val="false"/>
          <w:color w:val="000000"/>
          <w:sz w:val="20"/>
        </w:rPr>
        <w:t xml:space="preserve">Net interest income decreased by $44 million in the current quarter compared with the year-ago quarter primarily due to a $1.4 billion decrease in our average Private Education Loans outstanding and an $866 million increase in the average balance of lower yielding cash and short-term investments compared to the year-ago period. The decline in average loans outstanding was due to the $2.04 billion seasoned loan sale in March 2026. Our net interest margin decreased 56-basis points in the current quarter from the year-ago quarter primarily because the yields on our interest-earning assets decreased more than our cost of funds decreased. The yields on our interest-earning assets primarily decreased because the proportion of total interest-earning assets that were Private Education Loans was lower in the current quarter than the year-ago quarter due to the seasoned loan sale in March 2026. Our cost of funds decreased primarily due to the decline in the 30-day average SOFR rate compared to the year-ago quarter.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Provision for credit losses in the current quarter was $126 million, compared with $149 million of provisions in the year-ago quarter. The year-over-year decrease was primarily due to $11 million in negative provisions recorded in the current quarter, resulting from the $420 million Private Education Loan sale to the strategic partner during the second quarter of 2026 and changes in economic outlook. These drivers were offset by new loan commitments, net of expired commitments. In the year-ago quarter, the provision for credit losses was primarily affected by new loan commitments, net of expired commitments, and changes in the economic outlook.</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Gains on sales of loans, net, were $15 million in the second quarter of 2026, as a result of the $420 million Private Education Loan sale to the strategic partner that occurred in the quarter. There were no gains on sales of loans, net, in the year-ago quarter, as no loans were sold in the second quarter of 2025.</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Gains (losses) on securities, net, were $8 million in gains in the current quarter compared with $3 million of losses in the year-ago quarter. The change year-over-year was primarily due to changes in mark-to-fair value of our trading investments.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 xml:space="preserve">Other income was $45 million in the second quarter of 2026, compared with $29 million in the year-ago quarter. Third-party servicing fees in the second quarter of 2026 increased $9 million compared to the year-ago quarter due to an additional $6.22 billion of loan principal balance sold during the past year that we continue to service on behalf of the owners of the loans. Other income also increased due to the program management fees from the strategic partnership we entered into during the fourth quarter of 2025.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Second quarter 2026 total operating expenses were $194 million, up from $166 million in the year-ago quarter. The increase in total operating expenses was primarily due to increased personnel costs, additional marketing spend, and higher spending on information technology initiatives, offset by lower FDIC fees.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During the second quarter of 2026, we recorded $1 million in amortization of acquired intangible assets, consistent with $1 million in the year-ago quarter.</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Second quarter 2026 income tax expense was $22 million, compared with $16 million income tax expense in the year-ago quarter. Our effective income tax rate increased to 27.3 percent in the second quarter of 2026 from 18.7 percent in the year-ago quarter. The increase in the effective rate for the second quarter of 2026 was primarily due to a non-recurring deferred tax revaluation benefit recognized in the second quarter of 2025.</w:t>
      </w:r>
    </w:p>
    <w:p>
      <w:pPr>
        <w:pStyle w:val="TextBody"/>
        <w:bidi w:val="0"/>
        <w:spacing w:before="90" w:after="283"/>
        <w:jc w:val="left"/>
        <w:rPr/>
      </w:pPr>
      <w:r>
        <w:rPr/>
      </w:r>
    </w:p>
    <w:p>
      <w:pPr>
        <w:pStyle w:val="TextBody"/>
        <w:bidi w:val="0"/>
        <w:spacing w:before="0" w:after="0"/>
        <w:ind w:left="0" w:right="0" w:firstLine="85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54</w:t>
                      </w:r>
                    </w:p>
                  </w:txbxContent>
                </v:textbox>
                <w10:wrap type="none"/>
              </v:rect>
            </w:pict>
          </mc:Fallback>
        </mc:AlternateContent>
      </w:r>
    </w:p>
    <w:p>
      <w:pPr>
        <w:pStyle w:val="TextBody"/>
        <w:bidi w:val="0"/>
        <w:spacing w:before="90" w:after="283"/>
        <w:jc w:val="left"/>
        <w:rPr/>
      </w:pPr>
      <w:r>
        <w:rPr/>
      </w:r>
    </w:p>
    <w:p>
      <w:pPr>
        <w:pStyle w:val="TextBody"/>
        <w:bidi w:val="0"/>
        <w:spacing w:lineRule="auto" w:line="417" w:before="270" w:after="283"/>
        <w:jc w:val="left"/>
        <w:rPr>
          <w:rFonts w:ascii="Arial;sans-serif" w:hAnsi="Arial;sans-serif"/>
          <w:b/>
          <w:i/>
          <w:color w:val="000000"/>
          <w:sz w:val="20"/>
        </w:rPr>
      </w:pPr>
      <w:r>
        <w:rPr>
          <w:rFonts w:ascii="Arial;sans-serif" w:hAnsi="Arial;sans-serif"/>
          <w:b/>
          <w:i/>
          <w:color w:val="000000"/>
          <w:sz w:val="20"/>
        </w:rPr>
        <w:t xml:space="preserve">Six Months Ended June 30, 2026 Compared with Six Months Ended June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net income attributable to common stock was $359 million, or $1.85 diluted earnings per common share, compared with net income attributable to common stock of $368 million, or $1.72 diluted earnings per common share, for the six months ended June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primary drivers of changes in net income for the first six months of 2026 compared with the first six months of 2025 are as follows:</w:t>
      </w:r>
    </w:p>
    <w:p>
      <w:pPr>
        <w:pStyle w:val="TextBody"/>
        <w:bidi w:val="0"/>
        <w:spacing w:lineRule="auto" w:line="288" w:before="120" w:after="283"/>
        <w:ind w:left="0" w:right="0" w:firstLine="495"/>
        <w:jc w:val="left"/>
        <w:rPr/>
      </w:pPr>
      <w:r>
        <w:rPr>
          <w:color w:val="000000"/>
        </w:rPr>
        <w:t>•</w:t>
      </w:r>
      <w:r>
        <w:rPr>
          <w:rFonts w:ascii="Arial;sans-serif" w:hAnsi="Arial;sans-serif"/>
          <w:b w:val="false"/>
          <w:color w:val="000000"/>
          <w:sz w:val="20"/>
        </w:rPr>
        <w:t>Net interest income decreased by $44 million in the first six months of 2026 compared with the year-ago period primarily due to a 27-basis point decrease in our net interest margin and a $0.5 billion decrease in our average Private Education Loans compared to the year-ago period. Our net interest margin decreased in the current period from the year-ago period primarily because the yields on our interest-earning assets decreased more than our cost of funds decreased. The yields on both our interest-earning assets and our cost of funds decreased primarily due to the decline in the 30-day average SOFR rate compared to the year-ago period. Historically, the yields on our interest-earning assets reprice more quickly than our cost of funds. As such, the impacts of the declining interest rate environment on our interest-bearing liabilities were delayed when compared to our interest-earning assets, resulting in the yields on our interest-earning assets decreasing more than the yields on our interest-bearing liabilities.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Provision for credit losses in the six months ended June 30, 2026 was $114 million compared with $172 million of provisions in the year-ago period. The year-over-year decrease was primarily due to $131 million in negative provisions recorded in the first six months of 2026, resulting from the $3.75 billion in Private Education Loan sales during the first six months of 2026 and changes in economic outlook. These drivers were offset by new loan commitments, net of expired commitments. In the year-ago period, the provision for credit losses was primarily affected by new loan commitments, net of expired commitments, and changes in economic outlook, offset by $116 million in negative provisions resulting from the $2.00 billion Private Education Loan sales during the first six months of 2025.</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Gains on sales of loans, net, were $161 million in the six months ended June 30, 2026, as a result of the $3.75 billion Private Education Loan sales that occurred in the period. There were $188 million gains on sales of loans, net, in the year-ago period, as a result of the $2.00 billion in Private Education Loan sales that occurred in the first six months of 2025. Gains on sales of loans, net, in the first six months of 2026 was less than the year-ago period primarily due to the January 2026 and April 2026 loan sales, which included newly originated loans for the strategic partner that were not fully-disbursed, and causing the resulting gain on sale expressed as a percentage to be in the low single-digits. Due to market driven dynamics, pricing in the first quarter 2026 seasoned loan sale was also lower compared to the loan sales in the year-ago period.</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Gains (losses) on securities, net, were $6 million in gains in the first six months of 2026 compared with $13 million of losses in the year-ago period. The change compared to the year-ago period was primarily due to an impairment recorded in the first quarter of 2025 on certain of our non-marketable equity securities, and the changes in mark-to-fair value of our trading investments.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 xml:space="preserve">Other income was $86 million in the first six months of 2026, compared with $58 million in the year-ago period. Third-party servicing fees in the first six months of 2026 increased $15 million compared to the year-ago period due to an additional $6.22 billion of loan principal balance sold during the past year that we continue to service on behalf of the owners of the loans. Other income also increased due to the program management fees from the strategic partnership we entered into during the fourth quarter of 2025.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First-half 2026 total operating expenses were $365 million, up from $320 million in the year-ago period. The increase in total operating expenses was primarily due to increased personnel costs, additional marketing spend, and higher spending on information technology initiatives, offset by lower FDIC fees.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During the first six months of 2026, we recorded $1 million in amortization of acquired intangible assets, compared with $2 million in the year-ago period.</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Income tax expense for the six months ended June 30, 2026 was $114 million, compared with $115 million income tax expense in the year-ago period. Our effective income tax rate increased slightly to 23.8 percent in the first six months of 2026 from 23.4 percent in the year-ago period. The increase in the effective rate for the first six months of 2026 was primarily due to less benefit from stock compensation windfalls.</w:t>
      </w:r>
    </w:p>
    <w:p>
      <w:pPr>
        <w:pStyle w:val="TextBody"/>
        <w:bidi w:val="0"/>
        <w:spacing w:before="90" w:after="283"/>
        <w:jc w:val="left"/>
        <w:rPr/>
      </w:pPr>
      <w:r>
        <w:rPr/>
      </w:r>
    </w:p>
    <w:p>
      <w:pPr>
        <w:pStyle w:val="TextBody"/>
        <w:bidi w:val="0"/>
        <w:spacing w:before="0" w:after="0"/>
        <w:ind w:left="0" w:right="0" w:firstLine="855"/>
        <w:jc w:val="left"/>
        <w:rPr/>
      </w:pPr>
      <w:r>
        <w:rPr/>
      </w:r>
    </w:p>
    <w:p>
      <w:pPr>
        <w:pStyle w:val="TextBody"/>
        <w:bidi w:val="0"/>
        <w:spacing w:before="0" w:after="0"/>
        <w:ind w:left="0" w:right="0" w:firstLine="85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55</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270" w:after="283"/>
        <w:jc w:val="left"/>
        <w:rPr>
          <w:rFonts w:ascii="Arial;sans-serif" w:hAnsi="Arial;sans-serif"/>
          <w:b/>
          <w:i/>
          <w:color w:val="000000"/>
          <w:sz w:val="20"/>
        </w:rPr>
      </w:pPr>
      <w:r>
        <w:rPr>
          <w:rFonts w:ascii="Arial;sans-serif" w:hAnsi="Arial;sans-serif"/>
          <w:b/>
          <w:i/>
          <w:color w:val="000000"/>
          <w:sz w:val="20"/>
        </w:rPr>
        <w:t xml:space="preserve">Average Balance Sheets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reflects the rates earned on interest-earning assets and paid on interest-bearing liabilities and reflects our net interest margin on a consolidated basis. </w:t>
      </w:r>
    </w:p>
    <w:p>
      <w:pPr>
        <w:pStyle w:val="TextBody"/>
        <w:bidi w:val="0"/>
        <w:spacing w:lineRule="auto" w:line="288" w:before="90" w:after="283"/>
        <w:ind w:left="0" w:right="0" w:firstLine="495"/>
        <w:jc w:val="center"/>
        <w:rPr>
          <w:color w:val="000000"/>
        </w:rPr>
      </w:pPr>
      <w:r>
        <w:rPr>
          <w:color w:val="000000"/>
        </w:rPr>
        <w:t> </w:t>
      </w:r>
    </w:p>
    <w:tbl>
      <w:tblPr>
        <w:tblW w:w="13956" w:type="dxa"/>
        <w:jc w:val="center"/>
        <w:tblInd w:w="0" w:type="dxa"/>
        <w:tblLayout w:type="fixed"/>
        <w:tblCellMar>
          <w:top w:w="28" w:type="dxa"/>
          <w:left w:w="28" w:type="dxa"/>
          <w:bottom w:w="28" w:type="dxa"/>
          <w:right w:w="28" w:type="dxa"/>
        </w:tblCellMar>
      </w:tblPr>
      <w:tblGrid>
        <w:gridCol w:w="1183"/>
        <w:gridCol w:w="321"/>
        <w:gridCol w:w="312"/>
        <w:gridCol w:w="109"/>
        <w:gridCol w:w="109"/>
        <w:gridCol w:w="109"/>
        <w:gridCol w:w="211"/>
        <w:gridCol w:w="1081"/>
        <w:gridCol w:w="109"/>
        <w:gridCol w:w="109"/>
        <w:gridCol w:w="109"/>
        <w:gridCol w:w="109"/>
        <w:gridCol w:w="308"/>
        <w:gridCol w:w="308"/>
        <w:gridCol w:w="271"/>
        <w:gridCol w:w="109"/>
        <w:gridCol w:w="109"/>
        <w:gridCol w:w="109"/>
        <w:gridCol w:w="211"/>
        <w:gridCol w:w="1081"/>
        <w:gridCol w:w="109"/>
        <w:gridCol w:w="109"/>
        <w:gridCol w:w="109"/>
        <w:gridCol w:w="109"/>
        <w:gridCol w:w="308"/>
        <w:gridCol w:w="308"/>
        <w:gridCol w:w="271"/>
        <w:gridCol w:w="109"/>
        <w:gridCol w:w="109"/>
        <w:gridCol w:w="109"/>
        <w:gridCol w:w="109"/>
        <w:gridCol w:w="109"/>
        <w:gridCol w:w="109"/>
        <w:gridCol w:w="211"/>
        <w:gridCol w:w="1081"/>
        <w:gridCol w:w="109"/>
        <w:gridCol w:w="109"/>
        <w:gridCol w:w="109"/>
        <w:gridCol w:w="109"/>
        <w:gridCol w:w="308"/>
        <w:gridCol w:w="308"/>
        <w:gridCol w:w="271"/>
        <w:gridCol w:w="109"/>
        <w:gridCol w:w="109"/>
        <w:gridCol w:w="109"/>
        <w:gridCol w:w="211"/>
        <w:gridCol w:w="1081"/>
        <w:gridCol w:w="109"/>
        <w:gridCol w:w="109"/>
        <w:gridCol w:w="109"/>
        <w:gridCol w:w="109"/>
        <w:gridCol w:w="308"/>
        <w:gridCol w:w="308"/>
        <w:gridCol w:w="316"/>
      </w:tblGrid>
      <w:tr>
        <w:trPr/>
        <w:tc>
          <w:tcPr>
            <w:tcW w:w="11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2"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Six Months Ended June 30,</w:t>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r>
      <w:tr>
        <w:trPr/>
        <w:tc>
          <w:tcPr>
            <w:tcW w:w="1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Average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21,119,086 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22,561,636 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22,226,216 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22,738,295 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3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other short-term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5,045,304 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4,179,153 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4,353,471 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4,073,333 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28,117,796 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28,489,321 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28,460,237 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28,669,158 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Average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Brokered 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8,457,952 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8,705,875 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8,654,643 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8,938,906 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3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Retail and other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interest-bearing liabilities</w:t>
            </w:r>
            <w:r>
              <w:rPr>
                <w:rFonts w:ascii="Arial;sans-serif" w:hAnsi="Arial;sans-serif"/>
                <w:b w:val="false"/>
                <w:color w:val="000000"/>
                <w:sz w:val="12"/>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5,991,551 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6,337,640 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5,917,006 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6,371,568 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26,175,175 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26,619,071 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26,523,362 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26,788,854 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2,470,735 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2,388,623 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2,456,146 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2,333,797 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28,862,765 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29,070,434 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29,225,964 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29,191,913 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firstLine="495"/>
        <w:jc w:val="center"/>
        <w:rPr>
          <w:color w:val="000000"/>
        </w:rPr>
      </w:pPr>
      <w:r>
        <w:rPr>
          <w:color w:val="000000"/>
        </w:rPr>
        <w:t> </w:t>
      </w:r>
    </w:p>
    <w:p>
      <w:pPr>
        <w:pStyle w:val="TextBody"/>
        <w:bidi w:val="0"/>
        <w:spacing w:lineRule="auto" w:line="288" w:before="0" w:after="0"/>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6"/>
        </w:rPr>
        <w:t xml:space="preserve">Includes the average balance of our unsecured borrowings, as well as secured borrowings and amortization expense of transaction costs related to our term asset-backed securitizations and our Secured Borrowing Facility. </w:t>
      </w:r>
    </w:p>
    <w:p>
      <w:pPr>
        <w:pStyle w:val="TextBody"/>
        <w:bidi w:val="0"/>
        <w:spacing w:before="0" w:after="0"/>
        <w:ind w:left="0" w:right="0" w:hanging="315"/>
        <w:jc w:val="left"/>
        <w:rPr/>
      </w:pPr>
      <w:r>
        <w:rPr/>
      </w:r>
    </w:p>
    <w:p>
      <w:pPr>
        <w:pStyle w:val="TextBody"/>
        <w:bidi w:val="0"/>
        <w:spacing w:before="90" w:after="283"/>
        <w:ind w:left="0" w:right="0" w:firstLine="495"/>
        <w:jc w:val="left"/>
        <w:rPr/>
      </w:pPr>
      <w:r>
        <w:rPr/>
      </w:r>
    </w:p>
    <w:p>
      <w:pPr>
        <w:pStyle w:val="TextBody"/>
        <w:bidi w:val="0"/>
        <w:spacing w:before="90" w:after="283"/>
        <w:ind w:left="0" w:right="0" w:firstLine="495"/>
        <w:jc w:val="left"/>
        <w:rPr/>
      </w:pPr>
      <w:r>
        <w:rPr/>
      </w:r>
    </w:p>
    <w:p>
      <w:pPr>
        <w:pStyle w:val="TextBody"/>
        <w:bidi w:val="0"/>
        <w:spacing w:before="9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56</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Rate/Volume Analysis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rate/volume analysis shows the relative contribution of changes in interest rates and asset volumes to changes in interest income, interest expense, and net interest income. </w:t>
      </w:r>
    </w:p>
    <w:p>
      <w:pPr>
        <w:pStyle w:val="TextBody"/>
        <w:bidi w:val="0"/>
        <w:spacing w:before="6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8672" w:type="dxa"/>
        <w:jc w:val="center"/>
        <w:tblInd w:w="0" w:type="dxa"/>
        <w:tblLayout w:type="fixed"/>
        <w:tblCellMar>
          <w:top w:w="28" w:type="dxa"/>
          <w:left w:w="28" w:type="dxa"/>
          <w:bottom w:w="28" w:type="dxa"/>
          <w:right w:w="28" w:type="dxa"/>
        </w:tblCellMar>
      </w:tblPr>
      <w:tblGrid>
        <w:gridCol w:w="1399"/>
        <w:gridCol w:w="1233"/>
        <w:gridCol w:w="1237"/>
        <w:gridCol w:w="109"/>
        <w:gridCol w:w="109"/>
        <w:gridCol w:w="109"/>
        <w:gridCol w:w="312"/>
        <w:gridCol w:w="1177"/>
        <w:gridCol w:w="161"/>
        <w:gridCol w:w="109"/>
        <w:gridCol w:w="109"/>
        <w:gridCol w:w="109"/>
        <w:gridCol w:w="211"/>
        <w:gridCol w:w="796"/>
        <w:gridCol w:w="109"/>
        <w:gridCol w:w="109"/>
        <w:gridCol w:w="109"/>
        <w:gridCol w:w="109"/>
        <w:gridCol w:w="211"/>
        <w:gridCol w:w="691"/>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Change Due To</w:t>
            </w:r>
            <w:r>
              <w:rPr>
                <w:rFonts w:ascii="Arial;sans-serif" w:hAnsi="Arial;sans-serif"/>
                <w:b/>
                <w:color w:val="144F82"/>
                <w:sz w:val="10"/>
              </w:rPr>
              <w:t>(1)</w:t>
            </w:r>
          </w:p>
        </w:tc>
      </w:tr>
      <w:tr>
        <w:trPr/>
        <w:tc>
          <w:tcPr>
            <w:tcW w:w="386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5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Rate</w:t>
            </w: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Volume</w:t>
            </w:r>
          </w:p>
        </w:tc>
      </w:tr>
      <w:tr>
        <w:trPr/>
        <w:tc>
          <w:tcPr>
            <w:tcW w:w="386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Three Months Ended June 30, 2026 vs. 2025</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(10,705)</w:t>
            </w:r>
          </w:p>
        </w:tc>
        <w:tc>
          <w:tcPr>
            <w:tcW w:w="16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(4,623)</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(43,999)</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Six Months Ended June 30, 2026 vs.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(61,485)</w:t>
            </w:r>
          </w:p>
        </w:tc>
        <w:tc>
          <w:tcPr>
            <w:tcW w:w="16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(9,508)</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(43,558)</w:t>
            </w:r>
          </w:p>
        </w:tc>
        <w:tc>
          <w:tcPr>
            <w:tcW w:w="16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(38,114)</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(5,444)</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20" w:after="283"/>
        <w:ind w:left="0" w:right="0" w:hanging="180"/>
        <w:jc w:val="center"/>
        <w:rPr/>
      </w:pPr>
      <w:r>
        <w:rPr/>
      </w:r>
    </w:p>
    <w:p>
      <w:pPr>
        <w:pStyle w:val="TextBody"/>
        <w:bidi w:val="0"/>
        <w:spacing w:lineRule="auto" w:line="288" w:before="0" w:after="0"/>
        <w:ind w:left="0" w:right="0" w:hanging="18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Changes in income and expense due to both rate and volume have been allocated in proportion to the relationship of the absolute dollar amounts of the change in each. The changes in income and expense are calculated independently for each line in the table. The totals for the rate and volume columns are not the sum of the individual lines. </w:t>
      </w:r>
    </w:p>
    <w:p>
      <w:pPr>
        <w:pStyle w:val="TextBody"/>
        <w:bidi w:val="0"/>
        <w:spacing w:before="0" w:after="0"/>
        <w:ind w:left="0" w:right="0" w:hanging="180"/>
        <w:jc w:val="left"/>
        <w:rPr/>
      </w:pPr>
      <w:r>
        <w:rPr/>
      </w:r>
    </w:p>
    <w:p>
      <w:pPr>
        <w:pStyle w:val="TextBody"/>
        <w:bidi w:val="0"/>
        <w:spacing w:lineRule="auto" w:line="288" w:before="390" w:after="283"/>
        <w:jc w:val="left"/>
        <w:rPr>
          <w:rFonts w:ascii="Arial;sans-serif" w:hAnsi="Arial;sans-serif"/>
          <w:b/>
          <w:i/>
          <w:color w:val="000000"/>
          <w:sz w:val="20"/>
        </w:rPr>
      </w:pPr>
      <w:r>
        <w:rPr>
          <w:rFonts w:ascii="Arial;sans-serif" w:hAnsi="Arial;sans-serif"/>
          <w:b/>
          <w:i/>
          <w:color w:val="000000"/>
          <w:sz w:val="20"/>
        </w:rPr>
        <w:t>Summary of Our Loans Held for Investment Portfolio</w:t>
      </w:r>
    </w:p>
    <w:p>
      <w:pPr>
        <w:pStyle w:val="TextBody"/>
        <w:bidi w:val="0"/>
        <w:spacing w:lineRule="auto" w:line="288" w:before="90" w:after="283"/>
        <w:jc w:val="left"/>
        <w:rPr>
          <w:rFonts w:ascii="Arial;sans-serif" w:hAnsi="Arial;sans-serif"/>
          <w:b w:val="false"/>
          <w:i/>
          <w:color w:val="000000"/>
          <w:sz w:val="20"/>
        </w:rPr>
      </w:pPr>
      <w:r>
        <w:rPr>
          <w:rFonts w:ascii="Arial;sans-serif" w:hAnsi="Arial;sans-serif"/>
          <w:b w:val="false"/>
          <w:i/>
          <w:color w:val="000000"/>
          <w:sz w:val="20"/>
        </w:rPr>
        <w:t>Ending Loans Held for Investment Balances, net</w:t>
      </w:r>
    </w:p>
    <w:p>
      <w:pPr>
        <w:pStyle w:val="TextBody"/>
        <w:bidi w:val="0"/>
        <w:spacing w:before="90" w:after="283"/>
        <w:jc w:val="left"/>
        <w:rPr/>
      </w:pPr>
      <w:r>
        <w:rPr/>
      </w:r>
    </w:p>
    <w:tbl>
      <w:tblPr>
        <w:tblW w:w="9809" w:type="dxa"/>
        <w:jc w:val="center"/>
        <w:tblInd w:w="0" w:type="dxa"/>
        <w:tblLayout w:type="fixed"/>
        <w:tblCellMar>
          <w:top w:w="28" w:type="dxa"/>
          <w:left w:w="28" w:type="dxa"/>
          <w:bottom w:w="28" w:type="dxa"/>
          <w:right w:w="28" w:type="dxa"/>
        </w:tblCellMar>
      </w:tblPr>
      <w:tblGrid>
        <w:gridCol w:w="1904"/>
        <w:gridCol w:w="1677"/>
        <w:gridCol w:w="1683"/>
        <w:gridCol w:w="109"/>
        <w:gridCol w:w="109"/>
        <w:gridCol w:w="109"/>
        <w:gridCol w:w="575"/>
        <w:gridCol w:w="558"/>
        <w:gridCol w:w="478"/>
        <w:gridCol w:w="134"/>
        <w:gridCol w:w="134"/>
        <w:gridCol w:w="134"/>
        <w:gridCol w:w="259"/>
        <w:gridCol w:w="1331"/>
        <w:gridCol w:w="134"/>
        <w:gridCol w:w="109"/>
        <w:gridCol w:w="109"/>
        <w:gridCol w:w="109"/>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Total Loans Held for Investment</w:t>
              <w:br/>
              <w:t>(Private Education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loan portfolio:</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In-school</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3,241,201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3,983,859 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Grace, repayment and other</w:t>
            </w:r>
            <w:r>
              <w:rPr>
                <w:rFonts w:ascii="Arial;sans-serif" w:hAnsi="Arial;sans-serif"/>
                <w:b w:val="false"/>
                <w:color w:val="000000"/>
                <w:sz w:val="12"/>
              </w:rPr>
              <w:t>(2)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17,550,296</w:t>
            </w:r>
          </w:p>
        </w:tc>
        <w:tc>
          <w:tcPr>
            <w:tcW w:w="4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17,676,575 </w:t>
            </w:r>
          </w:p>
        </w:tc>
        <w:tc>
          <w:tcPr>
            <w:tcW w:w="1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20,791,497</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21,660,434 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94,010</w:t>
            </w:r>
          </w:p>
        </w:tc>
        <w:tc>
          <w:tcPr>
            <w:tcW w:w="4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102,008 </w:t>
            </w:r>
          </w:p>
        </w:tc>
        <w:tc>
          <w:tcPr>
            <w:tcW w:w="1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loans held for investment portfolio,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gridSpan w:val="2"/>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w:t>
            </w:r>
          </w:p>
        </w:tc>
        <w:tc>
          <w:tcPr>
            <w:tcW w:w="402"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3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90" w:after="283"/>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Loans for customers still attending school and who are not yet required to make payments on the loans. </w:t>
      </w:r>
    </w:p>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9"/>
        </w:rPr>
        <w:t>(2)</w:t>
      </w:r>
      <w:r>
        <w:rPr>
          <w:color w:val="000000"/>
        </w:rPr>
        <w:t> </w:t>
      </w:r>
      <w:r>
        <w:rPr>
          <w:rFonts w:ascii="Arial;sans-serif" w:hAnsi="Arial;sans-serif"/>
          <w:b w:val="false"/>
          <w:color w:val="000000"/>
          <w:sz w:val="14"/>
        </w:rPr>
        <w:t xml:space="preserve">Includes loans in repayment, grace, deferment, or forbearance. 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57</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80" w:after="283"/>
        <w:jc w:val="left"/>
        <w:rPr>
          <w:rFonts w:ascii="Arial;sans-serif" w:hAnsi="Arial;sans-serif"/>
          <w:b w:val="false"/>
          <w:i/>
          <w:color w:val="000000"/>
          <w:sz w:val="20"/>
        </w:rPr>
      </w:pPr>
      <w:r>
        <w:rPr>
          <w:rFonts w:ascii="Arial;sans-serif" w:hAnsi="Arial;sans-serif"/>
          <w:b w:val="false"/>
          <w:i/>
          <w:color w:val="000000"/>
          <w:sz w:val="20"/>
        </w:rPr>
        <w:t xml:space="preserve">Average Loans Held for Investment Balances (net of unamortized premium/(discount))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2189" w:type="dxa"/>
        <w:jc w:val="center"/>
        <w:tblInd w:w="0" w:type="dxa"/>
        <w:tblLayout w:type="fixed"/>
        <w:tblCellMar>
          <w:top w:w="28" w:type="dxa"/>
          <w:left w:w="28" w:type="dxa"/>
          <w:bottom w:w="28" w:type="dxa"/>
          <w:right w:w="28" w:type="dxa"/>
        </w:tblCellMar>
      </w:tblPr>
      <w:tblGrid>
        <w:gridCol w:w="353"/>
        <w:gridCol w:w="311"/>
        <w:gridCol w:w="312"/>
        <w:gridCol w:w="109"/>
        <w:gridCol w:w="109"/>
        <w:gridCol w:w="109"/>
        <w:gridCol w:w="211"/>
        <w:gridCol w:w="1081"/>
        <w:gridCol w:w="109"/>
        <w:gridCol w:w="109"/>
        <w:gridCol w:w="109"/>
        <w:gridCol w:w="109"/>
        <w:gridCol w:w="233"/>
        <w:gridCol w:w="233"/>
        <w:gridCol w:w="271"/>
        <w:gridCol w:w="109"/>
        <w:gridCol w:w="109"/>
        <w:gridCol w:w="109"/>
        <w:gridCol w:w="211"/>
        <w:gridCol w:w="1081"/>
        <w:gridCol w:w="109"/>
        <w:gridCol w:w="109"/>
        <w:gridCol w:w="109"/>
        <w:gridCol w:w="109"/>
        <w:gridCol w:w="233"/>
        <w:gridCol w:w="233"/>
        <w:gridCol w:w="271"/>
        <w:gridCol w:w="109"/>
        <w:gridCol w:w="109"/>
        <w:gridCol w:w="109"/>
        <w:gridCol w:w="211"/>
        <w:gridCol w:w="1081"/>
        <w:gridCol w:w="109"/>
        <w:gridCol w:w="109"/>
        <w:gridCol w:w="109"/>
        <w:gridCol w:w="109"/>
        <w:gridCol w:w="233"/>
        <w:gridCol w:w="233"/>
        <w:gridCol w:w="271"/>
        <w:gridCol w:w="109"/>
        <w:gridCol w:w="109"/>
        <w:gridCol w:w="109"/>
        <w:gridCol w:w="211"/>
        <w:gridCol w:w="1081"/>
        <w:gridCol w:w="109"/>
        <w:gridCol w:w="109"/>
        <w:gridCol w:w="109"/>
        <w:gridCol w:w="109"/>
        <w:gridCol w:w="233"/>
        <w:gridCol w:w="233"/>
        <w:gridCol w:w="316"/>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2"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97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21,119,086 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22,561,636 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22,226,216 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22,738,295 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Loans Held for Investment, Net </w:t>
      </w:r>
      <w:r>
        <w:rPr>
          <w:color w:val="000000"/>
        </w:rPr>
        <w:t xml:space="preserve">— </w:t>
      </w:r>
      <w:r>
        <w:rPr>
          <w:rFonts w:ascii="Arial;sans-serif" w:hAnsi="Arial;sans-serif"/>
          <w:b w:val="false"/>
          <w:i/>
          <w:color w:val="000000"/>
          <w:sz w:val="20"/>
        </w:rPr>
        <w:t>Activity</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86"/>
        <w:gridCol w:w="977"/>
        <w:gridCol w:w="984"/>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4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Loans Held for Investment</w:t>
              <w:br/>
              <w:t>(Private Education Loans), net</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324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324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19,886,735 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21,091,204 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20,902,158 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and 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571,759 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2,516,445 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3,043,445 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acquisitions and originations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678,770 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690,858 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3,112,828 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3,474,194 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interest and deferred origination cost premium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Sales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(168,659)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(2,050,483)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(1,847,734)</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consolidations to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(435,738)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(25,794)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(33,589)</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 to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and other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(545,328)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(536,538)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(1,170,875)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(1,160,249)</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21,160,332 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21,160,332 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95"/>
        <w:jc w:val="left"/>
        <w:rPr>
          <w:color w:val="000000"/>
        </w:rPr>
      </w:pPr>
      <w:r>
        <w:rPr>
          <w:color w:val="000000"/>
        </w:rPr>
        <w:t>“</w:t>
      </w:r>
      <w:r>
        <w:rPr>
          <w:rFonts w:ascii="Arial;sans-serif" w:hAnsi="Arial;sans-serif"/>
          <w:b w:val="false"/>
          <w:color w:val="000000"/>
          <w:sz w:val="20"/>
        </w:rPr>
        <w:t>Loan consolidations to third parties” and “Repayments and other” are both significantly affected by the volume of loans in our held for investment portfolio in P&amp;I repayment status. Loans in P&amp;I repayment status include loans in full principal and interest repayment status as well as certain loans in short-term interest-only payment programs (such as loans in a Graduated Repayment Period program and loans in a short-term interest only alternative program). The amount of loans in P&amp;I repayment status in our Private Education Loans held for investment portfolio at June 30, 2026 decreased by 1.7 percent compared with June 30, 2025, and now totals 45.3 percent of our Private Education Loans held for investment portfolio at June 30, 2026. The balance of loans held for investment in P&amp;I repayment status was primarily affected in 2025 and the first six months of 2026 by loan sales.</w:t>
      </w:r>
    </w:p>
    <w:p>
      <w:pPr>
        <w:pStyle w:val="TextBody"/>
        <w:bidi w:val="0"/>
        <w:spacing w:lineRule="auto" w:line="288" w:before="120" w:after="283"/>
        <w:ind w:left="0" w:right="0" w:firstLine="495"/>
        <w:jc w:val="left"/>
        <w:rPr>
          <w:color w:val="000000"/>
        </w:rPr>
      </w:pPr>
      <w:r>
        <w:rPr>
          <w:color w:val="000000"/>
        </w:rPr>
        <w:t>“</w:t>
      </w:r>
      <w:r>
        <w:rPr>
          <w:rFonts w:ascii="Arial;sans-serif" w:hAnsi="Arial;sans-serif"/>
          <w:b w:val="false"/>
          <w:color w:val="000000"/>
          <w:sz w:val="20"/>
        </w:rPr>
        <w:t>Loan consolidations to third parties” for the three months ended June 30, 2026 total 3.8 percent of our Private Education Loans held for investment portfolio in P&amp;I repayment status at June 30, 2026, or 1.7 percent of our total Private Education Loans held for investment portfolio at June 30, 2026, compared with the year-ago quarter of 2.3 percent of our Private Education Loans held for investment portfolio in P&amp;I repayment status, or 1.0 percent of our total Private Education Loans held for investment portfolio, respectively. The increase in consolidations compared to the year-ago quarter is primarily attributable to lower interest rates in 2026. Historical experience has shown that loan consolidation activity is heightened in the period when the loan initially enters full principal and interest repayment status and then subsides over time.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“Repayments and other” category includes all scheduled repayments, as well as voluntary prepayments, made on loans in repayment and also includes charge-offs. Consequently, this category can be significantly affected by the volume of loans in repayment.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58</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 xml:space="preserve">Private Education Loan Originations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Private Education Loan originations. Originations represent loans that were funded or acquired during the period presented.</w:t>
      </w:r>
    </w:p>
    <w:p>
      <w:pPr>
        <w:pStyle w:val="TextBody"/>
        <w:bidi w:val="0"/>
        <w:spacing w:before="9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9358" w:type="dxa"/>
        <w:jc w:val="center"/>
        <w:tblInd w:w="0" w:type="dxa"/>
        <w:tblLayout w:type="fixed"/>
        <w:tblCellMar>
          <w:top w:w="28" w:type="dxa"/>
          <w:left w:w="28" w:type="dxa"/>
          <w:bottom w:w="28" w:type="dxa"/>
          <w:right w:w="28" w:type="dxa"/>
        </w:tblCellMar>
      </w:tblPr>
      <w:tblGrid>
        <w:gridCol w:w="1308"/>
        <w:gridCol w:w="1151"/>
        <w:gridCol w:w="1156"/>
        <w:gridCol w:w="109"/>
        <w:gridCol w:w="109"/>
        <w:gridCol w:w="109"/>
        <w:gridCol w:w="211"/>
        <w:gridCol w:w="976"/>
        <w:gridCol w:w="271"/>
        <w:gridCol w:w="109"/>
        <w:gridCol w:w="109"/>
        <w:gridCol w:w="109"/>
        <w:gridCol w:w="232"/>
        <w:gridCol w:w="234"/>
        <w:gridCol w:w="271"/>
        <w:gridCol w:w="109"/>
        <w:gridCol w:w="109"/>
        <w:gridCol w:w="109"/>
        <w:gridCol w:w="211"/>
        <w:gridCol w:w="976"/>
        <w:gridCol w:w="271"/>
        <w:gridCol w:w="109"/>
        <w:gridCol w:w="109"/>
        <w:gridCol w:w="109"/>
        <w:gridCol w:w="232"/>
        <w:gridCol w:w="234"/>
        <w:gridCol w:w="316"/>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r>
      <w:tr>
        <w:trPr/>
        <w:tc>
          <w:tcPr>
            <w:tcW w:w="361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interest only</w:t>
            </w:r>
            <w:r>
              <w:rPr>
                <w:rFonts w:ascii="Arial;sans-serif" w:hAnsi="Arial;sans-serif"/>
                <w:b w:val="false"/>
                <w:color w:val="000000"/>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105,081 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96,941 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fixed pay</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deferred</w:t>
            </w:r>
            <w:r>
              <w:rPr>
                <w:rFonts w:ascii="Arial;sans-serif" w:hAnsi="Arial;sans-serif"/>
                <w:b w:val="false"/>
                <w:color w:val="000000"/>
                <w:sz w:val="12"/>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226,951 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238,496 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Graduate Loan</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Private Education Loan originations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716,244 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685,602 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with a cosigner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FICO at approval</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Six Months Ended </w:t>
              <w:br/>
              <w:t> 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r>
      <w:tr>
        <w:trPr/>
        <w:tc>
          <w:tcPr>
            <w:tcW w:w="361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interest only</w:t>
            </w:r>
            <w:r>
              <w:rPr>
                <w:rFonts w:ascii="Arial;sans-serif" w:hAnsi="Arial;sans-serif"/>
                <w:b w:val="false"/>
                <w:color w:val="000000"/>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737,952 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634,836 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fixed pay</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1,142,651 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deferred</w:t>
            </w:r>
            <w:r>
              <w:rPr>
                <w:rFonts w:ascii="Arial;sans-serif" w:hAnsi="Arial;sans-serif"/>
                <w:b w:val="false"/>
                <w:color w:val="000000"/>
                <w:sz w:val="12"/>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1,322,423 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1,361,843 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Graduate Loan</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Private Education Loan originations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3,622,464 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3,457,080 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with a cosigner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FICO at approval</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Interest only, fixed pay, and deferred describe the payment option while in school or in grace period. See Item 1. “Business - Our Business - Private Education Loans” in the 2025 Form 10-K for a further discussion. </w:t>
      </w:r>
    </w:p>
    <w:p>
      <w:pPr>
        <w:pStyle w:val="TextBody"/>
        <w:bidi w:val="0"/>
        <w:spacing w:lineRule="auto" w:line="276" w:before="60" w:after="283"/>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For the three months ended June 30, 2026, the Graduate Loan originations include $3.6 million of Smart Option Loans where the student was in a graduate status. For the three months ended June 30, 2025, the Graduate Loan originations include $3.2 million of Smart Option Loans where the student was in a graduate status. For the six months ended June 30, 2026, the Graduate Loan originations include $12.3 million of Smart Option Loans where the student was in a graduate status. For the six months ended June 30, 2025, the Graduate Loan originations include $11.9 million of Smart Option Loans where the student was in a graduate status.</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Represents the higher credit score of the cosigner or the borrower.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59</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Allowance for Credit Losses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Allowance for Loan Losses Activity</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09"/>
        <w:gridCol w:w="950"/>
        <w:gridCol w:w="953"/>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09"/>
        <w:gridCol w:w="109"/>
        <w:gridCol w:w="156"/>
      </w:tblGrid>
      <w:tr>
        <w:trPr/>
        <w:tc>
          <w:tcPr>
            <w:tcW w:w="1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44F82"/>
                <w:sz w:val="18"/>
              </w:rPr>
            </w:pPr>
            <w:r>
              <w:rPr>
                <w:rFonts w:ascii="Arial;sans-serif" w:hAnsi="Arial;sans-serif"/>
                <w:b/>
                <w:color w:val="144F82"/>
                <w:sz w:val="18"/>
              </w:rPr>
              <w:t>Total Portfolio (Private Education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June 30,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Six Months Ended </w:t>
              <w:br/>
              <w:t>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1,383,166 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1,443,715 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1,435,920 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from unfunded commitment liability</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sale reduction to provision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(130,912)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(116,459)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transferred to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provisions for credit losses</w:t>
            </w:r>
            <w:r>
              <w:rPr>
                <w:rFonts w:ascii="Arial;sans-serif" w:hAnsi="Arial;sans-serif"/>
                <w:b w:val="false"/>
                <w:color w:val="000000"/>
                <w:sz w:val="12"/>
              </w:rPr>
              <w:t>(2)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92,189 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71,019 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90" w:after="283"/>
        <w:ind w:left="0" w:right="0" w:hanging="27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See Note 5, “Allowance for Credit Losses and Unfunded Loan Commitments,” in this Form 10-Q for a summary of the activity in the allowance for and balance of unfunded loan commitments, respectively. </w:t>
      </w:r>
    </w:p>
    <w:p>
      <w:pPr>
        <w:pStyle w:val="TextBody"/>
        <w:bidi w:val="0"/>
        <w:spacing w:lineRule="auto" w:line="288" w:before="90" w:after="283"/>
        <w:ind w:left="0" w:right="0" w:hanging="27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The following table provides a reconciliation of the provisions for credit losses reported in the consolidated statements of income.</w:t>
      </w:r>
    </w:p>
    <w:tbl>
      <w:tblPr>
        <w:tblW w:w="10205" w:type="dxa"/>
        <w:jc w:val="left"/>
        <w:tblInd w:w="0" w:type="dxa"/>
        <w:tblLayout w:type="fixed"/>
        <w:tblCellMar>
          <w:top w:w="28" w:type="dxa"/>
          <w:left w:w="28" w:type="dxa"/>
          <w:bottom w:w="28" w:type="dxa"/>
          <w:right w:w="28" w:type="dxa"/>
        </w:tblCellMar>
      </w:tblPr>
      <w:tblGrid>
        <w:gridCol w:w="1698"/>
        <w:gridCol w:w="1490"/>
        <w:gridCol w:w="1498"/>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69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Consolidated Statements of Income</w:t>
              <w:br/>
              <w:t>Provisions for Credit Losses Reconciliation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Six Months Ended </w:t>
              <w:br/>
              <w:t> June 30,</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r>
      <w:tr>
        <w:trPr/>
        <w:tc>
          <w:tcPr>
            <w:tcW w:w="468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Education Loan provisions for credit losses: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unfunded loan commitments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100,985 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Provisions for credit losses reported in consolidated statements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172,004 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Private Education Loan Allowance for Credit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establishing the allowance for Private Education Loan losses as of June 30, 2026, we considered several factors with respect to our Private Education Loan held for investment portfolio, in particular, credit quality and delinquency, forbearance, and charge-off trends.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Private Education Loans held for investment in P&amp;I repayment status were 45 percent of our total Private Education Loans held for investment portfolio at June 30, 2026, compared with 43 percent at June 30, 2025.</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 more detailed discussion of our policy for determining the collectability of Private Education Loans and maintaining our allowance for Private Education Loans, see Part II, Item 7. “Management’s Discussion and Analysis of Financial Condition and Results of Operations — Critical Accounting Policies and Estimates — Allowance for Credit Losses” and Note 5, “Loans Held for Investment — Certain Collection Tools - Private Education Loans” in the 2025 Form 10-K. </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60</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presents our Private Education Loans held for investment portfolio delinquency trends. Loans in repayment include loans making interest only or fixed payments, as well as loans that have entered full principal and interest repayment status after any applicable grace period (but, for purposes of the following table, do not include loans in the “loans in forbearance” metric). </w:t>
      </w:r>
    </w:p>
    <w:tbl>
      <w:tblPr>
        <w:tblW w:w="10205" w:type="dxa"/>
        <w:jc w:val="center"/>
        <w:tblInd w:w="0" w:type="dxa"/>
        <w:tblLayout w:type="fixed"/>
        <w:tblCellMar>
          <w:top w:w="28" w:type="dxa"/>
          <w:left w:w="28" w:type="dxa"/>
          <w:bottom w:w="28" w:type="dxa"/>
          <w:right w:w="28" w:type="dxa"/>
        </w:tblCellMar>
      </w:tblPr>
      <w:tblGrid>
        <w:gridCol w:w="1643"/>
        <w:gridCol w:w="1312"/>
        <w:gridCol w:w="1320"/>
        <w:gridCol w:w="109"/>
        <w:gridCol w:w="109"/>
        <w:gridCol w:w="109"/>
        <w:gridCol w:w="211"/>
        <w:gridCol w:w="1081"/>
        <w:gridCol w:w="109"/>
        <w:gridCol w:w="109"/>
        <w:gridCol w:w="109"/>
        <w:gridCol w:w="109"/>
        <w:gridCol w:w="307"/>
        <w:gridCol w:w="309"/>
        <w:gridCol w:w="271"/>
        <w:gridCol w:w="109"/>
        <w:gridCol w:w="109"/>
        <w:gridCol w:w="109"/>
        <w:gridCol w:w="211"/>
        <w:gridCol w:w="1081"/>
        <w:gridCol w:w="109"/>
        <w:gridCol w:w="109"/>
        <w:gridCol w:w="109"/>
        <w:gridCol w:w="109"/>
        <w:gridCol w:w="307"/>
        <w:gridCol w:w="309"/>
        <w:gridCol w:w="317"/>
      </w:tblGrid>
      <w:tr>
        <w:trPr/>
        <w:tc>
          <w:tcPr>
            <w:tcW w:w="164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Private Education Loans Held for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 xml:space="preserve">June 30, </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r>
      <w:tr>
        <w:trPr/>
        <w:tc>
          <w:tcPr>
            <w:tcW w:w="427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in-school/grace/deferment</w:t>
            </w:r>
            <w:r>
              <w:rPr>
                <w:rFonts w:ascii="Arial;sans-serif" w:hAnsi="Arial;sans-serif"/>
                <w:b w:val="false"/>
                <w:color w:val="000000"/>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5,096,300 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5,990,919 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in forbearance</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and percentage of each status: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30-59 days</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289,764 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60-89 days</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90 days or greater past due</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136,434 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15,366,596 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16,231,194 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20,791,497 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22,525,817 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 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20,885,507 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22,629,841 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 allowance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21,160,332 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Delinquencies as a percentage of 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17"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in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Percentage of loans in an extended grace period</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Percentage of loans in hardship and other forbearances</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Deferment includes customers who have returned to school or are engaged in other permitted educational activities and are not yet required to make payments on the loans (e.g., residency periods for medical students or a grace period for bar exam preparation).</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pStyle w:val="TextBody"/>
        <w:bidi w:val="0"/>
        <w:spacing w:lineRule="auto" w:line="288" w:before="180" w:after="283"/>
        <w:ind w:left="0" w:right="0" w:hanging="180"/>
        <w:jc w:val="left"/>
        <w:rPr/>
      </w:pPr>
      <w:r>
        <w:rPr>
          <w:rFonts w:ascii="Arial;sans-serif" w:hAnsi="Arial;sans-serif"/>
          <w:b w:val="false"/>
          <w:color w:val="000000"/>
          <w:sz w:val="9"/>
        </w:rPr>
        <w:t>(3)</w:t>
      </w:r>
      <w:r>
        <w:rPr>
          <w:rFonts w:ascii="Arial;sans-serif" w:hAnsi="Arial;sans-serif"/>
          <w:b w:val="false"/>
          <w:color w:val="000000"/>
          <w:sz w:val="14"/>
        </w:rPr>
        <w:t>The period of delinquency is based on the number of days scheduled payments are contractually past due.</w:t>
      </w:r>
    </w:p>
    <w:p>
      <w:pPr>
        <w:pStyle w:val="TextBody"/>
        <w:bidi w:val="0"/>
        <w:spacing w:lineRule="auto" w:line="268" w:before="180" w:after="283"/>
        <w:ind w:left="0" w:right="0" w:hanging="180"/>
        <w:jc w:val="left"/>
        <w:rPr/>
      </w:pPr>
      <w:r>
        <w:rPr>
          <w:rFonts w:ascii="Arial;sans-serif" w:hAnsi="Arial;sans-serif"/>
          <w:b w:val="false"/>
          <w:color w:val="000000"/>
          <w:sz w:val="9"/>
        </w:rPr>
        <w:t>(4)</w:t>
      </w:r>
      <w:r>
        <w:rPr>
          <w:rFonts w:ascii="Arial;sans-serif" w:hAnsi="Arial;sans-serif"/>
          <w:b w:val="false"/>
          <w:color w:val="000000"/>
          <w:sz w:val="14"/>
        </w:rPr>
        <w:t>We calculate the percentage of loans in an extended grace period as the ratio of (a) Private Education Loans in forbearance in an extended grace period numerator to (b) Private Education Loans in repayment and forbearance denominator. An extended grace period aligns with The Office of the Comptroller of the Currency definition of an additional, consecutive, one-time period during which no payment is required for up to six months after the initial grace period. We typically grant this extended grace period to customers who may be having difficulty finding employment before the full principal and interest repayment period starts or once it has begun. Loans in forbearance in an extended grace period were approximately $164 million and $154 million at June 30, 2026 and 2025, respectively. See “— Use of Forbearance and Rate Modifications as a Private Education Loan Collection Tool” below for additional details.</w:t>
      </w:r>
    </w:p>
    <w:p>
      <w:pPr>
        <w:pStyle w:val="TextBody"/>
        <w:bidi w:val="0"/>
        <w:spacing w:lineRule="auto" w:line="268" w:before="180" w:after="283"/>
        <w:ind w:left="0" w:right="0" w:hanging="180"/>
        <w:jc w:val="left"/>
        <w:rPr/>
      </w:pPr>
      <w:r>
        <w:rPr>
          <w:rFonts w:ascii="Arial;sans-serif" w:hAnsi="Arial;sans-serif"/>
          <w:b w:val="false"/>
          <w:color w:val="000000"/>
          <w:sz w:val="9"/>
        </w:rPr>
        <w:t>(5)</w:t>
      </w:r>
      <w:r>
        <w:rPr>
          <w:rFonts w:ascii="Arial;sans-serif" w:hAnsi="Arial;sans-serif"/>
          <w:b w:val="false"/>
          <w:color w:val="000000"/>
          <w:sz w:val="14"/>
        </w:rPr>
        <w:t xml:space="preserve">We calculate the percentage of loans in hardship and other forbearances as the ratio of (a) Private Education Loans in hardship and other forbearances (excluding loans in an extended grace period and delinquent loans in disaster forbearance) numerator to (b) Private Education Loans in repayment and forbearance denominator. If the customer is in financial hardship, we work with the customer and/or cosigner and identify any available alternative arrangements designed to reduce monthly payment obligations, which may include a short-term hardship forbearance. Loans in hardship and other forbearances (excluding loans in an extended grace period and delinquent loans in disaster forbearance) were approximately $164 million and $150 million at June 30, 2026 and 2025, respectively. See “— Use of Forbearance and Rate Modifications as a Private Education Loan Collection Tool” below for additional details.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pPr>
      <w:r>
        <w:rPr>
          <w:rFonts w:ascii="Arial;sans-serif" w:hAnsi="Arial;sans-serif"/>
          <w:b w:val="false"/>
          <w:color w:val="000000"/>
          <w:sz w:val="20"/>
        </w:rPr>
        <w:t>Delinquencies as a percentage of Private Education Loans (held for investment) in repayment increased to 3.7 percent at June 30, 2026 from 3.5 percent</w:t>
      </w:r>
      <w:r>
        <w:rPr>
          <w:color w:val="000000"/>
        </w:rPr>
        <w:t xml:space="preserve"> </w:t>
      </w:r>
      <w:r>
        <w:rPr>
          <w:rFonts w:ascii="Arial;sans-serif" w:hAnsi="Arial;sans-serif"/>
          <w:b w:val="false"/>
          <w:color w:val="000000"/>
          <w:sz w:val="20"/>
        </w:rPr>
        <w:t xml:space="preserve">at June 30, 2025. We believe the increase in the delinquency metric is primarily driven by misaligned third-party debt resolution practices affecting a segment of high-ability-to-pay borrowers resulting in their loans progressing straight through delinquency to default. Also impacting the delinquency percentage, was a shift in the composition of the loans in repayment portfolio (which does not include the loans held for sale) due to the sale of younger loans as part of our strategic partnership funding model and the larger size of the recent repayment cohort compared to prior quarters. $172 million of newly originated loans were transferred to held for sale status during the second quarter of 2026 and sold in July 2026 to our strategic partner. See Note 16, “Subsequent Events” in this Form 10-Q for additional information. See additional discussion related to collections activity in Part II, Item 7. “Management’s Discussion and Analysis of Financial Condition and Results of Operations — Financial Condition — Allowance for Credit Losses — Use of Forbearance and Modifications as a Private Education Loan Collection Tool” in the 2025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61</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percentage of loans in an extended grace forbearance increased to 1.1 percent at June 30, 2026 from 0.9 percent at June 30, 2025. The increase was primarily due to additional enrollments in extended grace forbearance and the shift in the composition of the loans in repayment portfolio (which does not include the loans held for sale) due to the sale of younger loans as part of our strategic partnership funding model. $172 million of newly originated loans were transferred to held for sale status during the second quarter of 2026. See Note 16, “Subsequent Events” in this Form 10-Q for additional information. The percentage of loans in hardship and other forbearances remained relatively consistent at 1.0 percent and 0.9 percent at June 30, 2026 and June 30, 2025, respectively.</w:t>
      </w:r>
    </w:p>
    <w:p>
      <w:pPr>
        <w:pStyle w:val="TextBody"/>
        <w:bidi w:val="0"/>
        <w:spacing w:lineRule="auto" w:line="26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For additional discussion of our strategic partnership funding model, see Part II, Item 7. “Management’s Discussion and Analysis of Financial Condition and Results of Operations — Key Financial Measures — Funding Sources — Loan Sales” in the 2025 Form 10-K.</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62</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Changes in Allowance for Private Education Loan Losses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changes in the allowance for Private Education Loan (held for investment) losses and the allowance for unfunded loan commitments. </w:t>
      </w:r>
    </w:p>
    <w:p>
      <w:pPr>
        <w:pStyle w:val="TextBody"/>
        <w:bidi w:val="0"/>
        <w:spacing w:lineRule="auto" w:line="288" w:before="90" w:after="283"/>
        <w:ind w:left="0" w:right="0" w:firstLine="495"/>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34"/>
        <w:gridCol w:w="681"/>
        <w:gridCol w:w="684"/>
        <w:gridCol w:w="109"/>
        <w:gridCol w:w="109"/>
        <w:gridCol w:w="109"/>
        <w:gridCol w:w="211"/>
        <w:gridCol w:w="1081"/>
        <w:gridCol w:w="271"/>
        <w:gridCol w:w="109"/>
        <w:gridCol w:w="109"/>
        <w:gridCol w:w="109"/>
        <w:gridCol w:w="211"/>
        <w:gridCol w:w="1081"/>
        <w:gridCol w:w="271"/>
        <w:gridCol w:w="109"/>
        <w:gridCol w:w="109"/>
        <w:gridCol w:w="109"/>
        <w:gridCol w:w="211"/>
        <w:gridCol w:w="1081"/>
        <w:gridCol w:w="271"/>
        <w:gridCol w:w="109"/>
        <w:gridCol w:w="109"/>
        <w:gridCol w:w="109"/>
        <w:gridCol w:w="211"/>
        <w:gridCol w:w="1081"/>
        <w:gridCol w:w="317"/>
      </w:tblGrid>
      <w:tr>
        <w:trPr/>
        <w:tc>
          <w:tcPr>
            <w:tcW w:w="123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Six Months Ended </w:t>
              <w:br/>
              <w:t> June 30,</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Allowance for loan losses, 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1,383,166 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1,443,715 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1,435,920 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from allowance for unfunded loan commitments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133,012 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187,478 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sale reduction to provision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(130,912)</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(116,459)</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transferred from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provisions</w:t>
            </w:r>
            <w:r>
              <w:rPr>
                <w:rFonts w:ascii="Arial;sans-serif" w:hAnsi="Arial;sans-serif"/>
                <w:b w:val="false"/>
                <w:color w:val="000000"/>
                <w:sz w:val="12"/>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92,189 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71,019 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(122,216)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(106,866)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(225,049)</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(193,769)</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(112,554)</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(94,273)</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(201,618)</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(170,442)</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Allowance for loan losses, ending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1,469,509 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Allowance for unfunded loan commitments, beginning balance</w:t>
            </w:r>
            <w:r>
              <w:rPr>
                <w:rFonts w:ascii="Arial;sans-serif" w:hAnsi="Arial;sans-serif"/>
                <w:b/>
                <w:color w:val="144F82"/>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77,132 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84,568 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w:t>
            </w:r>
            <w:r>
              <w:rPr>
                <w:rFonts w:ascii="Arial;sans-serif" w:hAnsi="Arial;sans-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100,985 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 to allowance for loan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(28,209)</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(27,878)</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(127,503)</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(133,012)</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Allowance for unfunded loan commitments, ending balance</w:t>
            </w:r>
            <w:r>
              <w:rPr>
                <w:rFonts w:ascii="Arial;sans-serif" w:hAnsi="Arial;sans-serif"/>
                <w:b/>
                <w:color w:val="144F82"/>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allowance for credit losses, ending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1,420,029 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1,522,050 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1,420,029 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1,522,050 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Allowance Percentage of Private Education Loan Exposure</w:t>
            </w:r>
            <w:r>
              <w:rPr>
                <w:rFonts w:ascii="Arial;sans-serif" w:hAnsi="Arial;sans-serif"/>
                <w:b w:val="false"/>
                <w:color w:val="000000"/>
                <w:sz w:val="12"/>
              </w:rPr>
              <w:t>(5)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loan losses coverage of net charge-offs (annualized)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charge-offs as a percentage of average loans in repayment (annualized)</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Delinquencies as a percentage of ending loans in repayment</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3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in forbearance as a percentage of ending loans in repayment and forbearance</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total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20,791,497 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22,525,817 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20,791,497 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22,525,817 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loans in repayment</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15,287,312 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15,991,357 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15,786,152 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16,146,239 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Ending loans in repayment</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15,366,596 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16,231,194 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15,366,596 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16,231,194 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Unfunded loan commitments for loans held for investment</w:t>
            </w:r>
            <w:r>
              <w:rPr>
                <w:rFonts w:ascii="Arial;sans-serif" w:hAnsi="Arial;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1,358,163 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1,604,848 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1,701,944 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1,604,848 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1,701,944 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120"/>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Note 5, “Allowance for Credit Losses and Unfunded Loan Commitments” in this Form 10-Q for a summary of the activity in the allowance for and balance of unfunded loan commitments.</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(2) </w:t>
      </w:r>
      <w:r>
        <w:rPr>
          <w:rFonts w:ascii="Arial;sans-serif" w:hAnsi="Arial;sans-serif"/>
          <w:b w:val="false"/>
          <w:color w:val="000000"/>
          <w:sz w:val="14"/>
        </w:rPr>
        <w:t>See “</w:t>
      </w:r>
      <w:r>
        <w:rPr>
          <w:color w:val="000000"/>
        </w:rPr>
        <w:t>—</w:t>
      </w:r>
      <w:r>
        <w:rPr>
          <w:rFonts w:ascii="Arial;sans-serif" w:hAnsi="Arial;sans-serif"/>
          <w:b w:val="false"/>
          <w:color w:val="000000"/>
          <w:sz w:val="14"/>
        </w:rPr>
        <w:t xml:space="preserve">Financial Condition </w:t>
      </w:r>
      <w:r>
        <w:rPr>
          <w:color w:val="000000"/>
        </w:rPr>
        <w:t xml:space="preserve">— </w:t>
      </w:r>
      <w:r>
        <w:rPr>
          <w:rFonts w:ascii="Arial;sans-serif" w:hAnsi="Arial;sans-serif"/>
          <w:b w:val="false"/>
          <w:color w:val="000000"/>
          <w:sz w:val="14"/>
        </w:rPr>
        <w:t xml:space="preserve">Allowance for Credit Losses </w:t>
      </w:r>
      <w:r>
        <w:rPr>
          <w:color w:val="000000"/>
        </w:rPr>
        <w:t xml:space="preserve">— </w:t>
      </w:r>
      <w:r>
        <w:rPr>
          <w:rFonts w:ascii="Arial;sans-serif" w:hAnsi="Arial;sans-serif"/>
          <w:b w:val="false"/>
          <w:color w:val="000000"/>
          <w:sz w:val="14"/>
        </w:rPr>
        <w:t>Allowance for Loan Losses” in this Item 2 for a reconciliation of the provisions for credit losses reported in the consolidated statements of income.</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(6) </w:t>
      </w:r>
      <w:r>
        <w:rPr>
          <w:rFonts w:ascii="Arial;sans-serif" w:hAnsi="Arial;sans-serif"/>
          <w:b w:val="false"/>
          <w:color w:val="000000"/>
          <w:sz w:val="14"/>
        </w:rPr>
        <w:t xml:space="preserve">Unfunded loan commitments for loans held for investment and the calculation of the Total Allowance Percentage of Private Education Loan Exposure do not include $28 million of unfunded loan commitments associated with loans classified as held for sale at June 30, 2026. Due to the near-term timing of the loan sale and credit quality of the loans, we believe there is no risk of credit loss and are not recording an allowance for the unfunded loan commitments related to the loans classified as held for sale. </w:t>
      </w:r>
    </w:p>
    <w:p>
      <w:pPr>
        <w:pStyle w:val="TextBody"/>
        <w:bidi w:val="0"/>
        <w:spacing w:before="60" w:after="120"/>
        <w:jc w:val="left"/>
        <w:rPr/>
      </w:pPr>
      <w:r>
        <w:rPr/>
      </w:r>
    </w:p>
    <w:p>
      <w:pPr>
        <w:pStyle w:val="TextBody"/>
        <w:bidi w:val="0"/>
        <w:spacing w:before="9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63</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charge-offs for the three months ended June 30, 2026 were $113 million, compared with $94 million in the three months ended June 30, 2025. Net charge-offs for the six months ended June 30, 2026 were $202 million, compared with $170 million in the six months ended June 30, 2025. The increases were primarily driven by misaligned third-party debt resolution practices affecting a segment of high-ability-to-pay borrowers resulting in their loans progressing straight through delinquency to default, and our resulting shift in recovery strategies, pausing third-party recovery activities while working to establish a more effective, customer-aligned approach to delinquencies, charge-offs, and recoveries.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As part of concluding on the adequacy of the allowance for credit losses, we review key allowance and loan metrics. The most significant of these metrics considered are the allowance coverage of net charge-offs ratio; the Total Allowance Percentage of Private Education Loan Exposure; and delinquency and forbearance percentages.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Use of Forbearance and Rate Modifications as a Private Education Loan Collection Tool </w:t>
      </w:r>
    </w:p>
    <w:p>
      <w:pPr>
        <w:pStyle w:val="TextBody"/>
        <w:bidi w:val="0"/>
        <w:spacing w:lineRule="auto" w:line="288" w:before="90" w:after="283"/>
        <w:ind w:left="0" w:right="0" w:firstLine="495"/>
        <w:jc w:val="left"/>
        <w:rPr/>
      </w:pPr>
      <w:r>
        <w:rPr>
          <w:rFonts w:ascii="Arial;sans-serif" w:hAnsi="Arial;sans-serif"/>
          <w:b w:val="false"/>
          <w:color w:val="000000"/>
          <w:sz w:val="20"/>
        </w:rPr>
        <w:t>In recent years, we have made significant changes to our credit administration practices, enhancing our loss mitigation programs through both our forbearance and loan modification offerings.</w:t>
      </w:r>
      <w:r>
        <w:rPr>
          <w:color w:val="000000"/>
        </w:rPr>
        <w:t xml:space="preserve"> </w:t>
      </w:r>
      <w:r>
        <w:rPr>
          <w:rFonts w:ascii="Arial;sans-serif" w:hAnsi="Arial;sans-serif"/>
          <w:b w:val="false"/>
          <w:color w:val="000000"/>
          <w:sz w:val="20"/>
        </w:rPr>
        <w:t>We adjust the terms of loans for certain borrowers when we believe such changes will help our borrowers manage their student loan obligations, achieve better student outcomes and increase the collectability of the loans. These changes generally take the form of a temporary forbearance of payments, a temporary or permanent interest rate reduction, a temporary or permanent interest rate reduction with a permanent extension of the loan term and/or a short-term extended repayment or interest-only alternative.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continually monitor our credit administration practices and modify them from time to time based upon performance, industry conventions, and/or regulatory feedback.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See Note 5, “Allowance for Credit Losses and Unfunded Commitments — Loan Modifications to Borrowers Experiencing Financial Difficulty” in this Form 10-Q for additional information regarding loan modifications to borrowers experiencing financial difficulty. As discussed therein, our forbearance programs are not considered loan modifications to borrowers experiencing financial difficulty because they are either short-term in nature, and therefore, we believe, they do not provide a significant concession to the borrower, or they are provided for reasons other than financial difficulty being experienced by the borrower. </w:t>
      </w:r>
    </w:p>
    <w:p>
      <w:pPr>
        <w:pStyle w:val="TextBody"/>
        <w:bidi w:val="0"/>
        <w:spacing w:lineRule="auto" w:line="288" w:before="90" w:after="283"/>
        <w:ind w:left="0" w:right="0" w:firstLine="405"/>
        <w:jc w:val="left"/>
        <w:rPr>
          <w:rFonts w:ascii="Arial;sans-serif" w:hAnsi="Arial;sans-serif"/>
          <w:b w:val="false"/>
          <w:i/>
          <w:color w:val="000000"/>
          <w:sz w:val="20"/>
        </w:rPr>
      </w:pPr>
      <w:r>
        <w:rPr>
          <w:rFonts w:ascii="Arial;sans-serif" w:hAnsi="Arial;sans-serif"/>
          <w:b w:val="false"/>
          <w:i/>
          <w:color w:val="000000"/>
          <w:sz w:val="20"/>
        </w:rPr>
        <w:t>Forbearance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Forbearance allows a borrower to not make scheduled payments for a specified period of time. Our forbearance policies and practices vary depending upon whether a borrower is current or delinquent at the time forbearance is requested, generally with stricter requirements for delinquent borrowers. Using forbearance extends the original term of the loan by the term of forbearance taken. Forbearance does not grant any reduction in the total principal or interest repayment obligation. While a loan is in forbearance status, interest continues to accrue and is capitalized (added to principal) at the end of the forbearance. Interest will not capitalize at the end of certain types of forbearance, such as disaster forbearance, however.</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first six months following a borrower’s grace period, the borrower may be eligible for extended grace forbearance, which provides temporary payment relief to give the borrower additional time to be in a position to make regular principal and interest payments. We do not consider borrowers who are eligible for extended grace to be experiencing financial difficulty. </w:t>
      </w:r>
    </w:p>
    <w:p>
      <w:pPr>
        <w:pStyle w:val="TextBody"/>
        <w:bidi w:val="0"/>
        <w:spacing w:lineRule="auto" w:line="288" w:before="120" w:after="283"/>
        <w:ind w:left="0" w:right="0" w:firstLine="495"/>
        <w:jc w:val="left"/>
        <w:rPr/>
      </w:pPr>
      <w:r>
        <w:rPr>
          <w:rFonts w:ascii="Arial;sans-serif" w:hAnsi="Arial;sans-serif"/>
          <w:b w:val="false"/>
          <w:color w:val="000000"/>
          <w:sz w:val="20"/>
        </w:rPr>
        <w:t>Hardship forbearance may be granted in order to provide temporary payment relief to borrowers who are either current in their payments but demonstrate a need for relief, or who are delinquent in their payments but demonstrate an ability and willingness to repay their obligation.</w:t>
      </w:r>
      <w:r>
        <w:rPr>
          <w:color w:val="000000"/>
        </w:rPr>
        <w:t xml:space="preserve"> </w:t>
      </w:r>
      <w:r>
        <w:rPr>
          <w:rFonts w:ascii="Arial;sans-serif" w:hAnsi="Arial;sans-serif"/>
          <w:b w:val="false"/>
          <w:color w:val="000000"/>
          <w:sz w:val="20"/>
        </w:rPr>
        <w:t>In these circumstances, a borrower’s loan is placed into a forbearance status in limited monthly increments and is reflected in the forbearance status at month-end during this time. At the end of the forbearance period, for borrowers who were current when they entered forbearance or those who were delinquent but met specific payment requirements curing their delinquency, the borrower will enter repayment status as current. In all instances, the borrowers are expected to begin making scheduled monthly payments at the end of their forbearance periods.</w:t>
      </w:r>
      <w:r>
        <w:rPr>
          <w:color w:val="000000"/>
        </w:rPr>
        <w:t xml:space="preserve"> </w:t>
      </w:r>
      <w:r>
        <w:rPr>
          <w:rFonts w:ascii="Arial;sans-serif" w:hAnsi="Arial;sans-serif"/>
          <w:b w:val="false"/>
          <w:color w:val="000000"/>
          <w:sz w:val="20"/>
        </w:rPr>
        <w:t>This strategy is aimed at assisting borrowers while mitigating the risks of delinquency and default as well as encouraging resolution of delinquent loans.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Disaster forbearance is used to assist borrowers affected by material events, typically federally-declared disasters, including hurricanes, wildfires, floods, and pandemics. We typically grant disaster forbearance to affected borrowers in one-month increments, up to three months at a time, but the disaster forbearance granted generally does not apply toward the 12-month forbearance limit described below. Disaster forbearance is granted based on areas impacted by federally declared disasters, not because the borrower is experiencing financial difficulty. Loans in disaster forbearance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64</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assessed late or other fees. Due to the nature and limited timeframe of disaster forbearance, delinquent loans granted disaster forbearance are maintained in their pre-grant delinquency status, and as such, are not reflected in our loans in forbearance metrics.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offer certain other administrative forbearances (e.g., death and disability, bankruptcy, military service, and in school assistance) that are required by law (such as by the Servicemembers Civil Relief Act), are considered separate from our active loss mitigation programs, or do not exceed the significance threshold. We do not consider borrowers eligible for these other administrative forbearances to be experiencing financial difficulty.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Currently, we generally grant forbearance for up to 12 months over the life of the loan, in increments of one to two months at a time, although extended grace forbearance is typically granted in one six-month increment. Disaster forbearance and certain other limited instances do not apply toward the 12-month limit. We also currently require 12 months of positive payment performance by a borrower (meaning the borrower must make payment in a cumulative amount equivalent to 12 monthly required payments under the loan) between successive grants of forbearance and between forbearance grants and certain other repayment alternatives. This required period of positive payment performance is not necessary to receive additional increments of extended grace forbearance or for a borrower to receive a contractual interest rate reduction. In addition, we currently limit the participation of delinquent borrowers in certain short-term extended or interest-only repayment alternatives to once in 12 months and twice in five years. We also now count the number of months a borrower receives a short-term extended repayment alternative toward the 12-month forbearance limit described above.</w:t>
      </w:r>
    </w:p>
    <w:p>
      <w:pPr>
        <w:pStyle w:val="TextBody"/>
        <w:bidi w:val="0"/>
        <w:spacing w:lineRule="auto" w:line="288" w:before="120" w:after="283"/>
        <w:ind w:left="0" w:right="0" w:firstLine="405"/>
        <w:jc w:val="left"/>
        <w:rPr>
          <w:rFonts w:ascii="Arial;sans-serif" w:hAnsi="Arial;sans-serif"/>
          <w:b w:val="false"/>
          <w:i/>
          <w:color w:val="000000"/>
          <w:sz w:val="20"/>
        </w:rPr>
      </w:pPr>
      <w:r>
        <w:rPr>
          <w:rFonts w:ascii="Arial;sans-serif" w:hAnsi="Arial;sans-serif"/>
          <w:b w:val="false"/>
          <w:i/>
          <w:color w:val="000000"/>
          <w:sz w:val="20"/>
        </w:rPr>
        <w:t>Modification Programs other than Forbearances</w:t>
      </w:r>
    </w:p>
    <w:p>
      <w:pPr>
        <w:pStyle w:val="TextBody"/>
        <w:bidi w:val="0"/>
        <w:spacing w:lineRule="auto" w:line="288" w:before="120" w:after="283"/>
        <w:ind w:left="0" w:right="0" w:firstLine="495"/>
        <w:jc w:val="left"/>
        <w:rPr/>
      </w:pPr>
      <w:r>
        <w:rPr>
          <w:rFonts w:ascii="Arial;sans-serif" w:hAnsi="Arial;sans-serif"/>
          <w:b w:val="false"/>
          <w:color w:val="000000"/>
          <w:sz w:val="20"/>
        </w:rPr>
        <w:t>For borrowers experiencing more severe hardship, following evaluation of their ability and willingness to repay, we currently use modification programs tailored to the financial condition of the individual borrower.</w:t>
      </w:r>
      <w:r>
        <w:rPr>
          <w:color w:val="000000"/>
        </w:rPr>
        <w:t xml:space="preserve"> </w:t>
      </w:r>
      <w:r>
        <w:rPr>
          <w:rFonts w:ascii="Arial;sans-serif" w:hAnsi="Arial;sans-serif"/>
          <w:b w:val="false"/>
          <w:color w:val="000000"/>
          <w:sz w:val="20"/>
        </w:rPr>
        <w:t xml:space="preserve">Pursuant to our modification programs, we may reduce the contractual interest rate on a loan to a rate between 2 percent and 8 percent temporarily, and/or in some instances may permanently extend the final maturity of a loan. For borrowers experiencing the most severe financial conditions, we may permanently reduce the contractual interest rate on a loan to 2 percent for the remaining life of the loan and also permanently extend the final maturity of the loan. Following modification, borrowers who are delinquent but meet specific payment requirements curing their delinquency will be brought current. We currently limit the granting of a permanent extension of the final maturity date of a loan to once over the life of the loan, and the number of interest rate reductions to twice over the life of the loan.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Modifications under these programs are generally considered loan modifications to borrowers experiencing financial difficulty. See Note 5, “Allowance for Credit Losses and Unfunded Commitments — Loan Modifications to Borrowers Experiencing Financial Difficulty” in this Form 10-Q for disclosures related to these modification programs. However, in some situations, we may offer on a limited basis term extensions or rate reductions or a combination of both to borrowers to reduce consolidation activities. We do not consider these to be modifications of loans to borrowers experiencing financial difficulty. </w:t>
      </w:r>
    </w:p>
    <w:p>
      <w:pPr>
        <w:pStyle w:val="TextBody"/>
        <w:bidi w:val="0"/>
        <w:spacing w:lineRule="auto" w:line="288" w:before="120" w:after="283"/>
        <w:ind w:left="0" w:right="0" w:firstLine="405"/>
        <w:jc w:val="left"/>
        <w:rPr>
          <w:rFonts w:ascii="Arial;sans-serif" w:hAnsi="Arial;sans-serif"/>
          <w:b w:val="false"/>
          <w:i/>
          <w:color w:val="000000"/>
          <w:sz w:val="20"/>
        </w:rPr>
      </w:pPr>
      <w:r>
        <w:rPr>
          <w:rFonts w:ascii="Arial;sans-serif" w:hAnsi="Arial;sans-serif"/>
          <w:b w:val="false"/>
          <w:i/>
          <w:color w:val="000000"/>
          <w:sz w:val="20"/>
        </w:rPr>
        <w:t>Delinquency Trends by Active Repayment Status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tables below show the composition and status of the Private Education Loan portfolio held for investment aged by number of months in active repayment status (months for which a scheduled monthly payment was due). Active repayment status includes loans on which borrowers are making interest only or fixed payments, as well as loans that have entered full principal and interest repayment status after any applicable grace period. Our experience shows that the percentage of loans in forbearance status generally decreases the longer the loans have been in active repayment status. At June 30, 2026, Private Education Loans (held for investment) in forbearance that have been in active repayment status for fewer than 25 months as a percentage of all loans in repayment and forbearance were 1.5 percent. At June 30, 2026, approximately 74 percent of our Private Education Loans (held for investment) in forbearance status have been in active repayment status for fewer than 25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65</w:t>
                      </w:r>
                    </w:p>
                  </w:txbxContent>
                </v:textbox>
                <w10:wrap type="none"/>
              </v:rect>
            </w:pict>
          </mc:Fallback>
        </mc:AlternateContent>
      </w:r>
    </w:p>
    <w:p>
      <w:pPr>
        <w:pStyle w:val="TextBody"/>
        <w:bidi w:val="0"/>
        <w:spacing w:before="90" w:after="283"/>
        <w:jc w:val="left"/>
        <w:rPr/>
      </w:pPr>
      <w:r>
        <w:rPr/>
      </w:r>
    </w:p>
    <w:tbl>
      <w:tblPr>
        <w:tblW w:w="12164" w:type="dxa"/>
        <w:jc w:val="left"/>
        <w:tblInd w:w="0" w:type="dxa"/>
        <w:tblLayout w:type="fixed"/>
        <w:tblCellMar>
          <w:top w:w="28" w:type="dxa"/>
          <w:left w:w="28" w:type="dxa"/>
          <w:bottom w:w="28" w:type="dxa"/>
          <w:right w:w="28" w:type="dxa"/>
        </w:tblCellMar>
      </w:tblPr>
      <w:tblGrid>
        <w:gridCol w:w="1014"/>
        <w:gridCol w:w="785"/>
        <w:gridCol w:w="212"/>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6"/>
        <w:gridCol w:w="631"/>
        <w:gridCol w:w="279"/>
        <w:gridCol w:w="109"/>
        <w:gridCol w:w="109"/>
        <w:gridCol w:w="109"/>
        <w:gridCol w:w="211"/>
        <w:gridCol w:w="616"/>
        <w:gridCol w:w="271"/>
        <w:gridCol w:w="109"/>
        <w:gridCol w:w="109"/>
        <w:gridCol w:w="109"/>
        <w:gridCol w:w="211"/>
        <w:gridCol w:w="721"/>
        <w:gridCol w:w="316"/>
      </w:tblGrid>
      <w:tr>
        <w:trPr/>
        <w:tc>
          <w:tcPr>
            <w:tcW w:w="10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June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 Loans Held for Investment</w:t>
              <w:br/>
              <w:t>Aged by Number of Months in Active Repayment 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Not Yet in</w:t>
              <w:br/>
              <w:t>Repayment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xml:space="preserve">Total </w:t>
            </w:r>
          </w:p>
        </w:tc>
      </w:tr>
      <w:tr>
        <w:trPr/>
        <w:tc>
          <w:tcPr>
            <w:tcW w:w="2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0 to 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13 to 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25 to 36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37 to 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More than 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01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in-school/grace/deferment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current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14,794 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30-59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60-89 days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- 90 days or greater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4,136 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18"/>
              </w:rPr>
            </w:pPr>
            <w:r>
              <w:rPr>
                <w:rFonts w:ascii="Arial;sans-serif" w:hAnsi="Arial;sans-serif"/>
                <w:b w:val="false"/>
                <w:color w:val="144F82"/>
                <w:sz w:val="18"/>
              </w:rPr>
              <w:t>Total Private Education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 as a percentage of total Private Education Loans in repayment and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80" w:after="283"/>
        <w:ind w:left="0" w:right="0" w:firstLine="495"/>
        <w:jc w:val="left"/>
        <w:rPr/>
      </w:pPr>
      <w:r>
        <w:rPr/>
      </w:r>
    </w:p>
    <w:p>
      <w:pPr>
        <w:pStyle w:val="TextBody"/>
        <w:bidi w:val="0"/>
        <w:spacing w:before="0" w:after="0"/>
        <w:jc w:val="center"/>
        <w:rPr/>
      </w:pPr>
      <w:r>
        <w:rPr/>
      </w:r>
    </w:p>
    <w:tbl>
      <w:tblPr>
        <w:tblW w:w="12164" w:type="dxa"/>
        <w:jc w:val="center"/>
        <w:tblInd w:w="0" w:type="dxa"/>
        <w:tblLayout w:type="fixed"/>
        <w:tblCellMar>
          <w:top w:w="28" w:type="dxa"/>
          <w:left w:w="28" w:type="dxa"/>
          <w:bottom w:w="28" w:type="dxa"/>
          <w:right w:w="28" w:type="dxa"/>
        </w:tblCellMar>
      </w:tblPr>
      <w:tblGrid>
        <w:gridCol w:w="1014"/>
        <w:gridCol w:w="785"/>
        <w:gridCol w:w="212"/>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6"/>
        <w:gridCol w:w="631"/>
        <w:gridCol w:w="279"/>
        <w:gridCol w:w="109"/>
        <w:gridCol w:w="109"/>
        <w:gridCol w:w="109"/>
        <w:gridCol w:w="211"/>
        <w:gridCol w:w="616"/>
        <w:gridCol w:w="271"/>
        <w:gridCol w:w="109"/>
        <w:gridCol w:w="109"/>
        <w:gridCol w:w="109"/>
        <w:gridCol w:w="211"/>
        <w:gridCol w:w="721"/>
        <w:gridCol w:w="316"/>
      </w:tblGrid>
      <w:tr>
        <w:trPr/>
        <w:tc>
          <w:tcPr>
            <w:tcW w:w="10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June 30, 2025</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 Loans Held for Investment</w:t>
              <w:br/>
              <w:t>Aged by Number of Months in Active Repayment 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Not Yet in</w:t>
              <w:br/>
              <w:t>Repayment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xml:space="preserve">Total </w:t>
            </w:r>
          </w:p>
        </w:tc>
      </w:tr>
      <w:tr>
        <w:trPr/>
        <w:tc>
          <w:tcPr>
            <w:tcW w:w="2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0 to 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13 to 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25 to 36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37 to 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More than 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01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in-school/grace/deferment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5,991 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current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3,604 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15,662 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30-59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60-89 days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- 90 days or greater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22,526 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18"/>
              </w:rPr>
            </w:pPr>
            <w:r>
              <w:rPr>
                <w:rFonts w:ascii="Arial;sans-serif" w:hAnsi="Arial;sans-serif"/>
                <w:b w:val="false"/>
                <w:color w:val="144F82"/>
                <w:sz w:val="18"/>
              </w:rPr>
              <w:t>Total Private Education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 as a percentage of total Private Education Loans in repayment and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66</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Private Education Loans Held for Investment Types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the loans in repayment balance and total loan balance by Private Education Loan held for investment product type at June 30, 2026 and December 31, 2025. </w:t>
      </w:r>
    </w:p>
    <w:p>
      <w:pPr>
        <w:pStyle w:val="TextBody"/>
        <w:bidi w:val="0"/>
        <w:spacing w:before="9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9125" w:type="dxa"/>
        <w:jc w:val="center"/>
        <w:tblInd w:w="0" w:type="dxa"/>
        <w:tblLayout w:type="fixed"/>
        <w:tblCellMar>
          <w:top w:w="28" w:type="dxa"/>
          <w:left w:w="28" w:type="dxa"/>
          <w:bottom w:w="28" w:type="dxa"/>
          <w:right w:w="28" w:type="dxa"/>
        </w:tblCellMar>
      </w:tblPr>
      <w:tblGrid>
        <w:gridCol w:w="678"/>
        <w:gridCol w:w="597"/>
        <w:gridCol w:w="599"/>
        <w:gridCol w:w="109"/>
        <w:gridCol w:w="109"/>
        <w:gridCol w:w="109"/>
        <w:gridCol w:w="109"/>
        <w:gridCol w:w="109"/>
        <w:gridCol w:w="109"/>
        <w:gridCol w:w="109"/>
        <w:gridCol w:w="211"/>
        <w:gridCol w:w="1081"/>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108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June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Smart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Graduate</w:t>
              <w:br/>
              <w:t>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Other</w:t>
            </w:r>
            <w:r>
              <w:rPr>
                <w:rFonts w:ascii="Arial;sans-serif" w:hAnsi="Arial;sans-serif"/>
                <w:b/>
                <w:color w:val="144F82"/>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r>
      <w:tr>
        <w:trPr/>
        <w:tc>
          <w:tcPr>
            <w:tcW w:w="187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in repayment</w:t>
            </w:r>
            <w:r>
              <w:rPr>
                <w:rFonts w:ascii="Arial;sans-serif" w:hAnsi="Arial;sans-serif"/>
                <w:b w:val="false"/>
                <w:color w:val="000000"/>
                <w:sz w:val="12"/>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13,159,654 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1,893,202 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15,366,596 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p>
    <w:p>
      <w:pPr>
        <w:pStyle w:val="TextBody"/>
        <w:bidi w:val="0"/>
        <w:spacing w:before="90" w:after="60"/>
        <w:ind w:left="0" w:right="0" w:firstLine="495"/>
        <w:jc w:val="center"/>
        <w:rPr/>
      </w:pPr>
      <w:r>
        <w:rPr/>
      </w:r>
    </w:p>
    <w:p>
      <w:pPr>
        <w:pStyle w:val="TextBody"/>
        <w:bidi w:val="0"/>
        <w:spacing w:lineRule="auto" w:line="288" w:before="90" w:after="283"/>
        <w:ind w:left="0" w:right="0" w:firstLine="495"/>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071"/>
        <w:gridCol w:w="938"/>
        <w:gridCol w:w="944"/>
        <w:gridCol w:w="109"/>
        <w:gridCol w:w="109"/>
        <w:gridCol w:w="109"/>
        <w:gridCol w:w="109"/>
        <w:gridCol w:w="109"/>
        <w:gridCol w:w="109"/>
        <w:gridCol w:w="109"/>
        <w:gridCol w:w="211"/>
        <w:gridCol w:w="1081"/>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1081"/>
        <w:gridCol w:w="155"/>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December 31, 2025 (dollars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Smart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Graduate</w:t>
              <w:br/>
              <w:t>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Other</w:t>
            </w:r>
            <w:r>
              <w:rPr>
                <w:rFonts w:ascii="Arial;sans-serif" w:hAnsi="Arial;sans-serif"/>
                <w:b/>
                <w:color w:val="144F82"/>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r>
      <w:tr>
        <w:trPr/>
        <w:tc>
          <w:tcPr>
            <w:tcW w:w="295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in repayment</w:t>
            </w:r>
            <w:r>
              <w:rPr>
                <w:rFonts w:ascii="Arial;sans-serif" w:hAnsi="Arial;sans-serif"/>
                <w:b w:val="false"/>
                <w:color w:val="000000"/>
                <w:sz w:val="12"/>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13,806,666 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1,765,589 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322,572 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15,894,827 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21,660,434 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270"/>
        <w:jc w:val="left"/>
        <w:rPr>
          <w:rFonts w:ascii="Arial;sans-serif" w:hAnsi="Arial;sans-serif"/>
          <w:b w:val="false"/>
          <w:color w:val="000000"/>
          <w:sz w:val="14"/>
        </w:rPr>
      </w:pPr>
      <w:r>
        <w:rPr>
          <w:rFonts w:ascii="Arial;sans-serif" w:hAnsi="Arial;sans-serif"/>
          <w:b w:val="false"/>
          <w:color w:val="000000"/>
          <w:sz w:val="14"/>
        </w:rPr>
        <w:t>(1) Other includes Parent Loan and Career training loan products, both of which were discontinued, with final disbursements made in 2023.</w:t>
      </w:r>
    </w:p>
    <w:p>
      <w:pPr>
        <w:pStyle w:val="TextBody"/>
        <w:bidi w:val="0"/>
        <w:spacing w:lineRule="auto" w:line="288" w:before="90" w:after="283"/>
        <w:ind w:left="0" w:right="0" w:hanging="270"/>
        <w:jc w:val="left"/>
        <w:rPr>
          <w:rFonts w:ascii="Arial;sans-serif" w:hAnsi="Arial;sans-serif"/>
          <w:b w:val="false"/>
          <w:color w:val="000000"/>
          <w:sz w:val="14"/>
        </w:rPr>
      </w:pPr>
      <w:r>
        <w:rPr>
          <w:rFonts w:ascii="Arial;sans-serif" w:hAnsi="Arial;sans-serif"/>
          <w:b w:val="false"/>
          <w:color w:val="000000"/>
          <w:sz w:val="14"/>
        </w:rPr>
        <w:t>(2) 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w:t>
      </w:r>
    </w:p>
    <w:p>
      <w:pPr>
        <w:pStyle w:val="TextBody"/>
        <w:bidi w:val="0"/>
        <w:spacing w:before="90" w:after="283"/>
        <w:ind w:left="0" w:right="0" w:hanging="27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67</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Accrued Interest Receivable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accrued interest receivable on our Private Education Loans. The table also discloses the amount of accrued interest on loans 90 days or greater past due as compared to our allowance for uncollectible interest. The majority of the total accrued interest receivable represents accrued interest on deferred loans where no payments are due while the borrower is in school and fixed-pay loans where the borrower makes a $25 monthly payment that is smaller than the interest accruing on the loan in that month. The accrued interest on these loans will be capitalized to the balance of the loans when the borrower exits the grace period after separation from school. The allowance for credit losses considers both the collectibility of principal and accrued interest. The allowance for uncollectible interest estimates the additional uncollectible interest that is not captured in the allowance for credit losses. </w:t>
      </w:r>
    </w:p>
    <w:tbl>
      <w:tblPr>
        <w:tblW w:w="8329"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334"/>
        <w:gridCol w:w="1548"/>
        <w:gridCol w:w="172"/>
        <w:gridCol w:w="109"/>
        <w:gridCol w:w="109"/>
        <w:gridCol w:w="109"/>
        <w:gridCol w:w="520"/>
        <w:gridCol w:w="1520"/>
        <w:gridCol w:w="269"/>
        <w:gridCol w:w="109"/>
        <w:gridCol w:w="109"/>
        <w:gridCol w:w="109"/>
        <w:gridCol w:w="242"/>
        <w:gridCol w:w="827"/>
        <w:gridCol w:w="17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Private Education Loans</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Accrued Interest Receivable</w:t>
            </w:r>
            <w:r>
              <w:rPr>
                <w:color w:val="144F82"/>
              </w:rPr>
              <w:t xml:space="preserve">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 Interest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90 Days or Greater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7"/>
              </w:rPr>
            </w:pPr>
            <w:r>
              <w:rPr>
                <w:rFonts w:ascii="Arial;sans-serif" w:hAnsi="Arial;sans-serif"/>
                <w:b/>
                <w:color w:val="144F82"/>
                <w:sz w:val="17"/>
              </w:rPr>
              <w:t>Allowance for</w:t>
            </w:r>
          </w:p>
          <w:p>
            <w:pPr>
              <w:pStyle w:val="TableContents"/>
              <w:bidi w:val="0"/>
              <w:spacing w:lineRule="auto" w:line="240" w:before="0" w:after="0"/>
              <w:jc w:val="center"/>
              <w:rPr>
                <w:rFonts w:ascii="Arial;sans-serif" w:hAnsi="Arial;sans-serif"/>
                <w:b/>
                <w:color w:val="144F82"/>
                <w:sz w:val="17"/>
              </w:rPr>
            </w:pPr>
            <w:r>
              <w:rPr>
                <w:rFonts w:ascii="Arial;sans-serif" w:hAnsi="Arial;sans-serif"/>
                <w:b/>
                <w:color w:val="144F82"/>
                <w:sz w:val="17"/>
              </w:rPr>
              <w:t>Uncollectible</w:t>
            </w:r>
          </w:p>
          <w:p>
            <w:pPr>
              <w:pStyle w:val="TableContents"/>
              <w:bidi w:val="0"/>
              <w:spacing w:lineRule="auto" w:line="240" w:before="0" w:after="0"/>
              <w:jc w:val="center"/>
              <w:rPr/>
            </w:pPr>
            <w:r>
              <w:rPr>
                <w:rFonts w:ascii="Arial;sans-serif" w:hAnsi="Arial;sans-serif"/>
                <w:b/>
                <w:color w:val="144F82"/>
                <w:sz w:val="17"/>
              </w:rPr>
              <w:t>Interest</w:t>
            </w:r>
            <w:r>
              <w:rPr>
                <w:rFonts w:ascii="Arial;sans-serif" w:hAnsi="Arial;sans-serif"/>
                <w:b/>
                <w:color w:val="144F82"/>
                <w:sz w:val="11"/>
              </w:rPr>
              <w:t>(1)(2)</w:t>
            </w:r>
          </w:p>
        </w:tc>
      </w:tr>
      <w:tr>
        <w:trPr/>
        <w:tc>
          <w:tcPr>
            <w:tcW w:w="173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30, 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1,604,848 </w:t>
            </w:r>
          </w:p>
        </w:tc>
        <w:tc>
          <w:tcPr>
            <w:tcW w:w="17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5,417 </w:t>
            </w:r>
          </w:p>
        </w:tc>
        <w:tc>
          <w:tcPr>
            <w:tcW w:w="26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9,770 </w:t>
            </w:r>
          </w:p>
        </w:tc>
        <w:tc>
          <w:tcPr>
            <w:tcW w:w="17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30, 2025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1,701,944 </w:t>
            </w:r>
          </w:p>
        </w:tc>
        <w:tc>
          <w:tcPr>
            <w:tcW w:w="17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5,381 </w:t>
            </w:r>
          </w:p>
        </w:tc>
        <w:tc>
          <w:tcPr>
            <w:tcW w:w="2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12,694 </w:t>
            </w:r>
          </w:p>
        </w:tc>
        <w:tc>
          <w:tcPr>
            <w:tcW w:w="17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The allowance for uncollectible interest at June 30, 2026 and 2025 represents the expected losses related to the portion of accrued interest receivable on those loans that are in repayment (at June 30, 2026 and 2025, relates to $154 million and $159 million, respectively, of accrued interest receivable) that is/was not expected to be capitalized. The accrued interest receivable that is/was expected to be capitalized ($1.5 billion at both June 30, 2026 and 2025) is/was reserved in the allowance for credit losses.</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The allowance for uncollectible interest at December 31, 2025 represents the expected losses related to the portion of accrued interest receivable on those loans in repayment ($164 million of accrued interest receivable) that was not expected to be capitalized. The accrued interest receivable that was expected to be capitalized ($1.4 billion) was reserved in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68</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7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90" w:after="283"/>
        <w:jc w:val="left"/>
        <w:rPr>
          <w:rFonts w:ascii="Arial;sans-serif" w:hAnsi="Arial;sans-serif"/>
          <w:b/>
          <w:i/>
          <w:color w:val="000000"/>
          <w:sz w:val="20"/>
        </w:rPr>
      </w:pPr>
      <w:r>
        <w:rPr>
          <w:rFonts w:ascii="Arial;sans-serif" w:hAnsi="Arial;sans-serif"/>
          <w:b/>
          <w:i/>
          <w:color w:val="000000"/>
          <w:sz w:val="20"/>
        </w:rPr>
        <w:t>Funding and Liquidity Risk Management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primary funding and liquidity objective is to support our businesses throughout market cycles, including during periods of financial stress. Our business needs primarily include funding originations of Private Education Loans and meeting any deposits outflows at the Bank. To achieve these objectives, we maintain access to a diverse set of funding sources, such as retail deposits, brokered deposits, asset-backed securitizations, unsecured debt, other financing facilities, and loan sales. We maintained liquidity reserves in the form of unrestricted cash and liquid investments of $5.6 billion and $5.4 billion as of June 30, 2026 and December 31, 2025, respectively, as noted in the table below.</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At June 30, 2026 and December 31, 2025, our sources of liquidity included unrestricted cash, primarily held at the Federal Reserve Bank, and liquid investments with unrealized losses of $59.1 million and $61.2 million, respectively. It is our policy to maintain a liquidity stockpile that is sufficient in size and quality to meet our financial obligations in normal and stressed times. Our liquidity risk management is governed by policies approved by our Board of Directors. Oversight of these policies is performed at the Asset and Liability Committee, a management-level committee. These policies consider the volatility of cash flow forecasts, expected asset and liability maturities, anticipated loan demand, and a variety of other factors to establish minimum liquidity guidelines.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Key risks associated with our liquidity relate to our ability to access the capital markets and deposit markets at reasonable rates. This ability may be affected by our performance, competitive pressures, the macroeconomic environment, and the impact they have on the availability of funding sources in the market. We target maintaining sufficient on-balance sheet and contingent sources of liquidity to enable us to meet all contractual and contingent obligations under various stress scenarios, including severe macroeconomic stresses and specific stresses that test the resiliency of our balance sheet. At June 30, 2026, we held a significant liquidity buffer of unrestricted cash and government-backed investments, which we expect to maintain in the future. Due to the seasonal nature of our business, our liquidity levels will likely vary from quarter to quarter.</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Sources of Liquidity and Available Capacity</w:t>
      </w:r>
    </w:p>
    <w:p>
      <w:pPr>
        <w:pStyle w:val="TextBody"/>
        <w:bidi w:val="0"/>
        <w:spacing w:lineRule="auto" w:line="288" w:before="90" w:after="283"/>
        <w:jc w:val="left"/>
        <w:rPr>
          <w:rFonts w:ascii="Arial;sans-serif" w:hAnsi="Arial;sans-serif"/>
          <w:b w:val="false"/>
          <w:i/>
          <w:color w:val="000000"/>
          <w:sz w:val="20"/>
        </w:rPr>
      </w:pPr>
      <w:r>
        <w:rPr>
          <w:rFonts w:ascii="Arial;sans-serif" w:hAnsi="Arial;sans-serif"/>
          <w:b w:val="false"/>
          <w:i/>
          <w:color w:val="000000"/>
          <w:sz w:val="20"/>
        </w:rPr>
        <w:t>Ending Balances</w:t>
      </w:r>
    </w:p>
    <w:tbl>
      <w:tblPr>
        <w:tblW w:w="7860" w:type="dxa"/>
        <w:jc w:val="center"/>
        <w:tblInd w:w="0" w:type="dxa"/>
        <w:tblLayout w:type="fixed"/>
        <w:tblCellMar>
          <w:top w:w="28" w:type="dxa"/>
          <w:left w:w="28" w:type="dxa"/>
          <w:bottom w:w="28" w:type="dxa"/>
          <w:right w:w="28" w:type="dxa"/>
        </w:tblCellMar>
      </w:tblPr>
      <w:tblGrid>
        <w:gridCol w:w="1552"/>
        <w:gridCol w:w="1366"/>
        <w:gridCol w:w="1372"/>
        <w:gridCol w:w="109"/>
        <w:gridCol w:w="109"/>
        <w:gridCol w:w="109"/>
        <w:gridCol w:w="211"/>
        <w:gridCol w:w="976"/>
        <w:gridCol w:w="109"/>
        <w:gridCol w:w="109"/>
        <w:gridCol w:w="109"/>
        <w:gridCol w:w="109"/>
        <w:gridCol w:w="255"/>
        <w:gridCol w:w="1179"/>
        <w:gridCol w:w="186"/>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December 31, 2025</w:t>
            </w:r>
          </w:p>
        </w:tc>
      </w:tr>
      <w:tr>
        <w:trPr/>
        <w:tc>
          <w:tcPr>
            <w:tcW w:w="429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Sources of primary liquidity:</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Holding Company and other non-bank subsidiaries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4,421 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Sallie Mae Bank</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4,236,844 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966,317 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1,135,886 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5,554,445 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5,377,151 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15"/>
        <w:jc w:val="left"/>
        <w:rPr/>
      </w:pPr>
      <w:r>
        <w:rPr/>
      </w:r>
    </w:p>
    <w:p>
      <w:pPr>
        <w:pStyle w:val="TextBody"/>
        <w:bidi w:val="0"/>
        <w:spacing w:lineRule="auto" w:line="288" w:before="0" w:after="0"/>
        <w:ind w:left="0" w:right="0" w:hanging="315"/>
        <w:jc w:val="left"/>
        <w:rPr>
          <w:rFonts w:ascii="Arial;sans-serif" w:hAnsi="Arial;sans-serif"/>
          <w:b w:val="false"/>
          <w:color w:val="000000"/>
          <w:sz w:val="14"/>
        </w:rPr>
      </w:pPr>
      <w:r>
        <w:rPr>
          <w:rFonts w:ascii="Arial;sans-serif" w:hAnsi="Arial;sans-serif"/>
          <w:b w:val="false"/>
          <w:color w:val="000000"/>
          <w:sz w:val="14"/>
        </w:rPr>
        <w:t xml:space="preserve">(1) This amount will be used primarily to originate Private Education Loans at the Bank. </w:t>
      </w:r>
    </w:p>
    <w:p>
      <w:pPr>
        <w:pStyle w:val="TextBody"/>
        <w:bidi w:val="0"/>
        <w:spacing w:before="120" w:after="283"/>
        <w:ind w:left="0" w:right="0" w:hanging="315"/>
        <w:jc w:val="left"/>
        <w:rPr/>
      </w:pPr>
      <w:r>
        <w:rPr/>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Average Balances</w:t>
      </w:r>
    </w:p>
    <w:p>
      <w:pPr>
        <w:pStyle w:val="TextBody"/>
        <w:bidi w:val="0"/>
        <w:spacing w:lineRule="auto" w:line="288" w:before="12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42"/>
        <w:gridCol w:w="1110"/>
        <w:gridCol w:w="111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w:t>
              <w:br/>
              <w:t>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Six Months Ended </w:t>
              <w:br/>
              <w:t> June 30,</w:t>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366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Sources of primary liquidity:</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Holding Company and other non-bank subsidiaries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Sallie Mae Bank</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1,158,306 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1,120,558 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1,151,373 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1,210,617 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5,963,298 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5,108,582 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5,271,724 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5,089,981 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(1) This amount will be used primarily to originate Private Education Loans at the Bank. </w:t>
      </w:r>
    </w:p>
    <w:p>
      <w:pPr>
        <w:pStyle w:val="TextBody"/>
        <w:bidi w:val="0"/>
        <w:spacing w:before="12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69</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Deposits </w:t>
      </w:r>
    </w:p>
    <w:p>
      <w:pPr>
        <w:pStyle w:val="TextBody"/>
        <w:bidi w:val="0"/>
        <w:spacing w:lineRule="auto" w:line="288" w:before="120" w:after="283"/>
        <w:ind w:left="0" w:right="0" w:firstLine="495"/>
        <w:jc w:val="left"/>
        <w:rPr/>
      </w:pPr>
      <w:r>
        <w:rPr>
          <w:rFonts w:ascii="Arial;sans-serif" w:hAnsi="Arial;sans-serif"/>
          <w:b w:val="false"/>
          <w:color w:val="000000"/>
          <w:sz w:val="20"/>
        </w:rPr>
        <w:t>The following table summarizes total deposits at June 30, 2026 and December 31, 2025.</w:t>
      </w:r>
      <w:r>
        <w:rPr>
          <w:color w:val="000000"/>
        </w:rPr>
        <w:t xml:space="preserve"> </w:t>
      </w:r>
    </w:p>
    <w:tbl>
      <w:tblPr>
        <w:tblW w:w="6265" w:type="dxa"/>
        <w:jc w:val="center"/>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1081"/>
        <w:gridCol w:w="109"/>
        <w:gridCol w:w="109"/>
        <w:gridCol w:w="109"/>
        <w:gridCol w:w="109"/>
        <w:gridCol w:w="109"/>
        <w:gridCol w:w="211"/>
        <w:gridCol w:w="108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65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interest-bearing</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19,894,290 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non-interest-bearing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19,894,501 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center"/>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total deposits of $19.9 billion were comprised of $8.2 billion in brokered deposits and $11.6 billion in retail and other deposits at June 30, 2026, compared with total deposits of $21.1 billion, which were comprised of $8.8 billion in brokered deposits and $12.3 billion in retail and other deposits, at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Interest-bearing deposits as of June 30, 2026 and December 31, 2025 consisted of retail and brokered non-maturity savings deposits, retail and brokered non-maturity MMDAs, and retail and brokered CDs. Interest-bearing deposits also include deposits from Educational 529 and Health Savings plans that diversify our funding sources and that we consider to be core. These and other large omnibus accounts, aggregating the deposits of many individual depositors, represented $6.8 billion and $7.6 billion of our deposit total as of June 30, 2026 and December 31, 2025, respectively. The omnibus accounts are structured in such a way that entitles the individual depositor pass-through deposit insurance (subject to FDIC rules and limitations), and the majority of these deposits have contractual minimum balances and maturity terms.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Some of our deposit products are serviced by third-party providers. Placement fees associated with the brokered CDs are amortized into interest expense using the effective interest rate method. We recognized placement fee expense of $2 million in both the three months ended June 30, 2026 and 2025 and placement fee expense of $4 million in both the six months ended June 30, 2026 and 2025. There were no fees paid to third-party brokers related to brokered CDs in the three months ended June 30, 2026 and $5 million in fees paid to third-party brokers related to brokered CDs for the six months ended June 30, 2026. There were no fees paid to third-party brokers related to brokered CDs for either the three or six months ended June 30, 2025. </w:t>
      </w:r>
    </w:p>
    <w:p>
      <w:pPr>
        <w:pStyle w:val="TextBody"/>
        <w:bidi w:val="0"/>
        <w:spacing w:lineRule="auto" w:line="288" w:before="100" w:after="180"/>
        <w:ind w:left="0" w:right="0" w:firstLine="495"/>
        <w:jc w:val="left"/>
        <w:rPr>
          <w:rFonts w:ascii="Arial;sans-serif" w:hAnsi="Arial;sans-serif"/>
          <w:b w:val="false"/>
          <w:color w:val="000000"/>
          <w:sz w:val="20"/>
        </w:rPr>
      </w:pPr>
      <w:r>
        <w:rPr>
          <w:rFonts w:ascii="Arial;sans-serif" w:hAnsi="Arial;sans-serif"/>
          <w:b w:val="false"/>
          <w:color w:val="000000"/>
          <w:sz w:val="20"/>
        </w:rPr>
        <w:t>Interest bearing deposits at June 30, 2026 and December 31, 2025 are summarized as follows:</w:t>
      </w:r>
    </w:p>
    <w:tbl>
      <w:tblPr>
        <w:tblW w:w="8938" w:type="dxa"/>
        <w:jc w:val="center"/>
        <w:tblInd w:w="0" w:type="dxa"/>
        <w:tblLayout w:type="fixed"/>
        <w:tblCellMar>
          <w:top w:w="28" w:type="dxa"/>
          <w:left w:w="28" w:type="dxa"/>
          <w:bottom w:w="28" w:type="dxa"/>
          <w:right w:w="28" w:type="dxa"/>
        </w:tblCellMar>
      </w:tblPr>
      <w:tblGrid>
        <w:gridCol w:w="862"/>
        <w:gridCol w:w="760"/>
        <w:gridCol w:w="762"/>
        <w:gridCol w:w="109"/>
        <w:gridCol w:w="109"/>
        <w:gridCol w:w="109"/>
        <w:gridCol w:w="211"/>
        <w:gridCol w:w="1081"/>
        <w:gridCol w:w="109"/>
        <w:gridCol w:w="109"/>
        <w:gridCol w:w="109"/>
        <w:gridCol w:w="109"/>
        <w:gridCol w:w="255"/>
        <w:gridCol w:w="256"/>
        <w:gridCol w:w="634"/>
        <w:gridCol w:w="109"/>
        <w:gridCol w:w="109"/>
        <w:gridCol w:w="109"/>
        <w:gridCol w:w="211"/>
        <w:gridCol w:w="1081"/>
        <w:gridCol w:w="109"/>
        <w:gridCol w:w="109"/>
        <w:gridCol w:w="109"/>
        <w:gridCol w:w="109"/>
        <w:gridCol w:w="255"/>
        <w:gridCol w:w="256"/>
        <w:gridCol w:w="634"/>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Qtr.-End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Year-End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9,105,154 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6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10,004,845 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6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9,262,730 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6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6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Deposits - interest 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19,894,290 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effect of interest rate swaps in effective hedge relationships.</w:t>
      </w:r>
    </w:p>
    <w:p>
      <w:pPr>
        <w:pStyle w:val="TextBody"/>
        <w:bidi w:val="0"/>
        <w:spacing w:lineRule="auto" w:line="26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June 30, 2026 and December 31, 2025, there were $615 million and $557 million, respectively, of deposits exceeding FDIC insurance limits. Accrued interest on deposits was $70 million and $71 million at June 30, 2026 and December 31, 2025, respectively.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Exposure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Counterparty exposure related to financial instruments arises from the risk that a lending, investment, or derivative counterparty will not be able to meet its obligations to us.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Excess cash is generally invested with the FRB on an overnight basis or in the FRB’s Term Deposit Facility, minimizing counterparty exposure on cash balances.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investment portfolio is primarily comprised of a small portfolio of mortgage-backed securities issued by government agencies and government-sponsored enterprises that are purchased to meet CRA targets. Additionally, our investing activity is governed by Board-approved limits on the amount that is allowed to be invested with any one issuer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70</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based on the credit rating of the issuer, further minimizing our counterparty exposure. Counterparty credit risk is considered when valuing investments and considering impairment.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Related to derivative transactions, protection against counterparty risk is generally provided by International Swaps and Derivatives Association, Inc. Credit Support Annexes (“CSAs”), or clearinghouses for over-the-counter derivatives. CSAs require a counterparty to post collateral if a potential default would expose the other party to a loss. All derivative contracts entered into by the Bank are covered under CSAs or clearinghouse agreements and require collateral to be exchanged based on the net fair value of derivatives with each counterparty. Our exposure to the counterparty is limited to the value of the derivative contracts in a gain position, less any collateral held by us and plus collateral posted with the counterparty.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Title VII of the Dodd-Frank Act requires all standardized derivatives, including most interest rate swaps, to be submitted for clearing to central counterparties to reduce counterparty risk. Two of the central counterparties we use are the CME and the LCH. All variation margin payments on derivatives cleared through the CME and LCH are accounted for as legal settlement. As of June 30, 2026, $10 million notional of our derivative contracts were cleared on the CME and $2 million were cleared on the LCH. The derivative contracts cleared through the CME and LCH represent 79.2 percent and 20.8 percent, respectively, of our total notional derivative contracts of $12 million at June 30, 2026.</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derivatives cleared through the CME and LCH, the net gain (loss) position includes the variation margin amounts as settlement of the derivative and not collateral against the fair value of the derivative. The amount of variation margin included as settlement as of June 30, 2026 was immaterial for both the CME and LCH. Changes in fair value for derivatives not designated as hedging instruments are presented as realized gains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exposure to the counterparty is limited to the value of the derivative contracts in a gain position less any collateral held and plus any collateral posted. When there is a net negative exposure, we consider our exposure to the counterparty to be zero. At June 30, 2026 and December 31, 2025, we had a net positive exposure (derivative gain/loss positions to us, less collateral held by us and plus collateral posted with counterparties) related to derivatives of $0.1 million and $0.1 million, respectively.</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have liquidity exposure related to collateral movements between us and our derivative counterparties. Movements in the value of the derivatives, which are primarily affected by changes in interest rates, may require us to return cash collateral held or may require us to access primary liquidity to post collateral to counterparties.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highlights exposure related to our derivative counterparties as of June 30, 2026.</w:t>
      </w:r>
    </w:p>
    <w:p>
      <w:pPr>
        <w:pStyle w:val="TextBody"/>
        <w:bidi w:val="0"/>
        <w:spacing w:before="180" w:after="283"/>
        <w:ind w:left="0" w:right="0" w:firstLine="495"/>
        <w:jc w:val="left"/>
        <w:rPr/>
      </w:pPr>
      <w:r>
        <w:rPr/>
      </w:r>
    </w:p>
    <w:tbl>
      <w:tblPr>
        <w:tblW w:w="9028" w:type="dxa"/>
        <w:jc w:val="center"/>
        <w:tblInd w:w="0" w:type="dxa"/>
        <w:tblLayout w:type="fixed"/>
        <w:tblCellMar>
          <w:top w:w="28" w:type="dxa"/>
          <w:left w:w="28" w:type="dxa"/>
          <w:bottom w:w="28" w:type="dxa"/>
          <w:right w:w="28" w:type="dxa"/>
        </w:tblCellMar>
      </w:tblPr>
      <w:tblGrid>
        <w:gridCol w:w="2622"/>
        <w:gridCol w:w="2307"/>
        <w:gridCol w:w="2316"/>
        <w:gridCol w:w="109"/>
        <w:gridCol w:w="109"/>
        <w:gridCol w:w="109"/>
        <w:gridCol w:w="345"/>
        <w:gridCol w:w="591"/>
        <w:gridCol w:w="520"/>
      </w:tblGrid>
      <w:tr>
        <w:trPr/>
        <w:tc>
          <w:tcPr>
            <w:tcW w:w="2622"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As of June 30, 2026</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SLM Corporation</w:t>
              <w:br/>
              <w:t>and Sallie Mae Bank</w:t>
              <w:br/>
              <w:t>Contracts</w:t>
            </w:r>
          </w:p>
        </w:tc>
      </w:tr>
      <w:tr>
        <w:trPr/>
        <w:tc>
          <w:tcPr>
            <w:tcW w:w="724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Total exposure, net of collateral</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52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Exposure to counterparties with credit ratings, net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 of exposure to counterparties with credit ratings below S&amp;P AA- or Moody’s Aa3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 of exposure to counterparties with credit ratings below S&amp;P A- or Moody’s 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Capital</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Bank is subject to various regulatory capital requirements administered by federal and state banking authorities. Failure to meet minimum capital requirements can initiate certain mandatory and possibly additional discretionary actions by regulators that, if undertaken, could have a direct material adverse effect on our business, results of operations, and financial condition. Under U.S. Basel III and the regulatory framework for prompt corrective action, the Bank must meet specific capital standards that involve quantitative measures of its assets, liabilities, and certain off-balance sheet items as calculated under regulatory accounting practices. The Bank’s capital amounts and its classification under the prompt corrective action framework are also subject to qualitative judgments by the regulators about components of capital, risk weightings,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71</w:t>
                      </w:r>
                    </w:p>
                  </w:txbxContent>
                </v:textbox>
                <w10:wrap type="none"/>
              </v:rect>
            </w:pict>
          </mc:Fallback>
        </mc:AlternateContent>
      </w:r>
    </w:p>
    <w:p>
      <w:pPr>
        <w:pStyle w:val="TextBody"/>
        <w:bidi w:val="0"/>
        <w:spacing w:before="90" w:after="283"/>
        <w:jc w:val="left"/>
        <w:rPr/>
      </w:pPr>
      <w:r>
        <w:rPr/>
      </w:r>
    </w:p>
    <w:p>
      <w:pPr>
        <w:pStyle w:val="TextBody"/>
        <w:bidi w:val="0"/>
        <w:spacing w:lineRule="auto" w:line="417" w:before="180" w:after="283"/>
        <w:jc w:val="left"/>
        <w:rPr/>
      </w:pPr>
      <w:r>
        <w:rPr>
          <w:color w:val="000000"/>
        </w:rPr>
        <w:t> </w:t>
      </w:r>
      <w:r>
        <w:rPr>
          <w:rFonts w:ascii="Arial;sans-serif" w:hAnsi="Arial;sans-serif"/>
          <w:b/>
          <w:i/>
          <w:color w:val="000000"/>
          <w:sz w:val="20"/>
        </w:rPr>
        <w:t>Capital Management</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 intends to maintain at all times regulatory capital levels that meet both the minimum levels required under U.S. Basel III (including applicable buffers) and the levels necessary to be considered “well capitalized” under the FDIC’s prompt corrective action framework, in order to support asset growth and operating needs, address unexpected credit risks, and protect the interests of depositors and the Deposit Insurance Fund administered by the FDIC. The Bank’s Capital Policy requires management to monitor these capital standards and the Bank’s compliance with them. The Board of Directors and management periodically evaluate the quality of assets, the stability of earnings, and the adequacy of the allowance for credit losses for the Bank. The Company is a source of strength for the Bank and will provide additional capital if necessary.</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believe that current and projected capital levels are appropriate for 2026. As of June 30, 2026, the Bank’s risk-based and leverage capital ratios exceed the required minimum ratios and the applicable buffers under the fully phased-in U.S. Basel III standards as well as the “well capitalized” standards under the prompt corrective action framework.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Under U.S. Basel III, the Bank is required to maintain the following minimum regulatory capital ratios: a Common Equity Tier 1 risk-based capital ratio of 4.5 percent, a Tier 1 risk-based capital ratio of 6.0 percent, a Total risk-based capital ratio of 8.0 percent, and a Tier 1 leverage ratio of 4.0 percent. In addition, the Bank is subject to a Common Equity Tier 1 capital conservation buffer of greater than 2.5 percent. Failure to maintain the buffer will result in restrictions on the Bank’s ability to make capital distributions, including the payment of dividends, and to pay discretionary bonuses to executive officers. Including the buffer, the Bank is required to maintain the following capital ratios under U.S. Basel III in order to avoid such restrictions: a Common Equity Tier 1 risk-based capital ratio of greater than 7.0 percent, a Tier 1 risk-based capital ratio of greater than 8.5 percent, and a Total risk-based capital ratio of greater than 10.5 percent.</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To qualify as “well capitalized” under the prompt corrective action framework for insured depository institutions, the Bank must maintain a Common Equity Tier 1 risk-based capital ratio of at least 6.5 percent, a Tier 1 risk-based capital ratio of at least 8.0 percent, a Total risk-based capital ratio of at least 10.0 percent, and a Tier 1 leverage ratio of at least 5.0 percent.</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Bank’s required and actual regulatory capital amounts and ratios, including applicable capital conservation buffers, under U.S. Basel III are shown in the following table. The following capital amounts and ratios are based upon the Bank’s average assets and risk-weighted assets, as indicated. The Bank has elected to exclude accumulated other comprehensive income related to both available-for-sale investments and swap valuations from Common Equity Tier 1 Capital.</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4"/>
        <w:gridCol w:w="1444"/>
        <w:gridCol w:w="1448"/>
        <w:gridCol w:w="109"/>
        <w:gridCol w:w="109"/>
        <w:gridCol w:w="109"/>
        <w:gridCol w:w="211"/>
        <w:gridCol w:w="976"/>
        <w:gridCol w:w="109"/>
        <w:gridCol w:w="255"/>
        <w:gridCol w:w="256"/>
        <w:gridCol w:w="310"/>
        <w:gridCol w:w="109"/>
        <w:gridCol w:w="109"/>
        <w:gridCol w:w="109"/>
        <w:gridCol w:w="258"/>
        <w:gridCol w:w="1196"/>
        <w:gridCol w:w="132"/>
        <w:gridCol w:w="132"/>
        <w:gridCol w:w="132"/>
        <w:gridCol w:w="132"/>
        <w:gridCol w:w="255"/>
        <w:gridCol w:w="256"/>
        <w:gridCol w:w="395"/>
      </w:tblGrid>
      <w:tr>
        <w:trPr/>
        <w:tc>
          <w:tcPr>
            <w:tcW w:w="165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144F82"/>
              </w:rPr>
            </w:pP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8"/>
              </w:rPr>
            </w:pPr>
            <w:r>
              <w:rPr>
                <w:rFonts w:ascii="Arial;sans-serif" w:hAnsi="Arial;sans-serif"/>
                <w:b/>
                <w:color w:val="144F82"/>
                <w:sz w:val="18"/>
              </w:rPr>
              <w:t>U.S. Basel III Minimum</w:t>
            </w:r>
          </w:p>
          <w:p>
            <w:pPr>
              <w:pStyle w:val="TableContents"/>
              <w:bidi w:val="0"/>
              <w:spacing w:lineRule="auto" w:line="240" w:before="0" w:after="0"/>
              <w:jc w:val="center"/>
              <w:rPr/>
            </w:pPr>
            <w:r>
              <w:rPr>
                <w:rFonts w:ascii="Arial;sans-serif" w:hAnsi="Arial;sans-serif"/>
                <w:b/>
                <w:color w:val="144F82"/>
                <w:sz w:val="18"/>
              </w:rPr>
              <w:t>Requirements Plus Buffer</w:t>
            </w:r>
            <w:r>
              <w:rPr>
                <w:rFonts w:ascii="Arial;sans-serif" w:hAnsi="Arial;sans-serif"/>
                <w:b/>
                <w:color w:val="144F82"/>
                <w:sz w:val="12"/>
              </w:rPr>
              <w:t>(1)(2)</w:t>
            </w:r>
          </w:p>
        </w:tc>
      </w:tr>
      <w:tr>
        <w:trPr/>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r>
      <w:tr>
        <w:trPr/>
        <w:tc>
          <w:tcPr>
            <w:tcW w:w="454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June 30, 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1,752,917 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2,951,103 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2,128,543 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2,629,376 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2,951,103 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40"/>
              <w:jc w:val="left"/>
              <w:rPr/>
            </w:pPr>
            <w:r>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1,161,093 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December 31, 2025: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2,245,930 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2,774,384 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1,186,335 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hanging="315"/>
        <w:jc w:val="left"/>
        <w:rPr>
          <w:color w:val="000000"/>
        </w:rPr>
      </w:pPr>
      <w:r>
        <w:rPr>
          <w:color w:val="000000"/>
        </w:rPr>
        <w:t>             </w:t>
      </w:r>
    </w:p>
    <w:p>
      <w:pPr>
        <w:pStyle w:val="TextBody"/>
        <w:bidi w:val="0"/>
        <w:spacing w:lineRule="auto" w:line="288" w:before="0" w:after="0"/>
        <w:ind w:left="0" w:right="0" w:hanging="270"/>
        <w:jc w:val="left"/>
        <w:rPr/>
      </w:pPr>
      <w:r>
        <w:rPr>
          <w:rFonts w:ascii="Arial;sans-serif" w:hAnsi="Arial;sans-serif"/>
          <w:b w:val="false"/>
          <w:color w:val="000000"/>
          <w:sz w:val="9"/>
        </w:rPr>
        <w:t>(1)</w:t>
      </w:r>
      <w:r>
        <w:rPr>
          <w:color w:val="000000"/>
        </w:rPr>
        <w:t>    </w:t>
      </w:r>
      <w:r>
        <w:rPr>
          <w:rFonts w:ascii="Arial;sans-serif" w:hAnsi="Arial;sans-serif"/>
          <w:b w:val="false"/>
          <w:color w:val="000000"/>
          <w:sz w:val="16"/>
        </w:rPr>
        <w:t xml:space="preserve">Reflects the U.S. Basel III minimum required ratio plus the applicable capital conservation buffer. </w:t>
      </w:r>
    </w:p>
    <w:p>
      <w:pPr>
        <w:pStyle w:val="TextBody"/>
        <w:bidi w:val="0"/>
        <w:spacing w:lineRule="auto" w:line="288" w:before="0" w:after="0"/>
        <w:ind w:left="0" w:right="0" w:hanging="270"/>
        <w:jc w:val="left"/>
        <w:rPr/>
      </w:pPr>
      <w:r>
        <w:rPr>
          <w:rFonts w:ascii="Arial;sans-serif" w:hAnsi="Arial;sans-serif"/>
          <w:b w:val="false"/>
          <w:color w:val="000000"/>
          <w:sz w:val="9"/>
        </w:rPr>
        <w:t>(2)</w:t>
      </w:r>
      <w:r>
        <w:rPr>
          <w:color w:val="000000"/>
        </w:rPr>
        <w:t>    </w:t>
      </w:r>
      <w:r>
        <w:rPr>
          <w:rFonts w:ascii="Arial;sans-serif" w:hAnsi="Arial;sans-serif"/>
          <w:b w:val="false"/>
          <w:color w:val="000000"/>
          <w:sz w:val="16"/>
        </w:rPr>
        <w:t xml:space="preserve">The Bank’s regulatory capital ratios also exceeded all applicable standards for the Bank to qualify as “well capitalized” under the prompt corrective action framework.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72</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Bank is chartered under the laws of the State of Utah, and its deposits are insured by the FDIC. The Bank’s ability to pay dividends is subject to the laws of Utah and the regulations of the FDIC. Generally, under Utah’s industrial bank laws and regulations as well as FDIC regulations, the Bank may pay dividends from its net profits without regulatory approval if, following the payment of the dividend, the Bank’s capital and surplus would not be impaired. The Company relies on dividends from the Bank, as necessary, to enable the Company to pay any declared dividends and other payments and consummate share repurchases, as described herein. The Bank declared $200 million and $400 million in dividends to the Company for the three and six months ended June 30, 2026, respectively, and $94 million and $194 million in dividends to the Company for the three and six months ended June 30, 2025, respectively, with the proceeds primarily used to fund share repurchase programs and stock dividends. We expect that the Bank will pay dividends to the Company as may be necessary to enable the Company to pay any declared dividends on its Series B Preferred Stock and common stock and to consummate any common share repurchases by the Company under the share repurchase programs.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Borrowings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Outstanding borrowings consist of unsecured debt and secured borrowings issued through our term ABS program and our Secured Borrowing Facility. The issuing entities for those secured borrowings are VIEs and are consolidated for accounting purposes. The following table summarizes our borrowings at June 30, 2026 and December 31, 2025, respectively. For additional information, see Note 8, “Borrowings” in this Form 10-Q.</w:t>
      </w:r>
    </w:p>
    <w:p>
      <w:pPr>
        <w:pStyle w:val="TextBody"/>
        <w:bidi w:val="0"/>
        <w:spacing w:before="100" w:after="283"/>
        <w:ind w:left="0" w:right="0" w:firstLine="495"/>
        <w:jc w:val="left"/>
        <w:rPr/>
      </w:pPr>
      <w:r>
        <w:rPr/>
      </w:r>
    </w:p>
    <w:tbl>
      <w:tblPr>
        <w:tblW w:w="10634" w:type="dxa"/>
        <w:jc w:val="center"/>
        <w:tblInd w:w="0" w:type="dxa"/>
        <w:tblLayout w:type="fixed"/>
        <w:tblCellMar>
          <w:top w:w="28" w:type="dxa"/>
          <w:left w:w="28" w:type="dxa"/>
          <w:bottom w:w="28" w:type="dxa"/>
          <w:right w:w="28" w:type="dxa"/>
        </w:tblCellMar>
      </w:tblPr>
      <w:tblGrid>
        <w:gridCol w:w="668"/>
        <w:gridCol w:w="311"/>
        <w:gridCol w:w="312"/>
        <w:gridCol w:w="109"/>
        <w:gridCol w:w="109"/>
        <w:gridCol w:w="109"/>
        <w:gridCol w:w="292"/>
        <w:gridCol w:w="562"/>
        <w:gridCol w:w="152"/>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Unsecured borrowings: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debt (fixed-rate)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unsecured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988,122 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Secured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 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 term securitizations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secured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5,844,116 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5,844,116 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5,860,909 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Arial;sans-serif" w:hAnsi="Arial;sans-serif"/>
          <w:b/>
          <w:i/>
          <w:color w:val="000000"/>
          <w:sz w:val="20"/>
        </w:rPr>
      </w:pPr>
      <w:r>
        <w:rPr>
          <w:rFonts w:ascii="Arial;sans-serif" w:hAnsi="Arial;sans-serif"/>
          <w:b/>
          <w:i/>
          <w:color w:val="000000"/>
          <w:sz w:val="20"/>
        </w:rPr>
        <w:t>Long-term Borrowings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Unsecured Borrowings Transactions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January 31, 2025, we issued $500 million of 6.50 percent unsecured Senior Notes due January 31, 2030 (the “2030 Senior Notes”), at a price of 99.78 percent. At June 30, 2026, the outstanding carrying value, net of deferred financing fees, was $494 million.</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February 18, 2025, we redeemed $500 million of the 4.20 percent unsecured Senior Notes due October 29, 2025 (the “2025 Senior Notes”). The 2025 Senior Notes were redeemed at 100 percent of their principal amount, plus the accrued and unpaid interest thereon through the redemption date. As a result of the redemption, we recognized a $1 million loss on the transaction.</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15, 2026, we issued $500 million of 6.495 percent unsecured Senior Notes due May 15, 2032 (the “2032 Senior Notes”), at a price of 100 percent. At June 30, 2026, the outstanding carrying value, net of deferred financing fees, was $494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73</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80" w:after="120"/>
        <w:ind w:left="0" w:right="0" w:firstLine="495"/>
        <w:jc w:val="left"/>
        <w:rPr>
          <w:rFonts w:ascii="Arial;sans-serif" w:hAnsi="Arial;sans-serif"/>
          <w:b w:val="false"/>
          <w:i/>
          <w:color w:val="000000"/>
          <w:sz w:val="20"/>
        </w:rPr>
      </w:pPr>
      <w:r>
        <w:rPr>
          <w:rFonts w:ascii="Arial;sans-serif" w:hAnsi="Arial;sans-serif"/>
          <w:b w:val="false"/>
          <w:i/>
          <w:color w:val="000000"/>
          <w:sz w:val="20"/>
        </w:rPr>
        <w:t xml:space="preserve">Tender Offer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12, 2026, we completed a cash tender offer for any and all of the $500 million of 3.125 percent unsecured Senior Notes due November 2, 2026 (the “2026 Senior Notes”), which was made concurrently with the offerings of the 2032 Notes (the “Tender Offer”). We paid an aggregate consideration of $447 million in the Tender Offer to repurchase $448 million principal amount of the 2026 Senior Notes at a repurchase price equal to 99.58 percent of the principal amount plus accrued and unpaid interest. The repurchase of the 2026 Senior Notes accepted for purchase in the Tender Offer was accounted for a debt extinguishment.</w:t>
      </w:r>
    </w:p>
    <w:p>
      <w:pPr>
        <w:pStyle w:val="TextBody"/>
        <w:bidi w:val="0"/>
        <w:spacing w:lineRule="auto" w:line="288" w:before="120" w:after="120"/>
        <w:ind w:left="0" w:right="0" w:firstLine="495"/>
        <w:jc w:val="left"/>
        <w:rPr>
          <w:rFonts w:ascii="Arial;sans-serif" w:hAnsi="Arial;sans-serif"/>
          <w:b w:val="false"/>
          <w:i/>
          <w:color w:val="000000"/>
          <w:sz w:val="20"/>
        </w:rPr>
      </w:pPr>
      <w:r>
        <w:rPr>
          <w:rFonts w:ascii="Arial;sans-serif" w:hAnsi="Arial;sans-serif"/>
          <w:b w:val="false"/>
          <w:i/>
          <w:color w:val="000000"/>
          <w:sz w:val="20"/>
        </w:rPr>
        <w:t>Satisfaction and Discharge of 2026 Senior Notes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15, 2026, we irrevocably deposited funds with the 2026 Senior Notes’ trustee that were used to purchase a sufficient amount of U.S. government obligations to satisfy and discharge the indenture governing the 2026 Senior Notes, fund the payment of accrued and unpaid interest on the remaining $52 million principal amount of the 2026 Senior Notes as it becomes due, and fund the principal amount of those 2026 Senior Notes on their November 2, 2026 maturity date. The U.S. government obligations were purchased using a portion of the net proceeds from the offering of the 2032 Senior Notes. After the deposit of such funds with the trustee, our obligations under the 2026 Senior Notes indenture were satisfied and discharged and the transaction was accounted for as a debt extinguishment.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a result of the debt extinguishment of the 2026 Senior Notes, we recognized a gain of less than $1 million on the transactions described above. </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Secured Borrowing Facility</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June 13, 2025, we amended our Secured Borrowing Facility to increase the amount to be borrowed under the facility from $2 billion to $2.5 billion and extended the maturity. We hold 100 percent of the residual interest in the Secured Borrowing Facility Trust. The amendment extended the revolving period, during which we may borrow, repay, and reborrow funds, until June 12, 2026, and a subsequent amendment on June 12, 2026 further extended the revolving period to July 27, 2026. The scheduled amortization period, during which amounts outstanding under the Secured Borrowing Facility must be repaid, ends on June 12, 2027 (or earlier, if certain material adverse events occur). The one-year revolving period plus the one-year amortization period results in a contractual maturity that is two years from the date of inception or renewal. At both June 30, 2026 and December 31, 2025, there were no outstanding borrowings under the Secured Borrowing Facility.</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Other Borrowing Sources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maintain discretionary uncommitted Federal Funds lines of credit with various correspondent banks, which totaled $125 million at June 30, 2026. The interest rate we are charged on these lines of credit is priced at Fed Funds plus a spread at the time of borrowing and is payable daily. We did not utilize these lines of credit in the six months ended June 30, 2026, nor in the year ended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established an account at the FRB to meet eligibility requirements for access to the Primary Credit borrowing facility at the FRB’s Window. The Primary Credit borrowing facility is a lending program available to depository institutions that are in generally sound financial condition. All borrowings at the Window must be fully collateralized. We can pledge asset-backed and mortgage-backed securities, as well as Private Education Loans, to the FRB as collateral for borrowings at the Window. Generally, collateral value is assigned based on the estimated fair value of the pledged assets. At June 30, 2026 and December 31, 2025, the value of our pledged collateral at the FRB totaled $2.2 billion and $2.5 billion, respectively. The interest rate charged to us is the discount rate set by the FRB. We did not utilize this facility in the six months ended June 30, 2026, nor in the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Contractual Loan Commitments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later (usually at the start of the second semester or subsequent trimesters). We estimate expected credit losses over the contractual period in which we are exposed to credit risk via a contractual obligation to extend credit, unless that obligation is unconditionally cancellable by us. At June 30, 2026, we had $1.7 billion of outstanding contractual loan commitments that we expect to fund during the remainder of the 2026/2027 academic year, including $28 million of contractual loan commitments associated with loans classified as held for sale. At June 30, 2026, we had a $66 million reserve recorded in “Other Liabilities” to cover lifetime expected credit losses on the unfunded commitments. See Note 2, “Significant Accounting Policies — Allowance for Credit Losses — Off-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74</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Balance Sheet Exposure for Contractual Loan Commitments” in our 2025 Form 10-K and Note 5, “Allowance for Credit Losses and Unfunded Loan Commitments” in this Form 10-Q for additional information.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Critical Accounting Estimates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Management’s Discussion and Analysis of Financial Condition and Results of Operations addresses our consolidated financial statements, which have been prepared in accordance with GAAP. In preparing our consolidated financial statements, we have identified certain accounting estimates and assumptions that we consider to be the most critical to an understanding of our financial statements because they involve significant judgments and uncertainties.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critical accounting estimates we have identified relate to the allowance for credit losses. These estimates reflect our best judgment about current and, for some estimates, including management overlays, future economic and market conditions. These estimates are based on information available as of the date of these financial statements. If conditions change from those expected, it is reasonably possible that these judgments and estimates could change, which may result in a change in the allowance for credit losses or material changes to our consolidated financial statements. A discussion of our critical accounting policies can be found in our 2025 Form 10-K. </w:t>
      </w:r>
    </w:p>
    <w:p>
      <w:pPr>
        <w:pStyle w:val="TextBody"/>
        <w:bidi w:val="0"/>
        <w:spacing w:lineRule="auto" w:line="256" w:before="120" w:after="283"/>
        <w:ind w:left="0" w:right="0" w:firstLine="495"/>
        <w:jc w:val="left"/>
        <w:rPr>
          <w:rFonts w:ascii="Arial;sans-serif" w:hAnsi="Arial;sans-serif"/>
          <w:b/>
          <w:i/>
          <w:color w:val="000000"/>
          <w:sz w:val="20"/>
        </w:rPr>
      </w:pPr>
      <w:r>
        <w:rPr>
          <w:rFonts w:ascii="Arial;sans-serif" w:hAnsi="Arial;sans-serif"/>
          <w:b/>
          <w:i/>
          <w:color w:val="000000"/>
          <w:sz w:val="20"/>
        </w:rPr>
        <w:t>Allowance for Credit Losses</w:t>
      </w:r>
    </w:p>
    <w:p>
      <w:pPr>
        <w:pStyle w:val="TextBody"/>
        <w:bidi w:val="0"/>
        <w:spacing w:lineRule="auto" w:line="256"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maintain an allowance for credit losses for the lifetime expected credit losses on loans in our portfolios, as well as for future loan commitments, at the reporting date.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determining the lifetime expected credit losses on our Private Education Loan portfolio loan segments, we use a discounted cash flow method. This method requires us to project future principal and interest cash flows on our loans in those portfolios.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To estimate the future expected cash flows, we use statistical loan-level models that consider life of loan expectations for defaults, prepayments, recoveries, and any other qualitative adjustments deemed necessary, to determine the adequacy of the allowance at each balance sheet date. These cash flows are discounted at the loan’s effective interest rate to calculate the present value of those cash flows. Management adjusts the effective interest rate used to discount expected cash flows to incorporate expected prepayments. The difference between the present value of those cash flows and the amortized cost basis of the underlying loans is the allowance for credit losses. Entities that measure credit losses based on the present value of expected future cash flows are permitted to report the entire change in present value as credit loss expense but may alternatively report the change in present value due to the passage of time as interest income. We have elected to report the entire change in present value as credit loss expense.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estimate future default rates used in our current expected credit losses at a loan level using historical loss experience, current borrower characteristics, current conditions, and economic factors forecasted over a reasonable and supportable period. At the end of the reasonable and supportable forecast period, we immediately revert our forecasted economic factors to long-term historical averages. We estimate future prepayment speeds used in our current expected credit losses at a loan level using historical prepayment experience, current borrower characteristics, current conditions, and economic factors forecasted over a reasonable and supportable period.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reasonable and supportable forecast period is meant to represent the period in which we believe we can estimate the impact of forecasted economic factors in our expected losses. We use a two-year reasonable and supportable forecast period, although this period is subject to change as our view evolves on our ability to reasonably forecast economic conditions to estimate future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estimating future default rates and prepayment speeds in our current expected credit losses, we use a combination of expected economic scenarios coupled with our historical experience and adjust for any qualitative factors (as described below). We also develop an adverse and favorable economic scenario. At each reporting date, we determine the appropriate weighting of these alternate scenarios based upon the current economic conditions and our view of the risks of alternate outcomes. This weighting of expectations is used in calculating our current expected credit losses recorded each period.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obtain forecasts for our expected loss model from an external economic data provider who provides a range of economic forecasts with various likelihoods of occurrence. Management reviews and weighs the economic forecasts for each of these inputs to calculate our allowance for credit losses. Our forecasting process reflects management’s continuous review of forecasting assumptions and model inputs and is consistent with our internal governance, risk management framework and CECL methodologies. Management continues to review both the scenarios and their respective weightings each quarter in determining the allowance for credit losses. The most recent adjustment to scenario weightings occurred in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75</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estimating recoveries, we use both estimates of what we expect to receive from the sale of defaulted loans as well as historical borrower payment behavior to estimate the timing and amount of future recoveries on charged-off loans.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addition to the above modeling approach, we also take certain other qualitative factors into consideration when calculating the allowance for credit losses, which could result in management overlays (increases or decreases to the allowance for credit losses). These management overlays can encompass a broad array of factors not captured by model inputs, including, but not limited to, changes in lending policies and procedures, including changes in underwriting standards, changes in servicing policies and collection administration practices, including changes we have implemented to our loan modification programs, state law changes that could impact servicing and collection practices, charge-offs, recoveries not already included in the analysis, the effect of other external factors such as shifts in the macroeconomic environment or legal and regulatory requirements that impact the level of estimated current expected credit losses or prepayments, the performance of the model over time versus actual losses, and any other operational or regulatory changes that could materially affect our estimate of future losses.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evaluation of the allowance for credit losses is inherently subjective, as it requires material estimates that may be susceptible to significant changes. If actual future performance in delinquency, charge-offs, and recoveries is significantly different than estimated, or management assumptions or practices were to change, this could materially affect the estimate of the allowance for credit losses, the timing of when losses are recognized, and the related provision for credit losses in our consolidated statements of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When calculating our allowance for credit losses and liability for unfunded commitments, we incorporate several inputs that are subject to change period to period. These include, but are not limited to, CECL model inputs and any overlays deemed necessary by management. The most impactful CECL model inputs include: </w:t>
      </w:r>
    </w:p>
    <w:p>
      <w:pPr>
        <w:pStyle w:val="TextBody"/>
        <w:bidi w:val="0"/>
        <w:spacing w:lineRule="auto" w:line="288" w:before="100" w:after="283"/>
        <w:ind w:left="0" w:right="0" w:firstLine="495"/>
        <w:jc w:val="left"/>
        <w:rPr/>
      </w:pPr>
      <w:r>
        <w:rPr>
          <w:color w:val="000000"/>
        </w:rPr>
        <w:t>•</w:t>
      </w:r>
      <w:r>
        <w:rPr>
          <w:rFonts w:ascii="Arial;sans-serif" w:hAnsi="Arial;sans-serif"/>
          <w:b w:val="false"/>
          <w:color w:val="000000"/>
          <w:sz w:val="20"/>
        </w:rPr>
        <w:t>Economic forecasts;</w:t>
      </w:r>
    </w:p>
    <w:p>
      <w:pPr>
        <w:pStyle w:val="TextBody"/>
        <w:bidi w:val="0"/>
        <w:spacing w:lineRule="auto" w:line="288" w:before="100" w:after="283"/>
        <w:ind w:left="0" w:right="0" w:firstLine="495"/>
        <w:jc w:val="left"/>
        <w:rPr/>
      </w:pPr>
      <w:r>
        <w:rPr>
          <w:color w:val="000000"/>
        </w:rPr>
        <w:t>•</w:t>
      </w:r>
      <w:r>
        <w:rPr>
          <w:rFonts w:ascii="Arial;sans-serif" w:hAnsi="Arial;sans-serif"/>
          <w:b w:val="false"/>
          <w:color w:val="000000"/>
          <w:sz w:val="20"/>
        </w:rPr>
        <w:t>Weighting of economic forecasts; and</w:t>
      </w:r>
    </w:p>
    <w:p>
      <w:pPr>
        <w:pStyle w:val="TextBody"/>
        <w:bidi w:val="0"/>
        <w:spacing w:lineRule="auto" w:line="288" w:before="100" w:after="283"/>
        <w:ind w:left="0" w:right="0" w:firstLine="495"/>
        <w:jc w:val="left"/>
        <w:rPr/>
      </w:pPr>
      <w:r>
        <w:rPr>
          <w:color w:val="000000"/>
        </w:rPr>
        <w:t>•</w:t>
      </w:r>
      <w:r>
        <w:rPr>
          <w:rFonts w:ascii="Arial;sans-serif" w:hAnsi="Arial;sans-serif"/>
          <w:b w:val="false"/>
          <w:color w:val="000000"/>
          <w:sz w:val="20"/>
        </w:rPr>
        <w:t>Recovery rates.</w:t>
      </w:r>
    </w:p>
    <w:p>
      <w:pPr>
        <w:pStyle w:val="TextBody"/>
        <w:bidi w:val="0"/>
        <w:spacing w:lineRule="auto" w:line="26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Of the model inputs outlined above, economic forecasts, weighting of economic forecasts, and recovery rates are subject to estimation uncertainty, and changes in these inputs could have a material impact to our allowance for credit losses and the related provision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76</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ind w:left="0" w:right="0" w:hanging="1215"/>
        <w:jc w:val="left"/>
        <w:rPr/>
      </w:pPr>
      <w:r>
        <w:rPr>
          <w:rFonts w:ascii="Arial;sans-serif" w:hAnsi="Arial;sans-serif"/>
          <w:b/>
          <w:color w:val="144F82"/>
          <w:sz w:val="20"/>
        </w:rPr>
        <w:t xml:space="preserve">Item 3. </w:t>
      </w:r>
      <w:r>
        <w:rPr>
          <w:color w:val="144F82"/>
        </w:rPr>
        <w:t>    </w:t>
      </w:r>
      <w:r>
        <w:rPr>
          <w:rFonts w:ascii="Arial;sans-serif" w:hAnsi="Arial;sans-serif"/>
          <w:b/>
          <w:color w:val="144F82"/>
          <w:sz w:val="20"/>
        </w:rPr>
        <w:t>Quantitative and Qualitative Disclosures about Market Risk</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Interest Rate Sensitivity Analysis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interest rate risk management program seeks to manage interest rate risk, thereby reducing our exposure to fluctuations in interest rates and lowering the volatility of net interest income and economic value in varying interest rate environments. We evaluate and monitor interest rate risk primarily through two measurements:</w:t>
      </w:r>
    </w:p>
    <w:p>
      <w:pPr>
        <w:pStyle w:val="TextBody"/>
        <w:bidi w:val="0"/>
        <w:spacing w:lineRule="auto" w:line="288" w:before="200" w:after="283"/>
        <w:ind w:left="0" w:right="0" w:hanging="270"/>
        <w:jc w:val="left"/>
        <w:rPr/>
      </w:pPr>
      <w:r>
        <w:rPr>
          <w:color w:val="000000"/>
        </w:rPr>
        <w:t>•</w:t>
      </w:r>
      <w:r>
        <w:rPr>
          <w:rFonts w:ascii="Arial;sans-serif" w:hAnsi="Arial;sans-serif"/>
          <w:b w:val="false"/>
          <w:color w:val="000000"/>
          <w:sz w:val="20"/>
        </w:rPr>
        <w:t>Earnings at Risk (“EAR”), which measures the estimated impact on net interest income to changes in interest rates; and</w:t>
      </w:r>
    </w:p>
    <w:p>
      <w:pPr>
        <w:pStyle w:val="TextBody"/>
        <w:bidi w:val="0"/>
        <w:spacing w:lineRule="auto" w:line="288" w:before="200" w:after="283"/>
        <w:ind w:left="0" w:right="0" w:hanging="270"/>
        <w:jc w:val="left"/>
        <w:rPr/>
      </w:pPr>
      <w:r>
        <w:rPr>
          <w:color w:val="000000"/>
        </w:rPr>
        <w:t>•</w:t>
      </w:r>
      <w:r>
        <w:rPr>
          <w:rFonts w:ascii="Arial;sans-serif" w:hAnsi="Arial;sans-serif"/>
          <w:b w:val="false"/>
          <w:color w:val="000000"/>
          <w:sz w:val="20"/>
        </w:rPr>
        <w:t>Economic Value of Equity (“EVE”), which measures the estimated sensitivity or change in the economic value of equity to changes in interest rates.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simulate several potential interest rate scenarios using our asset liability management system. The Bank is the primary source of interest rate risk within the Company. Currently, a significant portion of the Bank’s earning assets and deposits are indexed to 30-day average SOFR. Therefore, the 30-day average SOFR rate is considered a core rate in our interest rate risk analysis. The 30-day average SOFR rate and other rates are shocked in parallel for shock scenarios unless otherwise indicated. Rates are adjusted up or down via a set of scenarios that includes both rate shocks and ramps. Rate shocks represent an immediate and sustained change in key rates, with the resulting changes in other indices correlated accordingly. Interest rate ramps represent a linear increase in those key rates over the course of 12 months, with the resulting changes in other indices correlated accordingly.</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potential effect of certain rate-change scenarios on earnings over the next 24 months and on the market values of assets and liabilities at June 30, 2026 and 2025. This analysis shows four scenarios where interest rates are shocked up and down 100 basis points and 300 basis points while credit and funding spreads remain constant. The EAR analysis shown below assumes a static balance sheet, with maturities of each product replaced with assumed issuance of new products of the same type. The EVE sensitivity is applied only to financial assets and liabilities, including hedging instruments, that existed at the balance sheet date, and does not reflect any impact of loan sales, new assets, liabilities, commitments, or hedging instruments that may arise in the future. </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EAR results for June 30, 2026 indicate a market risk profile of low sensitivity to interest rate changes, based on static balance sheet assumptions over the next two years. The higher mix of fixed-rate versus variable-rate loan disbursements continues, which results in our liabilities repricing more quickly than our assets over time. This exposure to higher interest rates is less than it was at the end of 2025 as a result of the Company taking actions to extend the duration of a portion of our liabilities. Additionally, planned loan sales, which are not included in the static EVE modeling, significantly reduce our EVE exposure. </w:t>
      </w:r>
    </w:p>
    <w:tbl>
      <w:tblPr>
        <w:tblW w:w="10205" w:type="dxa"/>
        <w:jc w:val="center"/>
        <w:tblInd w:w="0" w:type="dxa"/>
        <w:tblLayout w:type="fixed"/>
        <w:tblCellMar>
          <w:top w:w="28" w:type="dxa"/>
          <w:left w:w="28" w:type="dxa"/>
          <w:bottom w:w="28" w:type="dxa"/>
          <w:right w:w="28" w:type="dxa"/>
        </w:tblCellMar>
      </w:tblPr>
      <w:tblGrid>
        <w:gridCol w:w="430"/>
        <w:gridCol w:w="278"/>
        <w:gridCol w:w="281"/>
        <w:gridCol w:w="284"/>
        <w:gridCol w:w="284"/>
        <w:gridCol w:w="286"/>
        <w:gridCol w:w="109"/>
        <w:gridCol w:w="109"/>
        <w:gridCol w:w="109"/>
        <w:gridCol w:w="284"/>
        <w:gridCol w:w="284"/>
        <w:gridCol w:w="286"/>
        <w:gridCol w:w="109"/>
        <w:gridCol w:w="109"/>
        <w:gridCol w:w="109"/>
        <w:gridCol w:w="284"/>
        <w:gridCol w:w="284"/>
        <w:gridCol w:w="286"/>
        <w:gridCol w:w="109"/>
        <w:gridCol w:w="109"/>
        <w:gridCol w:w="109"/>
        <w:gridCol w:w="357"/>
        <w:gridCol w:w="357"/>
        <w:gridCol w:w="358"/>
        <w:gridCol w:w="109"/>
        <w:gridCol w:w="109"/>
        <w:gridCol w:w="109"/>
        <w:gridCol w:w="284"/>
        <w:gridCol w:w="284"/>
        <w:gridCol w:w="286"/>
        <w:gridCol w:w="109"/>
        <w:gridCol w:w="109"/>
        <w:gridCol w:w="109"/>
        <w:gridCol w:w="284"/>
        <w:gridCol w:w="284"/>
        <w:gridCol w:w="286"/>
        <w:gridCol w:w="109"/>
        <w:gridCol w:w="109"/>
        <w:gridCol w:w="109"/>
        <w:gridCol w:w="284"/>
        <w:gridCol w:w="284"/>
        <w:gridCol w:w="286"/>
        <w:gridCol w:w="109"/>
        <w:gridCol w:w="109"/>
        <w:gridCol w:w="109"/>
        <w:gridCol w:w="210"/>
        <w:gridCol w:w="210"/>
        <w:gridCol w:w="311"/>
      </w:tblGrid>
      <w:tr>
        <w:trPr/>
        <w:tc>
          <w:tcPr>
            <w:tcW w:w="4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June 30,</w:t>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144F82"/>
              </w:rPr>
            </w:pPr>
            <w:r>
              <w:rPr>
                <w:color w:val="144F82"/>
              </w:rPr>
              <w:t> </w:t>
            </w:r>
            <w:r>
              <w:rPr>
                <w:rFonts w:ascii="Arial;sans-serif" w:hAnsi="Arial;sans-serif"/>
                <w:b/>
                <w:color w:val="144F82"/>
                <w:sz w:val="16"/>
              </w:rPr>
              <w:t>-300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144F82"/>
              </w:rPr>
            </w:pPr>
            <w:r>
              <w:rPr>
                <w:color w:val="144F82"/>
              </w:rPr>
              <w:t> </w:t>
            </w:r>
            <w:r>
              <w:rPr>
                <w:rFonts w:ascii="Arial;sans-serif" w:hAnsi="Arial;sans-serif"/>
                <w:b/>
                <w:color w:val="144F82"/>
                <w:sz w:val="16"/>
              </w:rPr>
              <w:t>-300</w:t>
              <w:br/>
              <w:t>Basis</w:t>
              <w:br/>
              <w:t>Points</w:t>
            </w:r>
          </w:p>
        </w:tc>
      </w:tr>
      <w:tr>
        <w:trPr/>
        <w:tc>
          <w:tcPr>
            <w:tcW w:w="98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 - Shock</w:t>
            </w:r>
          </w:p>
        </w:tc>
        <w:tc>
          <w:tcPr>
            <w:tcW w:w="8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 - Ramp</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r>
      <w:tr>
        <w:trPr/>
        <w:tc>
          <w:tcPr>
            <w:tcW w:w="98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EVE</w:t>
            </w:r>
          </w:p>
        </w:tc>
        <w:tc>
          <w:tcPr>
            <w:tcW w:w="85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w:t>
            </w:r>
          </w:p>
        </w:tc>
      </w:tr>
    </w:tbl>
    <w:p>
      <w:pPr>
        <w:pStyle w:val="TextBody"/>
        <w:bidi w:val="0"/>
        <w:spacing w:lineRule="auto" w:line="288" w:before="0" w:after="0"/>
        <w:ind w:left="0" w:right="0" w:firstLine="495"/>
        <w:jc w:val="left"/>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the preceding tables, the interest rate sensitivity analysis reflects the balance sheet mix of fully variable SOFR and fixed-rate loans, fully variable funding, and fixed-rate funding. The analysis assumes that retail MMDAs and retail savings balances, while relatively sensitive to interest rate changes, will not correlate 100 percent to the full interest rate shocks or ramps.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Although we believe that these measurements provide an estimate of our interest rate sensitivity, they do not account for potential changes in credit quality, balance sheet mix, and size of our balance sheet. They also do not account for other business developments that could affect net income, or for management actions that could affect net income or could be taken to change our risk profile. Accordingly, we can give no assurance that actual results would not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77</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materially from the estimated outcomes of our simulations. Further, such simulations do not represent our current view of expected future interest rate movements.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Asset and Liability Funding Gap</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presents our assets and liabilities (funding) arranged by underlying indices as of June 30, 2026. In the following GAAP presentation, the funding gap only includes derivatives that qualify as effective hedges (those derivatives which are reflected in net interest income, as opposed to those reflected in the “gains (losses) on derivatives and hedging activities, net” line on the consolidated statements of income). The difference between the asset and the funding is the funding gap for the specified index. This represents at a high level our exposure to interest rate risk in the form of basis risk and repricing risk, which is the risk that the different indices may reset at different frequencies or may not move in the same direction or at the same magnitude. (Note that all fixed-rate assets and liabilities are aggregated into one line item, which does not capture the differences in time due to maturity.)</w:t>
      </w:r>
    </w:p>
    <w:p>
      <w:pPr>
        <w:pStyle w:val="TextBody"/>
        <w:bidi w:val="0"/>
        <w:spacing w:before="200" w:after="283"/>
        <w:ind w:left="0" w:right="0" w:firstLine="495"/>
        <w:jc w:val="left"/>
        <w:rPr/>
      </w:pPr>
      <w:r>
        <w:rPr/>
      </w:r>
    </w:p>
    <w:tbl>
      <w:tblPr>
        <w:tblW w:w="8344" w:type="dxa"/>
        <w:jc w:val="center"/>
        <w:tblInd w:w="0" w:type="dxa"/>
        <w:tblLayout w:type="fixed"/>
        <w:tblCellMar>
          <w:top w:w="28" w:type="dxa"/>
          <w:left w:w="28" w:type="dxa"/>
          <w:bottom w:w="28" w:type="dxa"/>
          <w:right w:w="28" w:type="dxa"/>
        </w:tblCellMar>
      </w:tblPr>
      <w:tblGrid>
        <w:gridCol w:w="652"/>
        <w:gridCol w:w="571"/>
        <w:gridCol w:w="576"/>
        <w:gridCol w:w="109"/>
        <w:gridCol w:w="109"/>
        <w:gridCol w:w="109"/>
        <w:gridCol w:w="599"/>
        <w:gridCol w:w="599"/>
        <w:gridCol w:w="601"/>
        <w:gridCol w:w="109"/>
        <w:gridCol w:w="109"/>
        <w:gridCol w:w="109"/>
        <w:gridCol w:w="211"/>
        <w:gridCol w:w="871"/>
        <w:gridCol w:w="109"/>
        <w:gridCol w:w="109"/>
        <w:gridCol w:w="109"/>
        <w:gridCol w:w="109"/>
        <w:gridCol w:w="211"/>
        <w:gridCol w:w="871"/>
        <w:gridCol w:w="109"/>
        <w:gridCol w:w="109"/>
        <w:gridCol w:w="109"/>
        <w:gridCol w:w="109"/>
        <w:gridCol w:w="211"/>
        <w:gridCol w:w="691"/>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June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millions)</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Frequency of</w:t>
              <w:br/>
              <w:t>Variable</w:t>
              <w:br/>
              <w:t>Resets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Funding</w:t>
            </w:r>
            <w:r>
              <w:rPr>
                <w:color w:val="144F82"/>
              </w:rPr>
              <w:t> </w:t>
            </w:r>
            <w:r>
              <w:rPr>
                <w:rFonts w:ascii="Arial;sans-serif" w:hAnsi="Arial;sans-serif"/>
                <w:b/>
                <w:color w:val="144F82"/>
                <w:sz w:val="10"/>
              </w:rPr>
              <w:t>(1)</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Funding</w:t>
              <w:br/>
              <w:t>Gap</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SOFR Rate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daily/weekly/monthly</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5,482.6 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(705.4)</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monthly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Non-Discrete reset</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daily/weekly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Fixed-Rate</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before="90" w:after="283"/>
        <w:ind w:left="0" w:right="0" w:hanging="315"/>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Funding (by index) includes the impact of all derivatives that qualify as effective hedges.</w:t>
      </w:r>
    </w:p>
    <w:p>
      <w:pPr>
        <w:pStyle w:val="TextBody"/>
        <w:bidi w:val="0"/>
        <w:spacing w:lineRule="auto" w:line="288" w:before="90" w:after="283"/>
        <w:ind w:left="0" w:right="0" w:hanging="315"/>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 xml:space="preserve">Assets include restricted and unrestricted cash equivalents and other overnight type instruments. Funding includes liquid retail deposits and the obligation to return cash collateral held related to derivatives exposures. </w:t>
      </w:r>
    </w:p>
    <w:p>
      <w:pPr>
        <w:pStyle w:val="TextBody"/>
        <w:bidi w:val="0"/>
        <w:spacing w:lineRule="auto" w:line="288" w:before="90" w:after="283"/>
        <w:ind w:left="0" w:right="0" w:hanging="315"/>
        <w:jc w:val="left"/>
        <w:rPr/>
      </w:pPr>
      <w:r>
        <w:rPr>
          <w:rFonts w:ascii="Arial;sans-serif" w:hAnsi="Arial;sans-serif"/>
          <w:b w:val="false"/>
          <w:color w:val="000000"/>
          <w:sz w:val="10"/>
        </w:rPr>
        <w:t>(3)</w:t>
      </w:r>
      <w:r>
        <w:rPr>
          <w:color w:val="000000"/>
        </w:rPr>
        <w:t>     </w:t>
      </w:r>
      <w:r>
        <w:rPr>
          <w:rFonts w:ascii="Arial;sans-serif" w:hAnsi="Arial;sans-serif"/>
          <w:b w:val="false"/>
          <w:color w:val="000000"/>
          <w:sz w:val="16"/>
        </w:rPr>
        <w:t xml:space="preserve">Assets include receivables and other assets (including premiums and reserves). Funding includes unswapped time deposits, liquid MMDAs swapped to fixed-rates, and stockholders' equity. </w:t>
      </w:r>
    </w:p>
    <w:p>
      <w:pPr>
        <w:pStyle w:val="TextBody"/>
        <w:bidi w:val="0"/>
        <w:spacing w:before="90" w:after="283"/>
        <w:ind w:left="0" w:right="0" w:hanging="315"/>
        <w:jc w:val="left"/>
        <w:rPr/>
      </w:pPr>
      <w:r>
        <w:rPr/>
      </w:r>
    </w:p>
    <w:p>
      <w:pPr>
        <w:pStyle w:val="TextBody"/>
        <w:bidi w:val="0"/>
        <w:spacing w:lineRule="auto" w:line="276" w:before="0" w:after="0"/>
        <w:ind w:left="0" w:right="0" w:firstLine="495"/>
        <w:jc w:val="left"/>
        <w:rPr>
          <w:rFonts w:ascii="Arial;sans-serif" w:hAnsi="Arial;sans-serif"/>
          <w:b w:val="false"/>
          <w:color w:val="000000"/>
          <w:sz w:val="20"/>
        </w:rPr>
      </w:pPr>
      <w:r>
        <w:rPr>
          <w:rFonts w:ascii="Arial;sans-serif" w:hAnsi="Arial;sans-serif"/>
          <w:b w:val="false"/>
          <w:color w:val="000000"/>
          <w:sz w:val="20"/>
        </w:rPr>
        <w:t>The “Funding Gap” in the above table primarily shows mismatches in the Fed Funds Effective Rate, SOFR rate, 3-month SOFR, Non-Discrete Reset, and Fixed-Rate categories. Changes in the Fed Funds Effective Rate, the Non-Discrete Reset, and the daily, weekly, and monthly SOFR, and 3-month SOFR categories are generally quite highly correlated and should offset each other effectively. The funding in the fixed-rate bucket includes $2.2 billion of stockholders’ equity and $0.4 billion of non-interest-bearing liabilities. We consider the overall repricing risk to be low.</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use interest rate swaps and other derivatives to achieve our risk management objectives. Our asset liability management strategy is to match assets with debt (in combination with derivatives) that have the same underlying index and reset frequency or have interest rate characteristics that we believe are highly correlated. The use of funding with index types and reset frequencies that are different from our assets exposes us to interest rate risk in the form of basis and repricing risk. This could result in our cost of funds not moving in the same direction or with the same magnitude as the yield on our assets. While we believe this risk is low, as all of these indices are short-term with rate movements that are highly correlated over a long period of time, market disruptions (which have occurred in recent years) can lead to a temporary divergence between indices, resulting in a negative impact to our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78</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70" w:after="283"/>
        <w:jc w:val="left"/>
        <w:rPr>
          <w:rFonts w:ascii="Arial;sans-serif" w:hAnsi="Arial;sans-serif"/>
          <w:b/>
          <w:color w:val="000000"/>
          <w:sz w:val="20"/>
        </w:rPr>
      </w:pPr>
      <w:r>
        <w:rPr>
          <w:rFonts w:ascii="Arial;sans-serif" w:hAnsi="Arial;sans-serif"/>
          <w:b/>
          <w:color w:val="000000"/>
          <w:sz w:val="20"/>
        </w:rPr>
        <w:t>Weighted Average Life</w:t>
      </w:r>
    </w:p>
    <w:p>
      <w:pPr>
        <w:pStyle w:val="TextBody"/>
        <w:bidi w:val="0"/>
        <w:spacing w:lineRule="auto" w:line="288" w:before="270" w:after="283"/>
        <w:jc w:val="left"/>
        <w:rPr>
          <w:rFonts w:ascii="Arial;sans-serif" w:hAnsi="Arial;sans-serif"/>
          <w:b w:val="false"/>
          <w:color w:val="000000"/>
          <w:sz w:val="20"/>
        </w:rPr>
      </w:pPr>
      <w:r>
        <w:rPr>
          <w:rFonts w:ascii="Arial;sans-serif" w:hAnsi="Arial;sans-serif"/>
          <w:b w:val="false"/>
          <w:color w:val="000000"/>
          <w:sz w:val="20"/>
        </w:rPr>
        <w:t>The following table reflects the weighted average lives of our earning assets and liabilities at June 30, 2026.</w:t>
      </w:r>
    </w:p>
    <w:p>
      <w:pPr>
        <w:pStyle w:val="TextBody"/>
        <w:bidi w:val="0"/>
        <w:spacing w:lineRule="auto" w:line="288" w:before="270" w:after="283"/>
        <w:jc w:val="center"/>
        <w:rPr>
          <w:color w:val="000000"/>
        </w:rPr>
      </w:pPr>
      <w:r>
        <w:rPr>
          <w:color w:val="000000"/>
        </w:rPr>
        <w:t> </w:t>
      </w:r>
    </w:p>
    <w:tbl>
      <w:tblPr>
        <w:tblW w:w="4198" w:type="dxa"/>
        <w:jc w:val="center"/>
        <w:tblInd w:w="0" w:type="dxa"/>
        <w:tblLayout w:type="fixed"/>
        <w:tblCellMar>
          <w:top w:w="28" w:type="dxa"/>
          <w:left w:w="28" w:type="dxa"/>
          <w:bottom w:w="28" w:type="dxa"/>
          <w:right w:w="28" w:type="dxa"/>
        </w:tblCellMar>
      </w:tblPr>
      <w:tblGrid>
        <w:gridCol w:w="766"/>
        <w:gridCol w:w="673"/>
        <w:gridCol w:w="675"/>
        <w:gridCol w:w="610"/>
        <w:gridCol w:w="610"/>
        <w:gridCol w:w="86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June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(averages in years)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Weighted Average Life</w:t>
            </w:r>
          </w:p>
        </w:tc>
      </w:tr>
      <w:tr>
        <w:trPr/>
        <w:tc>
          <w:tcPr>
            <w:tcW w:w="211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Earning assets</w:t>
            </w:r>
          </w:p>
        </w:tc>
        <w:tc>
          <w:tcPr>
            <w:tcW w:w="208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investments</w:t>
            </w:r>
          </w:p>
        </w:tc>
        <w:tc>
          <w:tcPr>
            <w:tcW w:w="12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86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earning assets</w:t>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Deposits</w:t>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deposits</w:t>
            </w:r>
          </w:p>
        </w:tc>
        <w:tc>
          <w:tcPr>
            <w:tcW w:w="12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86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deposits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220"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86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Borrowings</w:t>
            </w:r>
          </w:p>
        </w:tc>
        <w:tc>
          <w:tcPr>
            <w:tcW w:w="208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borrowings</w:t>
            </w:r>
          </w:p>
        </w:tc>
        <w:tc>
          <w:tcPr>
            <w:tcW w:w="1220" w:type="dxa"/>
            <w:gridSpan w:val="2"/>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86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15"/>
        <w:jc w:val="left"/>
        <w:rPr/>
      </w:pPr>
      <w:r>
        <w:rPr>
          <w:rFonts w:ascii="Arial;sans-serif" w:hAnsi="Arial;sans-serif"/>
          <w:b/>
          <w:color w:val="144F82"/>
          <w:sz w:val="20"/>
        </w:rPr>
        <w:t xml:space="preserve">Item 4. </w:t>
      </w:r>
      <w:r>
        <w:rPr>
          <w:color w:val="144F82"/>
        </w:rPr>
        <w:t>    </w:t>
      </w:r>
      <w:r>
        <w:rPr>
          <w:rFonts w:ascii="Arial;sans-serif" w:hAnsi="Arial;sans-serif"/>
          <w:b/>
          <w:color w:val="144F82"/>
          <w:sz w:val="20"/>
        </w:rPr>
        <w:t xml:space="preserve">Controls and Procedures </w:t>
      </w:r>
    </w:p>
    <w:p>
      <w:pPr>
        <w:pStyle w:val="TextBody"/>
        <w:bidi w:val="0"/>
        <w:spacing w:lineRule="auto" w:line="288" w:before="270" w:after="283"/>
        <w:jc w:val="left"/>
        <w:rPr>
          <w:rFonts w:ascii="Arial;sans-serif" w:hAnsi="Arial;sans-serif"/>
          <w:b/>
          <w:i/>
          <w:color w:val="000000"/>
          <w:sz w:val="20"/>
        </w:rPr>
      </w:pPr>
      <w:r>
        <w:rPr>
          <w:rFonts w:ascii="Arial;sans-serif" w:hAnsi="Arial;sans-serif"/>
          <w:b/>
          <w:i/>
          <w:color w:val="000000"/>
          <w:sz w:val="20"/>
        </w:rPr>
        <w:t xml:space="preserve">Disclosure Controls and Procedures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principal executive officer and principal financial officer, evaluated the effectiveness of our disclosure controls and procedures (as defined in Rules 13a-15(e) and 15d-15(e) under the Securities Exchange Act of 1934, as amended (the “Exchange Act”)) as of June 30, 2026. Based on this evaluation, our principal executive officer and principal financial officer concluded that, as of June 30, 2026, our disclosure controls and procedures were effective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70" w:after="283"/>
        <w:jc w:val="left"/>
        <w:rPr>
          <w:rFonts w:ascii="Arial;sans-serif" w:hAnsi="Arial;sans-serif"/>
          <w:b/>
          <w:i/>
          <w:color w:val="000000"/>
          <w:sz w:val="20"/>
        </w:rPr>
      </w:pPr>
      <w:r>
        <w:rPr>
          <w:rFonts w:ascii="Arial;sans-serif" w:hAnsi="Arial;sans-serif"/>
          <w:b/>
          <w:i/>
          <w:color w:val="000000"/>
          <w:sz w:val="20"/>
        </w:rPr>
        <w:t xml:space="preserve">Changes in Internal Control over Financial Reporting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 change in our internal control over financial reporting (as defined in Rules 13a-15(f) and 15d-15(f) under the Exchange Act) occurred during the fiscal quarter ended June 30, 2026 that has materially affected, or is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79</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PART II. OTHER INFORMATION </w:t>
      </w:r>
    </w:p>
    <w:p>
      <w:pPr>
        <w:pStyle w:val="TextBody"/>
        <w:bidi w:val="0"/>
        <w:spacing w:lineRule="auto" w:line="288" w:before="180" w:after="283"/>
        <w:ind w:left="0" w:right="0" w:hanging="945"/>
        <w:jc w:val="left"/>
        <w:rPr/>
      </w:pPr>
      <w:r>
        <w:rPr>
          <w:rFonts w:ascii="Arial;sans-serif" w:hAnsi="Arial;sans-serif"/>
          <w:b/>
          <w:color w:val="144F82"/>
          <w:sz w:val="20"/>
        </w:rPr>
        <w:t>Item 1.</w:t>
      </w:r>
      <w:r>
        <w:rPr>
          <w:color w:val="144F82"/>
        </w:rPr>
        <w:t>    </w:t>
      </w:r>
      <w:r>
        <w:rPr>
          <w:rFonts w:ascii="Arial;sans-serif" w:hAnsi="Arial;sans-serif"/>
          <w:b/>
          <w:color w:val="144F82"/>
          <w:sz w:val="20"/>
        </w:rPr>
        <w:t>Legal Proceedings</w:t>
      </w:r>
      <w:r>
        <w:rPr>
          <w:color w:val="000000"/>
        </w:rPr>
        <w:t xml:space="preserve">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information required by this item is set forth in the “Commitments, Contingencies and Guarantees” discussion in Note 14 to our consolidated financial statements included elsewhere in this Form 10-Q, which discussion is incorporated herein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ind w:left="0" w:right="0" w:hanging="1260"/>
        <w:jc w:val="left"/>
        <w:rPr>
          <w:rFonts w:ascii="Arial;sans-serif" w:hAnsi="Arial;sans-serif"/>
          <w:b/>
          <w:color w:val="144F82"/>
          <w:sz w:val="20"/>
        </w:rPr>
      </w:pPr>
      <w:r>
        <w:rPr>
          <w:rFonts w:ascii="Arial;sans-serif" w:hAnsi="Arial;sans-serif"/>
          <w:b/>
          <w:color w:val="144F82"/>
          <w:sz w:val="20"/>
        </w:rPr>
        <w:t xml:space="preserve">Item 1A. Risk Factors </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Our business activities involve a variety of risks. Readers should carefully consider the risk factors disclosed in Part I, Item 1A. “Risk Factors” of our 2025 Form 10-K.</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0" w:after="283"/>
        <w:jc w:val="left"/>
        <w:rPr>
          <w:rFonts w:ascii="Arial;sans-serif" w:hAnsi="Arial;sans-serif"/>
          <w:b/>
          <w:color w:val="144F82"/>
          <w:sz w:val="20"/>
        </w:rPr>
      </w:pPr>
      <w:r>
        <w:rPr>
          <w:rFonts w:ascii="Arial;sans-serif" w:hAnsi="Arial;sans-serif"/>
          <w:b/>
          <w:color w:val="144F82"/>
          <w:sz w:val="20"/>
        </w:rPr>
        <w:t>Item 2.    Unregistered Sales of Equity Securities and Use of Proceeds</w:t>
      </w:r>
    </w:p>
    <w:p>
      <w:pPr>
        <w:pStyle w:val="TextBody"/>
        <w:bidi w:val="0"/>
        <w:spacing w:lineRule="auto" w:line="288" w:before="90" w:after="283"/>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provides information relating to our purchase of shares of our common stock in the three months ended June 30, 2026.</w:t>
      </w:r>
    </w:p>
    <w:p>
      <w:pPr>
        <w:pStyle w:val="TextBody"/>
        <w:bidi w:val="0"/>
        <w:spacing w:lineRule="auto" w:line="288" w:before="60" w:after="283"/>
        <w:ind w:left="0" w:right="0" w:firstLine="495"/>
        <w:jc w:val="center"/>
        <w:rPr>
          <w:color w:val="000000"/>
        </w:rPr>
      </w:pPr>
      <w:r>
        <w:rPr>
          <w:color w:val="000000"/>
        </w:rPr>
        <w:t> </w:t>
      </w:r>
    </w:p>
    <w:tbl>
      <w:tblPr>
        <w:tblW w:w="9076" w:type="dxa"/>
        <w:jc w:val="center"/>
        <w:tblInd w:w="0" w:type="dxa"/>
        <w:tblLayout w:type="fixed"/>
        <w:tblCellMar>
          <w:top w:w="28" w:type="dxa"/>
          <w:left w:w="28" w:type="dxa"/>
          <w:bottom w:w="28" w:type="dxa"/>
          <w:right w:w="28" w:type="dxa"/>
        </w:tblCellMar>
      </w:tblPr>
      <w:tblGrid>
        <w:gridCol w:w="870"/>
        <w:gridCol w:w="763"/>
        <w:gridCol w:w="767"/>
        <w:gridCol w:w="413"/>
        <w:gridCol w:w="413"/>
        <w:gridCol w:w="396"/>
        <w:gridCol w:w="109"/>
        <w:gridCol w:w="109"/>
        <w:gridCol w:w="109"/>
        <w:gridCol w:w="267"/>
        <w:gridCol w:w="780"/>
        <w:gridCol w:w="139"/>
        <w:gridCol w:w="109"/>
        <w:gridCol w:w="109"/>
        <w:gridCol w:w="109"/>
        <w:gridCol w:w="510"/>
        <w:gridCol w:w="510"/>
        <w:gridCol w:w="511"/>
        <w:gridCol w:w="109"/>
        <w:gridCol w:w="109"/>
        <w:gridCol w:w="109"/>
        <w:gridCol w:w="311"/>
        <w:gridCol w:w="1217"/>
        <w:gridCol w:w="228"/>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 xml:space="preserve">(Dollars in thousands, </w:t>
              <w:br/>
              <w:t>except per share data)</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Total Number</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of Shares</w:t>
            </w:r>
          </w:p>
          <w:p>
            <w:pPr>
              <w:pStyle w:val="TableContents"/>
              <w:bidi w:val="0"/>
              <w:spacing w:lineRule="auto" w:line="240" w:before="0" w:after="0"/>
              <w:jc w:val="center"/>
              <w:rPr/>
            </w:pPr>
            <w:r>
              <w:rPr>
                <w:rFonts w:ascii="Arial;sans-serif" w:hAnsi="Arial;sans-serif"/>
                <w:b/>
                <w:color w:val="144F82"/>
                <w:sz w:val="16"/>
              </w:rPr>
              <w:t>Purchased</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 Price</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Paid per</w:t>
            </w:r>
          </w:p>
          <w:p>
            <w:pPr>
              <w:pStyle w:val="TableContents"/>
              <w:bidi w:val="0"/>
              <w:spacing w:lineRule="auto" w:line="240" w:before="0" w:after="0"/>
              <w:jc w:val="center"/>
              <w:rPr/>
            </w:pPr>
            <w:r>
              <w:rPr>
                <w:rFonts w:ascii="Arial;sans-serif" w:hAnsi="Arial;sans-serif"/>
                <w:b/>
                <w:color w:val="144F82"/>
                <w:sz w:val="16"/>
              </w:rPr>
              <w:t>Share</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Total Number of</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Shares Purchased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as Part of Publicly</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Announced Plans</w:t>
            </w:r>
          </w:p>
          <w:p>
            <w:pPr>
              <w:pStyle w:val="TableContents"/>
              <w:bidi w:val="0"/>
              <w:spacing w:lineRule="auto" w:line="240" w:before="0" w:after="0"/>
              <w:jc w:val="center"/>
              <w:rPr/>
            </w:pPr>
            <w:r>
              <w:rPr>
                <w:rFonts w:ascii="Arial;sans-serif" w:hAnsi="Arial;sans-serif"/>
                <w:b/>
                <w:color w:val="144F82"/>
                <w:sz w:val="16"/>
              </w:rPr>
              <w:t>or Programs</w:t>
            </w:r>
            <w:r>
              <w:rPr>
                <w:rFonts w:ascii="Arial;sans-serif" w:hAnsi="Arial;sans-serif"/>
                <w:b/>
                <w:color w:val="144F82"/>
                <w:sz w:val="10"/>
              </w:rPr>
              <w:t>(2)(3)</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Approximate Dollar</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Value</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of Shares That</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May Yet Be</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Purchased Under</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Publicly Announced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Plans or</w:t>
            </w:r>
          </w:p>
          <w:p>
            <w:pPr>
              <w:pStyle w:val="TableContents"/>
              <w:bidi w:val="0"/>
              <w:spacing w:lineRule="auto" w:line="240" w:before="0" w:after="0"/>
              <w:jc w:val="center"/>
              <w:rPr/>
            </w:pPr>
            <w:r>
              <w:rPr>
                <w:rFonts w:ascii="Arial;sans-serif" w:hAnsi="Arial;sans-serif"/>
                <w:b/>
                <w:color w:val="144F82"/>
                <w:sz w:val="16"/>
              </w:rPr>
              <w:t>Programs</w:t>
            </w:r>
            <w:r>
              <w:rPr>
                <w:rFonts w:ascii="Arial;sans-serif" w:hAnsi="Arial;sans-serif"/>
                <w:b/>
                <w:color w:val="144F82"/>
                <w:sz w:val="10"/>
              </w:rPr>
              <w:t>(2)</w:t>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Period:</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0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 April 30, 2026</w:t>
            </w:r>
          </w:p>
        </w:tc>
        <w:tc>
          <w:tcPr>
            <w:tcW w:w="82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6,094 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21.22 </w:t>
            </w:r>
          </w:p>
        </w:tc>
        <w:tc>
          <w:tcPr>
            <w:tcW w:w="13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242,000 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 May 31, 2026</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 June 30, 2026</w:t>
            </w:r>
          </w:p>
        </w:tc>
        <w:tc>
          <w:tcPr>
            <w:tcW w:w="82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880,970 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28.02 </w:t>
            </w:r>
          </w:p>
        </w:tc>
        <w:tc>
          <w:tcPr>
            <w:tcW w:w="13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880,970 </w:t>
            </w:r>
          </w:p>
        </w:tc>
        <w:tc>
          <w:tcPr>
            <w:tcW w:w="5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242,000 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Second Quarter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887,064 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880,970 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ind w:left="0" w:right="0" w:firstLine="495"/>
        <w:jc w:val="left"/>
        <w:rPr/>
      </w:pPr>
      <w:r>
        <w:rPr/>
      </w:r>
    </w:p>
    <w:p>
      <w:pPr>
        <w:pStyle w:val="TextBody"/>
        <w:bidi w:val="0"/>
        <w:spacing w:lineRule="auto" w:line="288" w:before="120" w:after="283"/>
        <w:ind w:left="0" w:right="0" w:hanging="225"/>
        <w:jc w:val="left"/>
        <w:rPr/>
      </w:pPr>
      <w:r>
        <w:rPr>
          <w:rFonts w:ascii="Arial;sans-serif" w:hAnsi="Arial;sans-serif"/>
          <w:b w:val="false"/>
          <w:color w:val="000000"/>
          <w:sz w:val="9"/>
        </w:rPr>
        <w:t>(1)</w:t>
      </w:r>
      <w:r>
        <w:rPr>
          <w:color w:val="000000"/>
        </w:rPr>
        <w:t>      </w:t>
      </w:r>
      <w:r>
        <w:rPr>
          <w:rFonts w:ascii="Arial;sans-serif" w:hAnsi="Arial;sans-serif"/>
          <w:b w:val="false"/>
          <w:color w:val="000000"/>
          <w:sz w:val="14"/>
        </w:rPr>
        <w:t>The total number of shares purchased includes: (i) shares purchased under the stock repurchase programs discussed herein, and (ii) 6,094 shares of our common stock tendered to us to satisfy the exercise price in connection with cashless exercises of stock options, and tax withholding obligations in connection with exercises of stock options and vesting of restricted stock, restricted stock units, performance stock units, and dividend equivalent units.</w:t>
      </w:r>
    </w:p>
    <w:p>
      <w:pPr>
        <w:pStyle w:val="TextBody"/>
        <w:bidi w:val="0"/>
        <w:spacing w:lineRule="auto" w:line="268" w:before="120" w:after="283"/>
        <w:ind w:left="0" w:right="0" w:hanging="225"/>
        <w:jc w:val="left"/>
        <w:rPr/>
      </w:pPr>
      <w:r>
        <w:rPr>
          <w:rFonts w:ascii="Arial;sans-serif" w:hAnsi="Arial;sans-serif"/>
          <w:b w:val="false"/>
          <w:color w:val="000000"/>
          <w:sz w:val="9"/>
        </w:rPr>
        <w:t>(2) </w:t>
      </w:r>
      <w:r>
        <w:rPr>
          <w:color w:val="000000"/>
        </w:rPr>
        <w:t>    </w:t>
      </w:r>
      <w:r>
        <w:rPr>
          <w:rFonts w:ascii="Arial;sans-serif" w:hAnsi="Arial;sans-serif"/>
          <w:b w:val="false"/>
          <w:color w:val="000000"/>
          <w:sz w:val="14"/>
        </w:rPr>
        <w:t>The 2024 Share Repurchase Program expired on February 6, 2026. The 2026 Share Repurchase Program was announced on January 22, 2026, with an effective date of January 22, 2026, and expires on February 4, 2028. As of June 30, 2026, there was $242 million in capacity remaining under the 2026 Share Repurchase Program. See Note 10, “Stockholders’ Equity” to our consolidated financial statements in this Form 10-Q for further discussion.</w:t>
      </w:r>
    </w:p>
    <w:p>
      <w:pPr>
        <w:pStyle w:val="TextBody"/>
        <w:bidi w:val="0"/>
        <w:spacing w:lineRule="auto" w:line="288" w:before="120" w:after="283"/>
        <w:ind w:left="0" w:right="0" w:hanging="225"/>
        <w:jc w:val="left"/>
        <w:rPr/>
      </w:pPr>
      <w:r>
        <w:rPr>
          <w:rFonts w:ascii="Arial;sans-serif" w:hAnsi="Arial;sans-serif"/>
          <w:b w:val="false"/>
          <w:color w:val="000000"/>
          <w:sz w:val="9"/>
        </w:rPr>
        <w:t xml:space="preserve">(3)    </w:t>
      </w:r>
      <w:r>
        <w:rPr>
          <w:rFonts w:ascii="Arial;sans-serif" w:hAnsi="Arial;sans-serif"/>
          <w:b w:val="false"/>
          <w:color w:val="000000"/>
          <w:sz w:val="14"/>
        </w:rPr>
        <w:t xml:space="preserve">In the second quarter of 2026, we repurchased no shares under 10b5-1 trading plans and 0.9 million shares under the ASR. See Note 10, “Stockholders’ Equity” to our consolidated financial statements in this Form 10-Q for further discussion. </w:t>
      </w:r>
    </w:p>
    <w:p>
      <w:pPr>
        <w:pStyle w:val="TextBody"/>
        <w:bidi w:val="0"/>
        <w:spacing w:before="0" w:after="0"/>
        <w:ind w:left="0" w:right="0" w:hanging="225"/>
        <w:jc w:val="left"/>
        <w:rPr/>
      </w:pPr>
      <w:r>
        <w:rPr/>
      </w:r>
    </w:p>
    <w:p>
      <w:pPr>
        <w:pStyle w:val="TextBody"/>
        <w:bidi w:val="0"/>
        <w:spacing w:lineRule="auto" w:line="288" w:before="140" w:after="283"/>
        <w:ind w:left="0" w:right="0" w:firstLine="495"/>
        <w:jc w:val="left"/>
        <w:rPr>
          <w:rFonts w:ascii="Arial;sans-serif" w:hAnsi="Arial;sans-serif"/>
          <w:b w:val="false"/>
          <w:color w:val="000000"/>
          <w:sz w:val="20"/>
        </w:rPr>
      </w:pPr>
      <w:r>
        <w:rPr>
          <w:rFonts w:ascii="Arial;sans-serif" w:hAnsi="Arial;sans-serif"/>
          <w:b w:val="false"/>
          <w:color w:val="000000"/>
          <w:sz w:val="20"/>
        </w:rPr>
        <w:t>The closing price of our common stock on the NASDAQ Global Select Market on June 30, 2026 was $25.94.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ind w:left="0" w:right="0" w:hanging="945"/>
        <w:jc w:val="left"/>
        <w:rPr/>
      </w:pPr>
      <w:r>
        <w:rPr>
          <w:rFonts w:ascii="Arial;sans-serif" w:hAnsi="Arial;sans-serif"/>
          <w:b/>
          <w:color w:val="144F82"/>
          <w:sz w:val="20"/>
        </w:rPr>
        <w:t>Item 3.</w:t>
      </w:r>
      <w:r>
        <w:rPr>
          <w:color w:val="144F82"/>
        </w:rPr>
        <w:t>    </w:t>
      </w:r>
      <w:r>
        <w:rPr>
          <w:rFonts w:ascii="Arial;sans-serif" w:hAnsi="Arial;sans-serif"/>
          <w:b/>
          <w:color w:val="144F82"/>
          <w:sz w:val="20"/>
        </w:rPr>
        <w:t xml:space="preserve">Defaults Upon Senior Securities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Nothing to report. </w:t>
      </w:r>
    </w:p>
    <w:p>
      <w:pPr>
        <w:pStyle w:val="TextBody"/>
        <w:bidi w:val="0"/>
        <w:spacing w:lineRule="auto" w:line="288" w:before="270" w:after="283"/>
        <w:ind w:left="0" w:right="0" w:hanging="945"/>
        <w:jc w:val="left"/>
        <w:rPr/>
      </w:pPr>
      <w:r>
        <w:rPr>
          <w:rFonts w:ascii="Arial;sans-serif" w:hAnsi="Arial;sans-serif"/>
          <w:b/>
          <w:color w:val="144F82"/>
          <w:sz w:val="20"/>
        </w:rPr>
        <w:t>Item 4.</w:t>
      </w:r>
      <w:r>
        <w:rPr>
          <w:color w:val="144F82"/>
        </w:rPr>
        <w:t>    </w:t>
      </w:r>
      <w:r>
        <w:rPr>
          <w:rFonts w:ascii="Arial;sans-serif" w:hAnsi="Arial;sans-serif"/>
          <w:b/>
          <w:color w:val="144F82"/>
          <w:sz w:val="20"/>
        </w:rPr>
        <w:t xml:space="preserve">Mine Safety Disclosures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90" w:after="283"/>
        <w:ind w:left="0" w:right="0" w:firstLine="495"/>
        <w:jc w:val="left"/>
        <w:rPr/>
      </w:pPr>
      <w:r>
        <w:rPr/>
      </w:r>
    </w:p>
    <w:p>
      <w:pPr>
        <w:pStyle w:val="TextBody"/>
        <w:bidi w:val="0"/>
        <w:spacing w:lineRule="auto" w:line="288" w:before="0" w:after="0"/>
        <w:jc w:val="left"/>
        <w:rPr/>
      </w:pPr>
      <w:r>
        <w:rPr>
          <w:rFonts w:ascii="Arial;sans-serif" w:hAnsi="Arial;sans-serif"/>
          <w:b/>
          <w:color w:val="144F82"/>
          <w:sz w:val="20"/>
        </w:rPr>
        <w:t>Item 5.</w:t>
      </w:r>
      <w:r>
        <w:rPr>
          <w:color w:val="144F82"/>
        </w:rPr>
        <w:t>    </w:t>
      </w:r>
      <w:r>
        <w:rPr>
          <w:rFonts w:ascii="Arial;sans-serif" w:hAnsi="Arial;sans-serif"/>
          <w:b/>
          <w:color w:val="144F82"/>
          <w:sz w:val="20"/>
        </w:rPr>
        <w:t xml:space="preserve">Other Information </w:t>
      </w:r>
    </w:p>
    <w:p>
      <w:pPr>
        <w:pStyle w:val="TextBody"/>
        <w:bidi w:val="0"/>
        <w:spacing w:lineRule="auto" w:line="288" w:before="120" w:after="283"/>
        <w:ind w:left="0" w:right="0" w:firstLine="495"/>
        <w:jc w:val="left"/>
        <w:rPr>
          <w:rFonts w:ascii="Arial;sans-serif" w:hAnsi="Arial;sans-serif"/>
          <w:b/>
          <w:i/>
          <w:color w:val="000000"/>
          <w:sz w:val="20"/>
        </w:rPr>
      </w:pPr>
      <w:r>
        <w:rPr>
          <w:rFonts w:ascii="Arial;sans-serif" w:hAnsi="Arial;sans-serif"/>
          <w:b/>
          <w:i/>
          <w:color w:val="000000"/>
          <w:sz w:val="20"/>
        </w:rPr>
        <w:t xml:space="preserve">Insider Trading Arrangements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the second quarter of 2026, no director or officer (as defined in Rule 16a-1(f) promulgated under the Securities Exchange Act of 1934, as amended) of the Company adopted or terminated a “Rule 10b5-1 trading arrangement” or “non-Rule 10b5-1 trading arrangement” for the purchase or sale of securities of the Company, each within the meaning of Item 408 of Regulation S-K.</w:t>
      </w:r>
    </w:p>
    <w:p>
      <w:pPr>
        <w:pStyle w:val="TextBody"/>
        <w:bidi w:val="0"/>
        <w:spacing w:before="0" w:after="0"/>
        <w:jc w:val="left"/>
        <w:rPr/>
      </w:pPr>
      <w:r>
        <w:rPr/>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80</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pPr>
      <w:r>
        <w:rPr>
          <w:rFonts w:ascii="Arial;sans-serif" w:hAnsi="Arial;sans-serif"/>
          <w:b/>
          <w:color w:val="144F82"/>
          <w:sz w:val="20"/>
        </w:rPr>
        <w:t>Item 6.</w:t>
      </w:r>
      <w:r>
        <w:rPr>
          <w:color w:val="144F82"/>
        </w:rPr>
        <w:t>    </w:t>
      </w:r>
      <w:r>
        <w:rPr>
          <w:rFonts w:ascii="Arial;sans-serif" w:hAnsi="Arial;sans-serif"/>
          <w:b/>
          <w:color w:val="144F82"/>
          <w:sz w:val="20"/>
        </w:rPr>
        <w:t>Exhibits</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exhibits are furnished or filed, as applicable: </w:t>
      </w:r>
    </w:p>
    <w:tbl>
      <w:tblPr>
        <w:tblW w:w="10205" w:type="dxa"/>
        <w:jc w:val="left"/>
        <w:tblInd w:w="0" w:type="dxa"/>
        <w:tblLayout w:type="fixed"/>
        <w:tblCellMar>
          <w:top w:w="28" w:type="dxa"/>
          <w:left w:w="28" w:type="dxa"/>
          <w:bottom w:w="28" w:type="dxa"/>
          <w:right w:w="28" w:type="dxa"/>
        </w:tblCellMar>
      </w:tblPr>
      <w:tblGrid>
        <w:gridCol w:w="245"/>
        <w:gridCol w:w="198"/>
        <w:gridCol w:w="203"/>
        <w:gridCol w:w="2854"/>
        <w:gridCol w:w="2773"/>
        <w:gridCol w:w="3932"/>
      </w:tblGrid>
      <w:tr>
        <w:trPr/>
        <w:tc>
          <w:tcPr>
            <w:tcW w:w="2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 xml:space="preserve">Underwriting Agreement, dated May 6, 2026, among SLM Corporation, J.P. Morgan Securities LLC and Barclays Capital Inc., as representatives of the several underwriters named therein (incorporated by reference to Exhibit 1.1 of the Company’s Current Report on Form 8-K filed on May 15, 2026).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Fifth Supplemental Indenture dated as of May 15, 2026, between SLM Corporation and Deutsche Bank National Trust Company, as trustee (incorporated by reference to Exhibit 4.1 of the Company’s Current Report on Form 8-K filed on May 15, 2026).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Form of Fixed-to-Floating Rate Senior Note due 2032 (incorporated by reference to Exhibit 4.2 of the Company’s Current Report on Form 8-K filed on May 15,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630ex101.htm">
              <w:r>
                <w:rPr>
                  <w:rStyle w:val="InternetLink"/>
                  <w:rFonts w:ascii="Arial;sans-serif" w:hAnsi="Arial;sans-serif"/>
                  <w:b w:val="false"/>
                  <w:color w:val="0000FF"/>
                  <w:sz w:val="20"/>
                  <w:u w:val="single"/>
                </w:rPr>
                <w:t>Form of SLM Corporation 2021 Omnibus Incentive Plan, Independent Director Restricted Stock Agreement - 2026.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630ex311.htm">
              <w:r>
                <w:rPr>
                  <w:rStyle w:val="InternetLink"/>
                  <w:rFonts w:ascii="Arial;sans-serif" w:hAnsi="Arial;sans-serif"/>
                  <w:b w:val="false"/>
                  <w:color w:val="0000FF"/>
                  <w:sz w:val="20"/>
                  <w:u w:val="single"/>
                </w:rPr>
                <w:t>Certification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630ex312.htm">
              <w:r>
                <w:rPr>
                  <w:rStyle w:val="InternetLink"/>
                  <w:rFonts w:ascii="Arial;sans-serif" w:hAnsi="Arial;sans-serif"/>
                  <w:b w:val="false"/>
                  <w:color w:val="0000FF"/>
                  <w:sz w:val="20"/>
                  <w:u w:val="single"/>
                </w:rPr>
                <w:t>Certification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630ex321.htm">
              <w:r>
                <w:rPr>
                  <w:rStyle w:val="InternetLink"/>
                  <w:rFonts w:ascii="Arial;sans-serif" w:hAnsi="Arial;sans-serif"/>
                  <w:b w:val="false"/>
                  <w:color w:val="0000FF"/>
                  <w:sz w:val="20"/>
                  <w:u w:val="single"/>
                </w:rPr>
                <w:t>Certification Pursuant to 18 U.S.C. Section 1350, as Adopted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630ex322.htm">
              <w:r>
                <w:rPr>
                  <w:rStyle w:val="InternetLink"/>
                  <w:rFonts w:ascii="Arial;sans-serif" w:hAnsi="Arial;sans-serif"/>
                  <w:b w:val="false"/>
                  <w:color w:val="0000FF"/>
                  <w:sz w:val="20"/>
                  <w:u w:val="single"/>
                </w:rPr>
                <w:t>Certification Pursuant to 18 U.S.C. Section 1350, as Adopted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101.INS</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before="60" w:after="283"/>
        <w:ind w:left="0" w:right="0" w:hanging="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 Narrow;sans-serif" w:hAnsi="Arial Narrow;sans-serif"/>
                                <w:b/>
                                <w:color w:val="134F82"/>
                                <w:sz w:val="22"/>
                              </w:rPr>
                            </w:pPr>
                            <w:r>
                              <w:rPr>
                                <w:rFonts w:ascii="Arial Narrow;sans-serif" w:hAnsi="Arial Narrow;sans-serif"/>
                                <w:b/>
                                <w:color w:val="134F82"/>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color w:val="134F82"/>
                          <w:sz w:val="22"/>
                        </w:rPr>
                      </w:pPr>
                      <w:r>
                        <w:rPr>
                          <w:rFonts w:ascii="Arial Narrow;sans-serif" w:hAnsi="Arial Narrow;sans-serif"/>
                          <w:b/>
                          <w:color w:val="134F82"/>
                          <w:sz w:val="22"/>
                        </w:rPr>
                        <w:t>81</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180" w:after="283"/>
        <w:ind w:left="0" w:right="0" w:firstLine="495"/>
        <w:jc w:val="left"/>
        <w:rPr/>
      </w:pPr>
      <w:r>
        <w:rPr/>
      </w:r>
    </w:p>
    <w:p>
      <w:pPr>
        <w:pStyle w:val="TextBody"/>
        <w:bidi w:val="0"/>
        <w:spacing w:lineRule="auto" w:line="288" w:before="0" w:after="0"/>
        <w:jc w:val="right"/>
        <w:rPr>
          <w:color w:val="000000"/>
        </w:rPr>
      </w:pPr>
      <w:r>
        <w:rPr>
          <w:color w:val="000000"/>
        </w:rPr>
        <w:t> </w:t>
      </w:r>
    </w:p>
    <w:tbl>
      <w:tblPr>
        <w:tblW w:w="5443" w:type="dxa"/>
        <w:jc w:val="right"/>
        <w:tblInd w:w="0" w:type="dxa"/>
        <w:tblLayout w:type="fixed"/>
        <w:tblCellMar>
          <w:top w:w="28" w:type="dxa"/>
          <w:left w:w="28" w:type="dxa"/>
          <w:bottom w:w="28" w:type="dxa"/>
          <w:right w:w="28" w:type="dxa"/>
        </w:tblCellMar>
      </w:tblPr>
      <w:tblGrid>
        <w:gridCol w:w="186"/>
        <w:gridCol w:w="163"/>
        <w:gridCol w:w="163"/>
        <w:gridCol w:w="163"/>
        <w:gridCol w:w="163"/>
        <w:gridCol w:w="163"/>
        <w:gridCol w:w="1289"/>
        <w:gridCol w:w="1289"/>
        <w:gridCol w:w="1292"/>
        <w:gridCol w:w="163"/>
        <w:gridCol w:w="163"/>
        <w:gridCol w:w="246"/>
      </w:tblGrid>
      <w:tr>
        <w:trPr/>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SLM CORPORATION</w:t>
            </w:r>
          </w:p>
          <w:p>
            <w:pPr>
              <w:pStyle w:val="TableContents"/>
              <w:bidi w:val="0"/>
              <w:spacing w:lineRule="auto" w:line="240" w:before="0" w:after="15"/>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w:t>
            </w:r>
            <w:r>
              <w:rPr>
                <w:rFonts w:ascii="Arial;sans-serif" w:hAnsi="Arial;sans-serif"/>
                <w:b w:val="false"/>
                <w:color w:val="000000"/>
                <w:sz w:val="14"/>
              </w:rPr>
              <w:t>S</w:t>
            </w:r>
            <w:r>
              <w:rPr>
                <w:rFonts w:ascii="Arial;sans-serif" w:hAnsi="Arial;sans-serif"/>
                <w:b w:val="false"/>
                <w:color w:val="000000"/>
                <w:sz w:val="20"/>
              </w:rPr>
              <w:t>/ PETER M. GRAHAM</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Peter M. Graham</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Co-President and Chief Financial Officer</w:t>
            </w:r>
          </w:p>
          <w:p>
            <w:pPr>
              <w:pStyle w:val="TableContents"/>
              <w:bidi w:val="0"/>
              <w:spacing w:lineRule="auto" w:line="240" w:before="0" w:after="15"/>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July 23,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82</w:t>
                      </w:r>
                    </w:p>
                  </w:txbxContent>
                </v:textbox>
                <w10:wrap type="none"/>
              </v:rect>
            </w:pict>
          </mc:Fallback>
        </mc:AlternateContent>
      </w:r>
    </w:p>
    <w:p>
      <w:pPr>
        <w:pStyle w:val="TextBody"/>
        <w:bidi w:val="0"/>
        <w:spacing w:lineRule="auto" w:line="288" w:before="200" w:after="16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200" w:after="160"/>
        <w:jc w:val="center"/>
        <w:rPr>
          <w:rFonts w:ascii="Times New Roman;serif" w:hAnsi="Times New Roman;serif"/>
          <w:b/>
          <w:color w:val="000000"/>
          <w:sz w:val="24"/>
        </w:rPr>
      </w:pPr>
      <w:r>
        <w:rPr>
          <w:rFonts w:ascii="Times New Roman;serif" w:hAnsi="Times New Roman;serif"/>
          <w:b/>
          <w:color w:val="000000"/>
          <w:sz w:val="24"/>
        </w:rPr>
        <w:t>SLM Corporation 2021 Omnibus Incentive Plan</w:t>
      </w:r>
    </w:p>
    <w:p>
      <w:pPr>
        <w:pStyle w:val="TextBody"/>
        <w:bidi w:val="0"/>
        <w:spacing w:lineRule="auto" w:line="288" w:before="200" w:after="160"/>
        <w:jc w:val="center"/>
        <w:rPr>
          <w:rFonts w:ascii="Times New Roman;serif" w:hAnsi="Times New Roman;serif"/>
          <w:b/>
          <w:color w:val="000000"/>
          <w:sz w:val="24"/>
        </w:rPr>
      </w:pPr>
      <w:r>
        <w:rPr>
          <w:rFonts w:ascii="Times New Roman;serif" w:hAnsi="Times New Roman;serif"/>
          <w:b/>
          <w:color w:val="000000"/>
          <w:sz w:val="24"/>
        </w:rPr>
        <w:br/>
        <w:t>2026 Independent Director Restricted Stock Agreement</w:t>
      </w:r>
    </w:p>
    <w:p>
      <w:pPr>
        <w:pStyle w:val="TextBody"/>
        <w:bidi w:val="0"/>
        <w:spacing w:lineRule="auto" w:line="288" w:before="0" w:after="16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 xml:space="preserve">Pursuant to the terms and conditions of the SLM Corporation 2021 Omnibus Incentive Plan (the “Plan”), SLM Corporation (the “Corporation”) hereby grants to _______________(the “Grantee”) _____ shares of common stock of the Corporation, par value $0.20 (the “Restricted Stock”), on June 16, 2026 (the “Grant Date”) subject to the terms and conditions below. All capitalized terms used herein that are not defined shall have the meanings as set forth in the Plan.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100 percent of the Restricted Stock is subject to a risk of forfeiture and is non-transferable on the Grant Date.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Upon the Corporation’s 2027 annual meeting of stockholders (the “Vesting Event”), 100 percent of the Restricted Stock will vest and become transferable unless vested earlier as set forth below.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The Restricted Stock will vest and become transferable prior to the Vesting Event upon any of the following events: (i) the Grantee’s death or Disability or (ii) upon a Change in Control.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100 percent of the Restricted Stock will be forfeited if the Grantee ceases to be a director of the Corporation’s Board of Directors prior to the Vesting Event for any reason other than death, Disability (as defined below) or a Change in Control. </w:t>
      </w:r>
    </w:p>
    <w:p>
      <w:pPr>
        <w:pStyle w:val="TextBody"/>
        <w:bidi w:val="0"/>
        <w:spacing w:lineRule="auto" w:line="288" w:before="0" w:after="160"/>
        <w:ind w:left="0" w:right="0" w:hanging="360"/>
        <w:jc w:val="left"/>
        <w:rPr/>
      </w:pPr>
      <w:r>
        <w:rPr>
          <w:rFonts w:ascii="Times New Roman;serif" w:hAnsi="Times New Roman;serif"/>
          <w:b w:val="false"/>
          <w:color w:val="000000"/>
          <w:sz w:val="24"/>
        </w:rPr>
        <w:t>The Restricted Stock will be held in an account in the Grantee’s name at the Corporation’s transfer agent, currently Computershare. The Grantee is entitled to vote the shares of Restricted Stock</w:t>
      </w:r>
      <w:r>
        <w:rPr>
          <w:rFonts w:ascii="Times New Roman;serif" w:hAnsi="Times New Roman;serif"/>
          <w:b/>
          <w:color w:val="000000"/>
          <w:sz w:val="24"/>
        </w:rPr>
        <w:t xml:space="preserve">.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Dividends declared on unvested shares of Restricted Stock will not be paid in cash. Instead, an account established on behalf of the Grantee will be credited with an amount equal to such dividends, which amount shall be reinvested in additional shares of the Corporation’s common stock (“Dividend Equivalent”). The value of the Dividend Equivalents will be calculated in the same manner as dividends paid to holders of common stock. Such Dividend Equivalents will be subject to the same vesting schedule to which the Restricted Stock is subject. Upon vesting of any portion of the Restricted Stock, the amount of Dividend Equivalents allocable to such Restricted Stock (and any fractional share amount) will also vest and will be converted into shares of the Corporation’s common stock. Dividend Equivalents declared on unvested shares of Restricted Stock are not subject to income tax until vesting, at which time they are taxed as ordinary income.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The Corporation may impose such restrictions, conditions or limitations as it determines appropriate as to the timing and manner of any transfer or sale by the Grantee of any shares of common stock, including without limitation (a) restrictions under an insider trading policy and (b) restrictions that may be necessary in the absence of an effective </w:t>
      </w:r>
    </w:p>
    <w:p>
      <w:pPr>
        <w:pStyle w:val="TextBody"/>
        <w:bidi w:val="0"/>
        <w:spacing w:before="0" w:after="16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registration statement under the Securities Act of 1933, as amended, covering the shares of the Corporation’s common stock. The sale of the shares must also comply with other applicable laws and regulations governing the sale of such shares.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As an essential term of this award, the Grantee consents to the collection, use and transfer, in electronic or other form, of personal data as described herein for the exclusive purpose of implementing, administering and managing the Grantee’s participation in the Plan. By accepting this award, the Grantee acknowledges that the Corporation holds certain personal information about the Grantee, including, but not limited to, name, home address and telephone number, date of birth, social security number or other identification number, salary, tax rates and amounts, nationality, job title, any shares of stock held in the Corporation, details of all options or any other entitlement to shares of stock awarded, canceled, exercised, vested, unvested or outstanding, for the purpose of implementing, administering and managing the Plan (“Data”). The Grantee acknowledges that Data may be transferred to any third parties assisting in the implementation, administration and management of the Plan, that these recipients may be located in jurisdictions that may have different data privacy laws and protections, and the Grantee authorizes the recipients to receive, possess, use, retain and transfer Data, in electronic or other form, for the purposes of implementing, administering and managing the Plan, including any requisite transfer of such Data as may be required to a broker or other third party with whom the Grantee or the Corporation may elect to deposit any shares of the Corporation’s common stock. The Grantee acknowledges that Data may be held to implement, administer and manage the Grantee’s participation in the Plan as determined by the Corporation, and that the Grantee may request additional information about the storage and processing of Data, require any necessary amendments to Data or refuse or withdraw the consents herein, in any case without cost, provided however, that refusing or withdrawing the Grantee’s consent may adversely affect the Grantee’s ability to participate in the Plan. </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The Corporation may, in its sole discretion, decide to deliver any documents related to any awards granted under the Plan by electronic means or to request Grantee’s consent to participate in the Plan by electronic means. Grantee hereby consents to receive such documents by electronic delivery and, if requested, to agree to participate in the Plan through an on-line or electronic system established and maintained by the Corporation or another third party designated by the Corporation, and such consent shall remain in effect throughout Grantee’s term of service with the Corporation and thereafter until withdrawn in writing by Grantee. </w:t>
      </w:r>
    </w:p>
    <w:p>
      <w:pPr>
        <w:pStyle w:val="TextBody"/>
        <w:bidi w:val="0"/>
        <w:spacing w:lineRule="auto" w:line="288" w:before="0" w:after="160"/>
        <w:ind w:left="0" w:right="0" w:hanging="360"/>
        <w:jc w:val="left"/>
        <w:rPr>
          <w:color w:val="000000"/>
        </w:rPr>
      </w:pPr>
      <w:r>
        <w:rPr>
          <w:color w:val="000000"/>
        </w:rPr>
        <w:t>“</w:t>
      </w:r>
      <w:r>
        <w:rPr>
          <w:rFonts w:ascii="Times New Roman;serif" w:hAnsi="Times New Roman;serif"/>
          <w:b w:val="false"/>
          <w:color w:val="000000"/>
          <w:sz w:val="24"/>
        </w:rPr>
        <w:t>Disability” means the absence of the Grantee from the Corporation’s Board of Directors duties for 180 consecutive days as a result of incapacity due to mental or physical illness which is determined to be total and permanent by a physician selected by the Corporation or its insurers and reasonably acceptable to the Grantee or the Grantee’s legal representative.</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4"/>
        </w:rPr>
      </w:pPr>
      <w:r>
        <w:rPr>
          <w:rFonts w:ascii="Times New Roman;serif" w:hAnsi="Times New Roman;serif"/>
          <w:b/>
          <w:color w:val="000000"/>
          <w:sz w:val="24"/>
        </w:rPr>
        <w:t>The Grantee is deemed to accept this award of Restricted Stock under this Agreement and to agree that such award is subject to the terms and conditions set forth in this Agreement and the Plan unless the Grantee provides the Corporation written notification of the Grantee’s rejection of this award of Restricted Stock not later than 30 days after the Grantee’s receipt of notice of the posting of this Agreement on-line or through electronic means (in which case such award will be forfeited and the Grantee shall have no further right or interest therein as of such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31.1</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 Jonathan W. Witter, certify that: </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SLM Corporation; </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lineRule="auto" w:line="288" w:before="0" w:after="0"/>
        <w:jc w:val="left"/>
        <w:rPr>
          <w:color w:val="000000"/>
        </w:rPr>
      </w:pPr>
      <w:r>
        <w:rPr>
          <w:color w:val="000000"/>
        </w:rPr>
        <w:t>    </w:t>
      </w:r>
    </w:p>
    <w:tbl>
      <w:tblPr>
        <w:tblW w:w="2610" w:type="dxa"/>
        <w:jc w:val="left"/>
        <w:tblInd w:w="0" w:type="dxa"/>
        <w:tblLayout w:type="fixed"/>
        <w:tblCellMar>
          <w:top w:w="28" w:type="dxa"/>
          <w:left w:w="28" w:type="dxa"/>
          <w:bottom w:w="28" w:type="dxa"/>
          <w:right w:w="28" w:type="dxa"/>
        </w:tblCellMar>
      </w:tblPr>
      <w:tblGrid>
        <w:gridCol w:w="835"/>
        <w:gridCol w:w="732"/>
        <w:gridCol w:w="1043"/>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JONATHAN W. WITTER</w:t>
            </w:r>
          </w:p>
        </w:tc>
      </w:tr>
      <w:tr>
        <w:trPr/>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Jonathan W. Witter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23, 2026</w:t>
            </w:r>
          </w:p>
        </w:tc>
      </w:tr>
    </w:tbl>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Arial;sans-serif" w:hAnsi="Arial;sans-serif"/>
          <w:b/>
          <w:color w:val="000000"/>
          <w:sz w:val="24"/>
        </w:rPr>
      </w:pPr>
      <w:r>
        <w:rPr>
          <w:rFonts w:ascii="Arial;sans-serif" w:hAnsi="Arial;sans-serif"/>
          <w:b/>
          <w:color w:val="000000"/>
          <w:sz w:val="24"/>
        </w:rPr>
        <w:t>Exhibit 31.2</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 Peter M. Graham, certify that: </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SLM Corporation; </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both"/>
        <w:rPr/>
      </w:pPr>
      <w:r>
        <w:rPr/>
      </w:r>
    </w:p>
    <w:tbl>
      <w:tblPr>
        <w:tblW w:w="3930" w:type="dxa"/>
        <w:jc w:val="left"/>
        <w:tblInd w:w="0" w:type="dxa"/>
        <w:tblLayout w:type="fixed"/>
        <w:tblCellMar>
          <w:top w:w="28" w:type="dxa"/>
          <w:left w:w="28" w:type="dxa"/>
          <w:bottom w:w="28" w:type="dxa"/>
          <w:right w:w="28" w:type="dxa"/>
        </w:tblCellMar>
      </w:tblPr>
      <w:tblGrid>
        <w:gridCol w:w="1259"/>
        <w:gridCol w:w="1104"/>
        <w:gridCol w:w="1567"/>
      </w:tblGrid>
      <w:tr>
        <w:trPr/>
        <w:tc>
          <w:tcPr>
            <w:tcW w:w="125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M. GRAHAM</w:t>
            </w:r>
          </w:p>
        </w:tc>
      </w:tr>
      <w:tr>
        <w:trPr/>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M. Graham</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Co-President and Chief Financial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23, 2026</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32.1</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20"/>
        </w:rPr>
      </w:pPr>
      <w:r>
        <w:rPr>
          <w:rFonts w:ascii="Arial;sans-serif" w:hAnsi="Arial;sans-serif"/>
          <w:b w:val="false"/>
          <w:color w:val="000000"/>
          <w:sz w:val="20"/>
        </w:rPr>
        <w:t>In connection with the Quarterly Report of SLM Corporation (the “Company”) on Form 10-Q for the quarter ended June 30, 2026, as filed with the Securities and Exchange Commission on the date hereof (the “Report”), I, Jonathan W. Witter, Chief Executive Officer of the Company,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270"/>
        <w:jc w:val="left"/>
        <w:rPr/>
      </w:pPr>
      <w:r>
        <w:rPr/>
      </w:r>
    </w:p>
    <w:p>
      <w:pPr>
        <w:pStyle w:val="TextBody"/>
        <w:bidi w:val="0"/>
        <w:spacing w:lineRule="auto" w:line="288" w:before="0" w:after="0"/>
        <w:jc w:val="left"/>
        <w:rPr>
          <w:color w:val="000000"/>
        </w:rPr>
      </w:pPr>
      <w:r>
        <w:rPr>
          <w:color w:val="000000"/>
        </w:rPr>
        <w:t>    </w:t>
      </w:r>
    </w:p>
    <w:tbl>
      <w:tblPr>
        <w:tblW w:w="2610" w:type="dxa"/>
        <w:jc w:val="right"/>
        <w:tblInd w:w="0" w:type="dxa"/>
        <w:tblLayout w:type="fixed"/>
        <w:tblCellMar>
          <w:top w:w="28" w:type="dxa"/>
          <w:left w:w="28" w:type="dxa"/>
          <w:bottom w:w="28" w:type="dxa"/>
          <w:right w:w="28" w:type="dxa"/>
        </w:tblCellMar>
      </w:tblPr>
      <w:tblGrid>
        <w:gridCol w:w="835"/>
        <w:gridCol w:w="732"/>
        <w:gridCol w:w="1043"/>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JONATHAN W. WITTER</w:t>
            </w:r>
          </w:p>
        </w:tc>
      </w:tr>
      <w:tr>
        <w:trPr/>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Jonathan W. Witter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23, 2026</w:t>
            </w:r>
          </w:p>
        </w:tc>
      </w:tr>
    </w:tbl>
    <w:p>
      <w:pPr>
        <w:pStyle w:val="TextBody"/>
        <w:bidi w:val="0"/>
        <w:ind w:left="0" w:right="0" w:firstLine="495"/>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20"/>
        </w:rPr>
      </w:pPr>
      <w:r>
        <w:rPr>
          <w:rFonts w:ascii="Arial;sans-serif" w:hAnsi="Arial;sans-serif"/>
          <w:b w:val="false"/>
          <w:color w:val="000000"/>
          <w:sz w:val="20"/>
        </w:rPr>
        <w:t>In connection with the Quarterly Report of SLM Corporation (the “Company”) on Form 10-Q for the quarter ended June 30, 2026, as filed with the Securities and Exchange Commission on the date hereof (the “Report”), I, Peter M. Graham, Co-President and Chief Financial Officer of the Company,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270"/>
        <w:jc w:val="left"/>
        <w:rPr/>
      </w:pPr>
      <w:r>
        <w:rPr/>
      </w:r>
    </w:p>
    <w:p>
      <w:pPr>
        <w:pStyle w:val="TextBody"/>
        <w:bidi w:val="0"/>
        <w:spacing w:lineRule="auto" w:line="288" w:before="0" w:after="0"/>
        <w:jc w:val="left"/>
        <w:rPr>
          <w:color w:val="000000"/>
        </w:rPr>
      </w:pPr>
      <w:r>
        <w:rPr>
          <w:color w:val="000000"/>
        </w:rPr>
        <w:t>                    </w:t>
      </w:r>
    </w:p>
    <w:tbl>
      <w:tblPr>
        <w:tblW w:w="3930" w:type="dxa"/>
        <w:jc w:val="right"/>
        <w:tblInd w:w="0" w:type="dxa"/>
        <w:tblLayout w:type="fixed"/>
        <w:tblCellMar>
          <w:top w:w="28" w:type="dxa"/>
          <w:left w:w="28" w:type="dxa"/>
          <w:bottom w:w="28" w:type="dxa"/>
          <w:right w:w="28" w:type="dxa"/>
        </w:tblCellMar>
      </w:tblPr>
      <w:tblGrid>
        <w:gridCol w:w="1259"/>
        <w:gridCol w:w="1104"/>
        <w:gridCol w:w="1567"/>
      </w:tblGrid>
      <w:tr>
        <w:trPr/>
        <w:tc>
          <w:tcPr>
            <w:tcW w:w="125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M. GRAHAM</w:t>
            </w:r>
          </w:p>
        </w:tc>
      </w:tr>
      <w:tr>
        <w:trPr/>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M. Graham</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Co-President and Chief Financial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23, 2026</w:t>
            </w:r>
          </w:p>
        </w:tc>
      </w:tr>
    </w:tbl>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2033/000119312526225683/d672122dex11.htm" TargetMode="External"/><Relationship Id="rId3" Type="http://schemas.openxmlformats.org/officeDocument/2006/relationships/hyperlink" Target="https://www.sec.gov/Archives/edgar/data/1032033/000119312526225683/d672122dex41.htm" TargetMode="External"/><Relationship Id="rId4" Type="http://schemas.openxmlformats.org/officeDocument/2006/relationships/hyperlink" Target="https://www.sec.gov/Archives/edgar/data/1032033/000119312526225683/d672122dex4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38459</Words>
  <Characters>212434</Characters>
  <CharactersWithSpaces>247921</CharactersWithSpaces>
  <Paragraphs>7334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