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966.xml.htm"/>
      <w:bookmarkStart w:id="1" w:name="kswkform4_17897619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Blackley Richard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89"/>
        <w:gridCol w:w="454"/>
        <w:gridCol w:w="617"/>
        <w:gridCol w:w="1323"/>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42,742.66</w:t>
            </w:r>
            <w:r>
              <w:rPr>
                <w:rFonts w:ascii="Times;serif" w:hAnsi="Times;serif"/>
                <w:color w:val="008000"/>
                <w:position w:val="7"/>
                <w:sz w:val="16"/>
                <w:sz w:val="20"/>
                <w:shd w:fill="FFFFFF" w:val="clear"/>
              </w:rPr>
              <w:t>(2)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shares of SLM Corporation's Common Stock (the "Shares") received in lieu of the reporting person's quarterly cash retainer and respective committee fees. The per share value of the Shares was equal to the closing sales price per share as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Lipschutz (POA) for Richard Scott Blackley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5020"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3405</Characters>
  <CharactersWithSpaces>3965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