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697865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8-K</w:t>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CURRENT REPORT</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231F20"/>
        </w:rPr>
        <w:t>Pursuant to Section 13 or 15(d) of the Securities Exchange Act of 1934</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June 16, 2026</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SLM CORPORATION</w:t>
      </w:r>
    </w:p>
    <w:p>
      <w:pPr>
        <w:spacing w:after="0" w:line="1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60" w:right="399" w:bottom="1440" w:gutter="0" w:footer="0" w:header="0"/>
        </w:sectPr>
      </w:pPr>
    </w:p>
    <w:p>
      <w:pPr>
        <w:spacing w:after="0" w:line="56"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001-13251</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52-2013874</w:t>
      </w:r>
    </w:p>
    <w:p>
      <w:pPr>
        <w:spacing w:after="0" w:line="83" w:lineRule="exact"/>
        <w:rPr>
          <w:sz w:val="24"/>
          <w:szCs w:val="24"/>
          <w:color w:val="auto"/>
        </w:rPr>
      </w:pPr>
    </w:p>
    <w:p>
      <w:pPr>
        <w:sectPr>
          <w:pgSz w:w="11900" w:h="16838" w:orient="portrait"/>
          <w:cols w:equalWidth="0" w:num="3">
            <w:col w:w="3480" w:space="720"/>
            <w:col w:w="2940" w:space="720"/>
            <w:col w:w="3320"/>
          </w:cols>
          <w:pgMar w:left="320" w:top="1260" w:right="399" w:bottom="1440" w:gutter="0" w:footer="0" w:header="0"/>
          <w:type w:val="continuous"/>
        </w:sectPr>
      </w:pPr>
    </w:p>
    <w:p>
      <w:pPr>
        <w:ind w:left="20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3"/>
          <w:szCs w:val="13"/>
          <w:b w:val="1"/>
          <w:bCs w:val="1"/>
          <w:color w:val="auto"/>
        </w:rPr>
        <w:t>(I.R.S. Employer Identification No.)</w:t>
      </w:r>
    </w:p>
    <w:p>
      <w:pPr>
        <w:spacing w:after="0" w:line="19" w:lineRule="exact"/>
        <w:rPr>
          <w:sz w:val="24"/>
          <w:szCs w:val="24"/>
          <w:color w:val="auto"/>
        </w:rPr>
      </w:pPr>
    </w:p>
    <w:p>
      <w:pPr>
        <w:sectPr>
          <w:pgSz w:w="11900" w:h="16838" w:orient="portrait"/>
          <w:cols w:equalWidth="0" w:num="3">
            <w:col w:w="3240" w:space="480"/>
            <w:col w:w="2740" w:space="720"/>
            <w:col w:w="4000"/>
          </w:cols>
          <w:pgMar w:left="320" w:top="1260" w:right="399" w:bottom="1440" w:gutter="0" w:footer="0" w:header="0"/>
          <w:type w:val="continuous"/>
        </w:sectPr>
      </w:pPr>
    </w:p>
    <w:p>
      <w:pPr>
        <w:ind w:left="1280"/>
        <w:spacing w:after="0"/>
        <w:rPr>
          <w:sz w:val="20"/>
          <w:szCs w:val="20"/>
          <w:color w:val="auto"/>
        </w:rPr>
      </w:pPr>
      <w:r>
        <w:rPr>
          <w:rFonts w:ascii="Arial" w:cs="Arial" w:eastAsia="Arial" w:hAnsi="Arial"/>
          <w:sz w:val="14"/>
          <w:szCs w:val="14"/>
          <w:b w:val="1"/>
          <w:bCs w:val="1"/>
          <w:color w:val="auto"/>
        </w:rPr>
        <w:t>organization)</w:t>
      </w:r>
    </w:p>
    <w:p>
      <w:pPr>
        <w:sectPr>
          <w:pgSz w:w="11900" w:h="16838" w:orient="portrait"/>
          <w:cols w:equalWidth="0" w:num="1">
            <w:col w:w="11180"/>
          </w:cols>
          <w:pgMar w:left="320" w:top="1260" w:right="399" w:bottom="1440" w:gutter="0" w:footer="0" w:header="0"/>
          <w:type w:val="continuous"/>
        </w:sectPr>
      </w:pPr>
    </w:p>
    <w:p>
      <w:pPr>
        <w:spacing w:after="0" w:line="271"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300 Continental Drive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Newark,</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620"/>
        <w:spacing w:after="0"/>
        <w:rPr>
          <w:sz w:val="20"/>
          <w:szCs w:val="20"/>
          <w:color w:val="auto"/>
        </w:rPr>
      </w:pPr>
      <w:r>
        <w:rPr>
          <w:rFonts w:ascii="Arial" w:cs="Arial" w:eastAsia="Arial" w:hAnsi="Arial"/>
          <w:sz w:val="16"/>
          <w:szCs w:val="16"/>
          <w:b w:val="1"/>
          <w:bCs w:val="1"/>
          <w:color w:val="auto"/>
        </w:rPr>
        <w:t>19713</w:t>
      </w:r>
    </w:p>
    <w:p>
      <w:pPr>
        <w:spacing w:after="0" w:line="75" w:lineRule="exact"/>
        <w:rPr>
          <w:sz w:val="24"/>
          <w:szCs w:val="24"/>
          <w:color w:val="auto"/>
        </w:rPr>
      </w:pPr>
    </w:p>
    <w:p>
      <w:pPr>
        <w:sectPr>
          <w:pgSz w:w="11900" w:h="16838" w:orient="portrait"/>
          <w:cols w:equalWidth="0" w:num="4">
            <w:col w:w="2960" w:space="720"/>
            <w:col w:w="660" w:space="460"/>
            <w:col w:w="2560" w:space="720"/>
            <w:col w:w="3100"/>
          </w:cols>
          <w:pgMar w:left="320" w:top="1260" w:right="399" w:bottom="1440" w:gutter="0" w:footer="0" w:header="0"/>
          <w:type w:val="continuous"/>
        </w:sectPr>
      </w:pPr>
    </w:p>
    <w:p>
      <w:pPr>
        <w:ind w:left="15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11" w:lineRule="exact"/>
        <w:rPr>
          <w:sz w:val="24"/>
          <w:szCs w:val="24"/>
          <w:color w:val="auto"/>
        </w:rPr>
      </w:pPr>
    </w:p>
    <w:p>
      <w:pPr>
        <w:sectPr>
          <w:pgSz w:w="11900" w:h="16838" w:orient="portrait"/>
          <w:cols w:equalWidth="0" w:num="2">
            <w:col w:w="7260" w:space="720"/>
            <w:col w:w="3200"/>
          </w:cols>
          <w:pgMar w:left="320" w:top="1260" w:right="399" w:bottom="1440" w:gutter="0" w:footer="0" w:header="0"/>
          <w:type w:val="continuous"/>
        </w:sectPr>
      </w:pP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(302) 451-4911</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Name of each exchange on which registered</w:t>
            </w:r>
          </w:p>
        </w:tc>
        <w:tc>
          <w:tcPr>
            <w:tcW w:w="0" w:type="dxa"/>
            <w:vAlign w:val="bottom"/>
          </w:tcPr>
          <w:p>
            <w:pPr>
              <w:spacing w:after="0"/>
              <w:rPr>
                <w:sz w:val="1"/>
                <w:szCs w:val="1"/>
                <w:color w:val="auto"/>
              </w:rPr>
            </w:pPr>
          </w:p>
        </w:tc>
      </w:tr>
      <w:tr>
        <w:trPr>
          <w:trHeight w:val="20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Common stock, par value $.20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SLM</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The NASDAQ Global Select Market</w:t>
            </w:r>
          </w:p>
        </w:tc>
        <w:tc>
          <w:tcPr>
            <w:tcW w:w="0" w:type="dxa"/>
            <w:vAlign w:val="bottom"/>
          </w:tcPr>
          <w:p>
            <w:pPr>
              <w:spacing w:after="0"/>
              <w:rPr>
                <w:sz w:val="1"/>
                <w:szCs w:val="1"/>
                <w:color w:val="auto"/>
              </w:rPr>
            </w:pPr>
          </w:p>
        </w:tc>
      </w:tr>
      <w:tr>
        <w:trPr>
          <w:trHeight w:val="153"/>
        </w:trPr>
        <w:tc>
          <w:tcPr>
            <w:tcW w:w="388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6"/>
                <w:szCs w:val="16"/>
                <w:color w:val="auto"/>
                <w:w w:val="98"/>
              </w:rPr>
              <w:t>Floating Rate Non-Cumulative Preferred Stock, Series</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SLMBP</w:t>
            </w:r>
          </w:p>
        </w:tc>
        <w:tc>
          <w:tcPr>
            <w:tcW w:w="4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The NASDAQ Global Select Market</w:t>
            </w:r>
          </w:p>
        </w:tc>
        <w:tc>
          <w:tcPr>
            <w:tcW w:w="0" w:type="dxa"/>
            <w:vAlign w:val="bottom"/>
          </w:tcPr>
          <w:p>
            <w:pPr>
              <w:spacing w:after="0"/>
              <w:rPr>
                <w:sz w:val="1"/>
                <w:szCs w:val="1"/>
                <w:color w:val="auto"/>
              </w:rPr>
            </w:pPr>
          </w:p>
        </w:tc>
      </w:tr>
      <w:tr>
        <w:trPr>
          <w:trHeight w:val="128"/>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B, par value $.20 per share</w:t>
            </w:r>
          </w:p>
        </w:tc>
        <w:tc>
          <w:tcPr>
            <w:tcW w:w="2360" w:type="dxa"/>
            <w:vAlign w:val="bottom"/>
            <w:tcBorders>
              <w:right w:val="single" w:sz="8" w:color="auto"/>
            </w:tcBorders>
            <w:vMerge w:val="continue"/>
          </w:tcPr>
          <w:p>
            <w:pPr>
              <w:spacing w:after="0"/>
              <w:rPr>
                <w:sz w:val="11"/>
                <w:szCs w:val="11"/>
                <w:color w:val="auto"/>
              </w:rPr>
            </w:pPr>
          </w:p>
        </w:tc>
        <w:tc>
          <w:tcPr>
            <w:tcW w:w="49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4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ind w:right="520"/>
        <w:spacing w:after="0" w:line="26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5" w:lineRule="exact"/>
        <w:rPr>
          <w:sz w:val="24"/>
          <w:szCs w:val="24"/>
          <w:color w:val="auto"/>
        </w:rPr>
      </w:pPr>
    </w:p>
    <w:p>
      <w:pPr>
        <w:ind w:left="240" w:hanging="195"/>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76" w:lineRule="exact"/>
        <w:rPr>
          <w:rFonts w:ascii="MS PGothic" w:cs="MS PGothic" w:eastAsia="MS PGothic" w:hAnsi="MS PGothic"/>
          <w:sz w:val="16"/>
          <w:szCs w:val="16"/>
          <w:color w:val="auto"/>
        </w:rPr>
      </w:pPr>
    </w:p>
    <w:p>
      <w:pPr>
        <w:ind w:left="240" w:hanging="195"/>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262" w:lineRule="exact"/>
        <w:rPr>
          <w:rFonts w:ascii="MS PGothic" w:cs="MS PGothic" w:eastAsia="MS PGothic" w:hAnsi="MS PGothic"/>
          <w:sz w:val="16"/>
          <w:szCs w:val="16"/>
          <w:color w:val="auto"/>
        </w:rPr>
      </w:pPr>
    </w:p>
    <w:p>
      <w:pPr>
        <w:ind w:left="240" w:hanging="195"/>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14d-2(b) under the Exchange Act (17 CFR 240.14d-2(b))</w:t>
      </w:r>
    </w:p>
    <w:p>
      <w:pPr>
        <w:spacing w:after="0" w:line="249" w:lineRule="exact"/>
        <w:rPr>
          <w:rFonts w:ascii="MS PGothic" w:cs="MS PGothic" w:eastAsia="MS PGothic" w:hAnsi="MS PGothic"/>
          <w:sz w:val="16"/>
          <w:szCs w:val="16"/>
          <w:color w:val="auto"/>
        </w:rPr>
      </w:pPr>
    </w:p>
    <w:p>
      <w:pPr>
        <w:ind w:left="240" w:hanging="195"/>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200" w:lineRule="exact"/>
        <w:rPr>
          <w:sz w:val="24"/>
          <w:szCs w:val="24"/>
          <w:color w:val="auto"/>
        </w:rPr>
      </w:pPr>
    </w:p>
    <w:p>
      <w:pPr>
        <w:spacing w:after="0" w:line="299" w:lineRule="exact"/>
        <w:rPr>
          <w:sz w:val="24"/>
          <w:szCs w:val="24"/>
          <w:color w:val="auto"/>
        </w:rPr>
      </w:pPr>
    </w:p>
    <w:p>
      <w:pPr>
        <w:ind w:right="60"/>
        <w:spacing w:after="0" w:line="25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7"/>
          <w:szCs w:val="17"/>
          <w:color w:val="000000"/>
        </w:rPr>
        <w:t>☐</w:t>
      </w:r>
    </w:p>
    <w:p>
      <w:pPr>
        <w:spacing w:after="0" w:line="244" w:lineRule="exact"/>
        <w:rPr>
          <w:sz w:val="24"/>
          <w:szCs w:val="24"/>
          <w:color w:val="auto"/>
        </w:rPr>
      </w:pPr>
    </w:p>
    <w:p>
      <w:pPr>
        <w:ind w:right="3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805180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260"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16, 2026, SLM Corporation (the "Company") held the Annual Meeting of Stockholders (the "Annual Meeting"). At the Annual Meeting, the following proposals were submitted to a vote of the Company’s stockholders, with the voting results indicated below:</w:t>
      </w:r>
    </w:p>
    <w:p>
      <w:pPr>
        <w:spacing w:after="0" w:line="283" w:lineRule="exact"/>
        <w:rPr>
          <w:sz w:val="20"/>
          <w:szCs w:val="20"/>
          <w:color w:val="auto"/>
        </w:rPr>
      </w:pPr>
    </w:p>
    <w:p>
      <w:pPr>
        <w:ind w:right="280" w:firstLine="403"/>
        <w:spacing w:after="0" w:line="255"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xml:space="preserve"> The Company’s stockholders elected the following 13 directors, each for a one-year term, to serve until their successors have been duly elected or appointed.</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560" w:type="dxa"/>
            <w:vAlign w:val="bottom"/>
            <w:gridSpan w:val="3"/>
          </w:tcPr>
          <w:p>
            <w:pPr>
              <w:jc w:val="right"/>
              <w:ind w:right="900"/>
              <w:spacing w:after="0"/>
              <w:rPr>
                <w:sz w:val="20"/>
                <w:szCs w:val="20"/>
                <w:color w:val="auto"/>
              </w:rPr>
            </w:pPr>
            <w:r>
              <w:rPr>
                <w:rFonts w:ascii="Arial" w:cs="Arial" w:eastAsia="Arial" w:hAnsi="Arial"/>
                <w:sz w:val="16"/>
                <w:szCs w:val="16"/>
                <w:color w:val="auto"/>
              </w:rPr>
              <w:t>For</w:t>
            </w:r>
          </w:p>
        </w:tc>
        <w:tc>
          <w:tcPr>
            <w:tcW w:w="48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auto"/>
              </w:rPr>
              <w:t>Against</w:t>
            </w:r>
          </w:p>
        </w:tc>
        <w:tc>
          <w:tcPr>
            <w:tcW w:w="1460" w:type="dxa"/>
            <w:vAlign w:val="bottom"/>
            <w:gridSpan w:val="3"/>
          </w:tcPr>
          <w:p>
            <w:pPr>
              <w:jc w:val="right"/>
              <w:ind w:right="460"/>
              <w:spacing w:after="0"/>
              <w:rPr>
                <w:sz w:val="20"/>
                <w:szCs w:val="20"/>
                <w:color w:val="auto"/>
              </w:rPr>
            </w:pPr>
            <w:r>
              <w:rPr>
                <w:rFonts w:ascii="Arial" w:cs="Arial" w:eastAsia="Arial" w:hAnsi="Arial"/>
                <w:sz w:val="16"/>
                <w:szCs w:val="16"/>
                <w:color w:val="auto"/>
              </w:rPr>
              <w:t>Abstain</w:t>
            </w: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w w:val="97"/>
              </w:rPr>
              <w:t>Broker Non-Votes</w:t>
            </w:r>
          </w:p>
        </w:tc>
      </w:tr>
      <w:tr>
        <w:trPr>
          <w:trHeight w:val="190"/>
        </w:trPr>
        <w:tc>
          <w:tcPr>
            <w:tcW w:w="3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25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Janaki Akella</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163,005,066</w:t>
            </w:r>
          </w:p>
        </w:tc>
        <w:tc>
          <w:tcPr>
            <w:tcW w:w="17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7"/>
              </w:rPr>
              <w:t>8,635,493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113,448</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1"/>
                <w:szCs w:val="21"/>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R. Scott Blackley</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171,316,912</w:t>
            </w: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322,872</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114,223</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Mary Carter Warren Franke</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170,207,121</w:t>
            </w:r>
          </w:p>
        </w:tc>
        <w:tc>
          <w:tcPr>
            <w:tcW w:w="17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7"/>
              </w:rPr>
              <w:t>1,428,200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118,686</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Daniel Greenstein</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171,310,860</w:t>
            </w: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330,607</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112,540</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Henry F. Greig</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171,319,278</w:t>
            </w:r>
          </w:p>
        </w:tc>
        <w:tc>
          <w:tcPr>
            <w:tcW w:w="17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8"/>
              </w:rPr>
              <w:t>321,341</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113,388</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Mark L. Lavelle</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170,407,798</w:t>
            </w:r>
          </w:p>
        </w:tc>
        <w:tc>
          <w:tcPr>
            <w:tcW w:w="170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1,233,673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112,536</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Christopher T. Leech</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171,308,247</w:t>
            </w:r>
          </w:p>
        </w:tc>
        <w:tc>
          <w:tcPr>
            <w:tcW w:w="17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8"/>
              </w:rPr>
              <w:t>333,210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112,550</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Ted Manvitz</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171,309,412</w:t>
            </w: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330,953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113,642</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Jim Matheson</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164,941,960</w:t>
            </w:r>
          </w:p>
        </w:tc>
        <w:tc>
          <w:tcPr>
            <w:tcW w:w="17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7"/>
              </w:rPr>
              <w:t>6,693,275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118,772</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Gary Millerchip</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171,317,365</w:t>
            </w: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323,463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113,179</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Vivian C. Schneck-Last</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170,309,431</w:t>
            </w:r>
          </w:p>
        </w:tc>
        <w:tc>
          <w:tcPr>
            <w:tcW w:w="170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7"/>
              </w:rPr>
              <w:t>1,325,629</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118,947</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r>
        <w:trPr>
          <w:trHeight w:val="240"/>
        </w:trPr>
        <w:tc>
          <w:tcPr>
            <w:tcW w:w="3260" w:type="dxa"/>
            <w:vAlign w:val="bottom"/>
          </w:tcPr>
          <w:p>
            <w:pPr>
              <w:spacing w:after="0"/>
              <w:rPr>
                <w:sz w:val="20"/>
                <w:szCs w:val="20"/>
                <w:color w:val="auto"/>
              </w:rPr>
            </w:pPr>
            <w:r>
              <w:rPr>
                <w:rFonts w:ascii="Arial" w:cs="Arial" w:eastAsia="Arial" w:hAnsi="Arial"/>
                <w:sz w:val="18"/>
                <w:szCs w:val="18"/>
                <w:color w:val="auto"/>
              </w:rPr>
              <w:t>Jonathan W. Witter</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171,306,613</w:t>
            </w:r>
          </w:p>
        </w:tc>
        <w:tc>
          <w:tcPr>
            <w:tcW w:w="170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333,370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114,024</w:t>
            </w:r>
          </w:p>
        </w:tc>
        <w:tc>
          <w:tcPr>
            <w:tcW w:w="1580" w:type="dxa"/>
            <w:vAlign w:val="bottom"/>
            <w:gridSpan w:val="2"/>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tcPr>
          <w:p>
            <w:pPr>
              <w:spacing w:after="0"/>
              <w:rPr>
                <w:sz w:val="20"/>
                <w:szCs w:val="20"/>
                <w:color w:val="auto"/>
              </w:rPr>
            </w:pPr>
          </w:p>
        </w:tc>
      </w:tr>
      <w:tr>
        <w:trPr>
          <w:trHeight w:val="25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Kirsten O. Wolberg</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170,692,848</w:t>
            </w:r>
          </w:p>
        </w:tc>
        <w:tc>
          <w:tcPr>
            <w:tcW w:w="17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8"/>
              </w:rPr>
              <w:t>927,053</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134,106</w:t>
            </w:r>
          </w:p>
        </w:tc>
        <w:tc>
          <w:tcPr>
            <w:tcW w:w="1580" w:type="dxa"/>
            <w:vAlign w:val="bottom"/>
            <w:gridSpan w:val="2"/>
            <w:shd w:val="clear" w:color="auto" w:fill="CCEEFF"/>
          </w:tcPr>
          <w:p>
            <w:pPr>
              <w:jc w:val="center"/>
              <w:ind w:left="273"/>
              <w:spacing w:after="0"/>
              <w:rPr>
                <w:sz w:val="20"/>
                <w:szCs w:val="20"/>
                <w:color w:val="auto"/>
              </w:rPr>
            </w:pPr>
            <w:r>
              <w:rPr>
                <w:rFonts w:ascii="Arial" w:cs="Arial" w:eastAsia="Arial" w:hAnsi="Arial"/>
                <w:sz w:val="18"/>
                <w:szCs w:val="18"/>
                <w:color w:val="auto"/>
                <w:w w:val="97"/>
              </w:rPr>
              <w:t>7,131,823</w:t>
            </w:r>
          </w:p>
        </w:tc>
        <w:tc>
          <w:tcPr>
            <w:tcW w:w="28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335" w:lineRule="exact"/>
        <w:rPr>
          <w:sz w:val="20"/>
          <w:szCs w:val="20"/>
          <w:color w:val="auto"/>
        </w:rPr>
      </w:pPr>
    </w:p>
    <w:p>
      <w:pPr>
        <w:ind w:right="180" w:firstLine="403"/>
        <w:spacing w:after="0" w:line="255" w:lineRule="auto"/>
        <w:rPr>
          <w:sz w:val="20"/>
          <w:szCs w:val="20"/>
          <w:color w:val="auto"/>
        </w:rPr>
      </w:pPr>
      <w:r>
        <w:rPr>
          <w:rFonts w:ascii="Arial" w:cs="Arial" w:eastAsia="Arial" w:hAnsi="Arial"/>
          <w:sz w:val="18"/>
          <w:szCs w:val="18"/>
          <w:u w:val="single" w:color="auto"/>
          <w:color w:val="auto"/>
        </w:rPr>
        <w:t>Proposal 2 – Advisory Vote on Executive Compensation.</w:t>
      </w:r>
      <w:r>
        <w:rPr>
          <w:rFonts w:ascii="Arial" w:cs="Arial" w:eastAsia="Arial" w:hAnsi="Arial"/>
          <w:sz w:val="18"/>
          <w:szCs w:val="18"/>
          <w:color w:val="auto"/>
        </w:rPr>
        <w:t xml:space="preserve"> The Company’s stockholders approved, by an advisory vote, the compensation of its named executive officers.</w:t>
      </w: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1620" w:type="dxa"/>
            <w:vAlign w:val="bottom"/>
            <w:gridSpan w:val="2"/>
          </w:tcPr>
          <w:p>
            <w:pPr>
              <w:jc w:val="center"/>
              <w:ind w:right="1360"/>
              <w:spacing w:after="0"/>
              <w:rPr>
                <w:sz w:val="20"/>
                <w:szCs w:val="20"/>
                <w:color w:val="auto"/>
              </w:rPr>
            </w:pPr>
            <w:r>
              <w:rPr>
                <w:rFonts w:ascii="Arial" w:cs="Arial" w:eastAsia="Arial" w:hAnsi="Arial"/>
                <w:sz w:val="18"/>
                <w:szCs w:val="18"/>
                <w:color w:val="auto"/>
                <w:w w:val="96"/>
              </w:rPr>
              <w:t>For</w:t>
            </w:r>
          </w:p>
        </w:tc>
        <w:tc>
          <w:tcPr>
            <w:tcW w:w="276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Against</w:t>
            </w:r>
          </w:p>
        </w:tc>
        <w:tc>
          <w:tcPr>
            <w:tcW w:w="2700" w:type="dxa"/>
            <w:vAlign w:val="bottom"/>
            <w:gridSpan w:val="3"/>
          </w:tcPr>
          <w:p>
            <w:pPr>
              <w:jc w:val="center"/>
              <w:ind w:left="112"/>
              <w:spacing w:after="0"/>
              <w:rPr>
                <w:sz w:val="20"/>
                <w:szCs w:val="20"/>
                <w:color w:val="auto"/>
              </w:rPr>
            </w:pPr>
            <w:r>
              <w:rPr>
                <w:rFonts w:ascii="Arial" w:cs="Arial" w:eastAsia="Arial" w:hAnsi="Arial"/>
                <w:sz w:val="18"/>
                <w:szCs w:val="18"/>
                <w:color w:val="auto"/>
                <w:w w:val="96"/>
              </w:rPr>
              <w:t>Abstain</w:t>
            </w:r>
          </w:p>
        </w:tc>
        <w:tc>
          <w:tcPr>
            <w:tcW w:w="2660" w:type="dxa"/>
            <w:vAlign w:val="bottom"/>
            <w:gridSpan w:val="3"/>
          </w:tcPr>
          <w:p>
            <w:pPr>
              <w:jc w:val="center"/>
              <w:ind w:left="512"/>
              <w:spacing w:after="0"/>
              <w:rPr>
                <w:sz w:val="20"/>
                <w:szCs w:val="20"/>
                <w:color w:val="auto"/>
              </w:rPr>
            </w:pPr>
            <w:r>
              <w:rPr>
                <w:rFonts w:ascii="Arial" w:cs="Arial" w:eastAsia="Arial" w:hAnsi="Arial"/>
                <w:sz w:val="18"/>
                <w:szCs w:val="18"/>
                <w:color w:val="auto"/>
                <w:w w:val="96"/>
              </w:rPr>
              <w:t>Broker Non-Votes</w:t>
            </w:r>
          </w:p>
        </w:tc>
      </w:tr>
      <w:tr>
        <w:trPr>
          <w:trHeight w:val="30"/>
        </w:trPr>
        <w:tc>
          <w:tcPr>
            <w:tcW w:w="1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59"/>
        </w:trPr>
        <w:tc>
          <w:tcPr>
            <w:tcW w:w="28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170,670,199</w:t>
            </w:r>
          </w:p>
        </w:tc>
        <w:tc>
          <w:tcPr>
            <w:tcW w:w="276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935,936</w:t>
            </w:r>
          </w:p>
        </w:tc>
        <w:tc>
          <w:tcPr>
            <w:tcW w:w="27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147,872</w:t>
            </w:r>
          </w:p>
        </w:tc>
        <w:tc>
          <w:tcPr>
            <w:tcW w:w="2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7,131,823</w:t>
            </w:r>
          </w:p>
        </w:tc>
        <w:tc>
          <w:tcPr>
            <w:tcW w:w="3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322" w:lineRule="exact"/>
        <w:rPr>
          <w:sz w:val="20"/>
          <w:szCs w:val="20"/>
          <w:color w:val="auto"/>
        </w:rPr>
      </w:pPr>
    </w:p>
    <w:p>
      <w:pPr>
        <w:ind w:right="520" w:firstLine="403"/>
        <w:spacing w:after="0" w:line="255" w:lineRule="auto"/>
        <w:rPr>
          <w:sz w:val="20"/>
          <w:szCs w:val="20"/>
          <w:color w:val="auto"/>
        </w:rPr>
      </w:pPr>
      <w:r>
        <w:rPr>
          <w:rFonts w:ascii="Arial" w:cs="Arial" w:eastAsia="Arial" w:hAnsi="Arial"/>
          <w:sz w:val="18"/>
          <w:szCs w:val="18"/>
          <w:u w:val="single" w:color="auto"/>
          <w:color w:val="auto"/>
        </w:rPr>
        <w:t>Proposal 3 – Ratification of the Appointment of KPMG LLP</w:t>
      </w:r>
      <w:r>
        <w:rPr>
          <w:rFonts w:ascii="Arial" w:cs="Arial" w:eastAsia="Arial" w:hAnsi="Arial"/>
          <w:sz w:val="18"/>
          <w:szCs w:val="18"/>
          <w:color w:val="auto"/>
        </w:rPr>
        <w:t>. The Company’s stockholders ratified the appointment of KPMG LLP as the Company’s independent registered public accounting firm for the year ending December 31, 2026.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80" w:type="dxa"/>
            <w:vAlign w:val="bottom"/>
            <w:gridSpan w:val="2"/>
          </w:tcPr>
          <w:p>
            <w:pPr>
              <w:jc w:val="center"/>
              <w:ind w:right="1320"/>
              <w:spacing w:after="0"/>
              <w:rPr>
                <w:sz w:val="20"/>
                <w:szCs w:val="20"/>
                <w:color w:val="auto"/>
              </w:rPr>
            </w:pPr>
            <w:r>
              <w:rPr>
                <w:rFonts w:ascii="Arial" w:cs="Arial" w:eastAsia="Arial" w:hAnsi="Arial"/>
                <w:sz w:val="18"/>
                <w:szCs w:val="18"/>
                <w:color w:val="auto"/>
                <w:w w:val="96"/>
              </w:rPr>
              <w:t>For</w:t>
            </w:r>
          </w:p>
        </w:tc>
        <w:tc>
          <w:tcPr>
            <w:tcW w:w="2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Against</w:t>
            </w:r>
          </w:p>
        </w:tc>
        <w:tc>
          <w:tcPr>
            <w:tcW w:w="2660" w:type="dxa"/>
            <w:vAlign w:val="bottom"/>
            <w:gridSpan w:val="3"/>
          </w:tcPr>
          <w:p>
            <w:pPr>
              <w:jc w:val="center"/>
              <w:ind w:left="72"/>
              <w:spacing w:after="0"/>
              <w:rPr>
                <w:sz w:val="20"/>
                <w:szCs w:val="20"/>
                <w:color w:val="auto"/>
              </w:rPr>
            </w:pPr>
            <w:r>
              <w:rPr>
                <w:rFonts w:ascii="Arial" w:cs="Arial" w:eastAsia="Arial" w:hAnsi="Arial"/>
                <w:sz w:val="18"/>
                <w:szCs w:val="18"/>
                <w:color w:val="auto"/>
                <w:w w:val="96"/>
              </w:rPr>
              <w:t>Abstain</w:t>
            </w:r>
          </w:p>
        </w:tc>
        <w:tc>
          <w:tcPr>
            <w:tcW w:w="2560" w:type="dxa"/>
            <w:vAlign w:val="bottom"/>
            <w:gridSpan w:val="3"/>
          </w:tcPr>
          <w:p>
            <w:pPr>
              <w:jc w:val="center"/>
              <w:ind w:left="612"/>
              <w:spacing w:after="0"/>
              <w:rPr>
                <w:sz w:val="20"/>
                <w:szCs w:val="20"/>
                <w:color w:val="auto"/>
              </w:rPr>
            </w:pPr>
            <w:r>
              <w:rPr>
                <w:rFonts w:ascii="Arial" w:cs="Arial" w:eastAsia="Arial" w:hAnsi="Arial"/>
                <w:sz w:val="18"/>
                <w:szCs w:val="18"/>
                <w:color w:val="auto"/>
                <w:w w:val="96"/>
              </w:rPr>
              <w:t>Broker Non-Votes</w:t>
            </w:r>
          </w:p>
        </w:tc>
        <w:tc>
          <w:tcPr>
            <w:tcW w:w="10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420" w:type="dxa"/>
            <w:vAlign w:val="bottom"/>
          </w:tcPr>
          <w:p>
            <w:pPr>
              <w:spacing w:after="0"/>
              <w:rPr>
                <w:sz w:val="23"/>
                <w:szCs w:val="23"/>
                <w:color w:val="auto"/>
              </w:rPr>
            </w:pPr>
          </w:p>
        </w:tc>
        <w:tc>
          <w:tcPr>
            <w:tcW w:w="27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177,679,238</w:t>
            </w:r>
          </w:p>
        </w:tc>
        <w:tc>
          <w:tcPr>
            <w:tcW w:w="28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1,027,672</w:t>
            </w:r>
          </w:p>
        </w:tc>
        <w:tc>
          <w:tcPr>
            <w:tcW w:w="26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178,920</w:t>
            </w:r>
          </w:p>
        </w:tc>
        <w:tc>
          <w:tcPr>
            <w:tcW w:w="9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r>
      <w:tr>
        <w:trPr>
          <w:trHeight w:val="1229"/>
        </w:trPr>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2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t>SIGNATURES</w:t>
      </w:r>
    </w:p>
    <w:p>
      <w:pPr>
        <w:spacing w:after="0" w:line="3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SLM CORPORATION</w:t>
      </w:r>
    </w:p>
    <w:p>
      <w:pPr>
        <w:spacing w:after="0" w:line="281" w:lineRule="exact"/>
        <w:rPr>
          <w:sz w:val="20"/>
          <w:szCs w:val="20"/>
          <w:color w:val="auto"/>
        </w:rPr>
      </w:pPr>
    </w:p>
    <w:p>
      <w:pPr>
        <w:ind w:left="320"/>
        <w:spacing w:after="0"/>
        <w:tabs>
          <w:tab w:leader="none" w:pos="5780" w:val="left"/>
        </w:tabs>
        <w:rPr>
          <w:sz w:val="20"/>
          <w:szCs w:val="20"/>
          <w:color w:val="auto"/>
        </w:rPr>
      </w:pPr>
      <w:r>
        <w:rPr>
          <w:rFonts w:ascii="Arial" w:cs="Arial" w:eastAsia="Arial" w:hAnsi="Arial"/>
          <w:sz w:val="18"/>
          <w:szCs w:val="18"/>
          <w:color w:val="auto"/>
        </w:rPr>
        <w:t>Date: June 18, 2026</w:t>
      </w:r>
      <w:r>
        <w:rPr>
          <w:sz w:val="20"/>
          <w:szCs w:val="20"/>
          <w:color w:val="auto"/>
        </w:rPr>
        <w:tab/>
      </w:r>
      <w:r>
        <w:rPr>
          <w:rFonts w:ascii="Arial" w:cs="Arial" w:eastAsia="Arial" w:hAnsi="Arial"/>
          <w:sz w:val="16"/>
          <w:szCs w:val="16"/>
          <w:color w:val="auto"/>
        </w:rPr>
        <w:t>By: /s/ Nicolas Jafarieh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12700</wp:posOffset>
            </wp:positionV>
            <wp:extent cx="3096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Nicolas Jafarieh</w:t>
      </w:r>
    </w:p>
    <w:p>
      <w:pPr>
        <w:ind w:left="6080"/>
        <w:spacing w:after="0" w:line="235" w:lineRule="auto"/>
        <w:rPr>
          <w:sz w:val="20"/>
          <w:szCs w:val="20"/>
          <w:color w:val="auto"/>
        </w:rPr>
      </w:pPr>
      <w:r>
        <w:rPr>
          <w:rFonts w:ascii="Arial" w:cs="Arial" w:eastAsia="Arial" w:hAnsi="Arial"/>
          <w:sz w:val="18"/>
          <w:szCs w:val="18"/>
          <w:color w:val="auto"/>
        </w:rPr>
        <w:t>Executive Vice President and Chief Legal, Government</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Affairs, and Communications Officer</w:t>
      </w:r>
    </w:p>
    <w:sectPr>
      <w:pgSz w:w="11900" w:h="16838" w:orient="portrait"/>
      <w:cols w:equalWidth="0" w:num="1">
        <w:col w:w="11240"/>
      </w:cols>
      <w:pgMar w:left="320" w:top="12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2026-06-18T15:39:44Z</dcterms:created>
  <dcterms:modified xsi:type="dcterms:W3CDTF">2026-06-18T15:39:44Z</dcterms:modified>
</cp:coreProperties>
</file>