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color w:val="000000"/>
        </w:rPr>
      </w:pPr>
      <w:r>
        <w:rPr>
          <w:color w:val="000000"/>
        </w:rPr>
        <w:t> </w:t>
      </w:r>
    </w:p>
    <w:p>
      <w:pPr>
        <w:pStyle w:val="TextBody"/>
        <w:bidi w:val="0"/>
        <w:spacing w:lineRule="auto" w:line="288" w:before="20" w:after="283"/>
        <w:jc w:val="center"/>
        <w:rPr>
          <w:color w:val="000000"/>
        </w:rPr>
      </w:pPr>
      <w:r>
        <w:rPr>
          <w:color w:val="000000"/>
        </w:rPr>
        <w:t> </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UNITED STATES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Form 10-Q</w:t>
      </w:r>
    </w:p>
    <w:p>
      <w:pPr>
        <w:pStyle w:val="TextBody"/>
        <w:bidi w:val="0"/>
        <w:spacing w:before="0" w:after="0"/>
        <w:jc w:val="center"/>
        <w:rPr/>
      </w:pPr>
      <w:r>
        <w:rPr/>
      </w:r>
    </w:p>
    <w:p>
      <w:pPr>
        <w:pStyle w:val="TextBody"/>
        <w:bidi w:val="0"/>
        <w:spacing w:lineRule="auto" w:line="288" w:before="20" w:after="283"/>
        <w:jc w:val="center"/>
        <w:rPr>
          <w:color w:val="000000"/>
        </w:rPr>
      </w:pPr>
      <w:r>
        <w:rPr>
          <w:color w:val="000000"/>
        </w:rPr>
        <w:t> </w:t>
      </w:r>
    </w:p>
    <w:p>
      <w:pPr>
        <w:pStyle w:val="TextBody"/>
        <w:bidi w:val="0"/>
        <w:spacing w:lineRule="auto" w:line="288" w:before="90" w:after="283"/>
        <w:jc w:val="left"/>
        <w:rPr>
          <w:rFonts w:ascii="Arial;sans-serif" w:hAnsi="Arial;sans-serif"/>
          <w:b/>
          <w:color w:val="000000"/>
          <w:sz w:val="20"/>
        </w:rPr>
      </w:pPr>
      <w:r>
        <w:rPr>
          <w:rFonts w:ascii="Arial;sans-serif" w:hAnsi="Arial;sans-serif"/>
          <w:b/>
          <w:color w:val="000000"/>
          <w:sz w:val="20"/>
        </w:rPr>
        <w:t xml:space="preserve">(Mark One) </w:t>
      </w:r>
    </w:p>
    <w:p>
      <w:pPr>
        <w:pStyle w:val="TextBody"/>
        <w:bidi w:val="0"/>
        <w:spacing w:lineRule="auto" w:line="288" w:before="90" w:after="283"/>
        <w:ind w:left="0" w:right="0" w:hanging="450"/>
        <w:jc w:val="left"/>
        <w:rPr/>
      </w:pPr>
      <w:r>
        <w:rPr>
          <w:color w:val="000000"/>
        </w:rPr>
        <w:t>☑    </w:t>
      </w:r>
      <w:r>
        <w:rPr>
          <w:rFonts w:ascii="Arial;sans-serif" w:hAnsi="Arial;sans-serif"/>
          <w:b/>
          <w:color w:val="000000"/>
          <w:sz w:val="18"/>
        </w:rPr>
        <w:t xml:space="preserve">QUARTERLY REPORT PURSUANT TO SECTION 13 OR 15(d) OF THE SECURITIES EXCHANGE ACT OF 1934 </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For the quarterly period ended September 30, 2026 </w:t>
      </w:r>
    </w:p>
    <w:p>
      <w:pPr>
        <w:pStyle w:val="TextBody"/>
        <w:bidi w:val="0"/>
        <w:spacing w:lineRule="auto" w:line="288" w:before="180" w:after="283"/>
        <w:jc w:val="center"/>
        <w:rPr/>
      </w:pPr>
      <w:r>
        <w:rPr>
          <w:rFonts w:ascii="Arial;sans-serif" w:hAnsi="Arial;sans-serif"/>
          <w:b/>
          <w:color w:val="000000"/>
          <w:sz w:val="18"/>
        </w:rPr>
        <w:t>or</w:t>
      </w:r>
      <w:r>
        <w:rPr>
          <w:color w:val="000000"/>
        </w:rPr>
        <w:t xml:space="preserve"> </w:t>
      </w:r>
    </w:p>
    <w:p>
      <w:pPr>
        <w:pStyle w:val="TextBody"/>
        <w:bidi w:val="0"/>
        <w:spacing w:lineRule="auto" w:line="288" w:before="180" w:after="283"/>
        <w:ind w:left="0" w:right="0" w:hanging="450"/>
        <w:jc w:val="left"/>
        <w:rPr/>
      </w:pPr>
      <w:r>
        <w:rPr>
          <w:color w:val="000000"/>
        </w:rPr>
        <w:t>☐    </w:t>
      </w:r>
      <w:r>
        <w:rPr>
          <w:rFonts w:ascii="Arial;sans-serif" w:hAnsi="Arial;sans-serif"/>
          <w:b/>
          <w:color w:val="000000"/>
          <w:sz w:val="18"/>
        </w:rPr>
        <w:t xml:space="preserve">TRANSITION REPORT PURSUANT TO SECTION 13 OR 15(d) OF THE SECURITIES EXCHANGE ACT OF 1934 </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For the transition period from              to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Commission File Number: 001-13251 </w:t>
      </w:r>
    </w:p>
    <w:p>
      <w:pPr>
        <w:pStyle w:val="TextBody"/>
        <w:bidi w:val="0"/>
        <w:spacing w:lineRule="auto" w:line="288" w:before="20" w:after="283"/>
        <w:jc w:val="center"/>
        <w:rPr>
          <w:color w:val="000000"/>
        </w:rPr>
      </w:pPr>
      <w:r>
        <w:rPr>
          <w:color w:val="000000"/>
        </w:rPr>
        <w:t> </w:t>
      </w:r>
    </w:p>
    <w:p>
      <w:pPr>
        <w:pStyle w:val="TextBody"/>
        <w:bidi w:val="0"/>
        <w:spacing w:lineRule="auto" w:line="288" w:before="40" w:after="283"/>
        <w:jc w:val="center"/>
        <w:rPr>
          <w:rFonts w:ascii="Arial;sans-serif" w:hAnsi="Arial;sans-serif"/>
          <w:b/>
          <w:color w:val="000000"/>
          <w:sz w:val="32"/>
        </w:rPr>
      </w:pPr>
      <w:r>
        <w:rPr>
          <w:rFonts w:ascii="Arial;sans-serif" w:hAnsi="Arial;sans-serif"/>
          <w:b/>
          <w:color w:val="000000"/>
          <w:sz w:val="32"/>
        </w:rPr>
        <w:t xml:space="preserve">SLM Corporation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(Exact name of registrant as specified in its charter) </w:t>
      </w:r>
    </w:p>
    <w:p>
      <w:pPr>
        <w:pStyle w:val="TextBody"/>
        <w:bidi w:val="0"/>
        <w:spacing w:lineRule="auto" w:line="288" w:before="20" w:after="283"/>
        <w:jc w:val="center"/>
        <w:rPr>
          <w:color w:val="000000"/>
        </w:rPr>
      </w:pPr>
      <w:r>
        <w:rPr>
          <w:color w:val="000000"/>
        </w:rPr>
        <w:t> </w:t>
      </w:r>
    </w:p>
    <w:tbl>
      <w:tblPr>
        <w:tblW w:w="5669" w:type="dxa"/>
        <w:jc w:val="center"/>
        <w:tblInd w:w="0" w:type="dxa"/>
        <w:tblLayout w:type="fixed"/>
        <w:tblCellMar>
          <w:top w:w="28" w:type="dxa"/>
          <w:left w:w="28" w:type="dxa"/>
          <w:bottom w:w="28" w:type="dxa"/>
          <w:right w:w="28" w:type="dxa"/>
        </w:tblCellMar>
      </w:tblPr>
      <w:tblGrid>
        <w:gridCol w:w="960"/>
        <w:gridCol w:w="843"/>
        <w:gridCol w:w="851"/>
        <w:gridCol w:w="269"/>
        <w:gridCol w:w="269"/>
        <w:gridCol w:w="271"/>
        <w:gridCol w:w="305"/>
        <w:gridCol w:w="305"/>
        <w:gridCol w:w="306"/>
        <w:gridCol w:w="377"/>
        <w:gridCol w:w="377"/>
        <w:gridCol w:w="536"/>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1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52-2013874</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1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300 Continental Drive</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Newark,</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19713</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(Address of principal executive offices)</w:t>
            </w:r>
          </w:p>
        </w:tc>
        <w:tc>
          <w:tcPr>
            <w:tcW w:w="1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(302) 451-4911 </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(Registrant’s telephone number, including area code) </w:t>
      </w:r>
    </w:p>
    <w:p>
      <w:pPr>
        <w:pStyle w:val="TextBody"/>
        <w:bidi w:val="0"/>
        <w:spacing w:lineRule="auto" w:line="288" w:before="90" w:after="283"/>
        <w:jc w:val="center"/>
        <w:rPr>
          <w:rFonts w:ascii="Arial;sans-serif" w:hAnsi="Arial;sans-serif"/>
          <w:b/>
          <w:color w:val="000000"/>
          <w:sz w:val="14"/>
        </w:rPr>
      </w:pPr>
      <w:r>
        <w:rPr>
          <w:rFonts w:ascii="Arial;sans-serif" w:hAnsi="Arial;sans-serif"/>
          <w:b/>
          <w:color w:val="000000"/>
          <w:sz w:val="14"/>
        </w:rPr>
        <w:t xml:space="preserve">(Former name, former address and former fiscal year, if changed since last report) </w:t>
      </w:r>
    </w:p>
    <w:p>
      <w:pPr>
        <w:pStyle w:val="TextBody"/>
        <w:bidi w:val="0"/>
        <w:spacing w:lineRule="auto" w:line="345" w:before="100" w:after="10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087"/>
        <w:gridCol w:w="1765"/>
        <w:gridCol w:w="1788"/>
        <w:gridCol w:w="461"/>
        <w:gridCol w:w="461"/>
        <w:gridCol w:w="463"/>
        <w:gridCol w:w="928"/>
        <w:gridCol w:w="928"/>
        <w:gridCol w:w="1324"/>
      </w:tblGrid>
      <w:tr>
        <w:trPr/>
        <w:tc>
          <w:tcPr>
            <w:tcW w:w="208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38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1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5640" w:type="dxa"/>
            <w:gridSpan w:val="3"/>
            <w:tcBorders>
              <w:top w:val="single" w:sz="16"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$.20 per share</w:t>
            </w:r>
          </w:p>
        </w:tc>
        <w:tc>
          <w:tcPr>
            <w:tcW w:w="1385" w:type="dxa"/>
            <w:gridSpan w:val="3"/>
            <w:tcBorders>
              <w:top w:val="single" w:sz="16"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SLM</w:t>
            </w:r>
          </w:p>
        </w:tc>
        <w:tc>
          <w:tcPr>
            <w:tcW w:w="3180" w:type="dxa"/>
            <w:gridSpan w:val="3"/>
            <w:tcBorders>
              <w:top w:val="single" w:sz="16"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r>
        <w:trPr/>
        <w:tc>
          <w:tcPr>
            <w:tcW w:w="5640" w:type="dxa"/>
            <w:gridSpan w:val="3"/>
            <w:tcBorders>
              <w:top w:val="single" w:sz="16" w:space="0" w:color="000000"/>
              <w:left w:val="single" w:sz="8" w:space="0" w:color="000000"/>
              <w:bottom w:val="single" w:sz="16"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Floating Rate Non-Cumulative Preferred Stock, Series B, par value $.20 per share</w:t>
            </w:r>
          </w:p>
        </w:tc>
        <w:tc>
          <w:tcPr>
            <w:tcW w:w="1385" w:type="dxa"/>
            <w:gridSpan w:val="3"/>
            <w:tcBorders>
              <w:top w:val="single" w:sz="16" w:space="0" w:color="000000"/>
              <w:left w:val="single" w:sz="8" w:space="0" w:color="000000"/>
              <w:bottom w:val="single" w:sz="16"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SLMBP</w:t>
            </w:r>
          </w:p>
        </w:tc>
        <w:tc>
          <w:tcPr>
            <w:tcW w:w="3180" w:type="dxa"/>
            <w:gridSpan w:val="3"/>
            <w:tcBorders>
              <w:top w:val="single" w:sz="16" w:space="0" w:color="000000"/>
              <w:left w:val="single" w:sz="8" w:space="0" w:color="000000"/>
              <w:bottom w:val="single" w:sz="16"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288" w:before="90" w:after="283"/>
        <w:ind w:left="0" w:right="0" w:firstLine="495"/>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120" w:after="283"/>
        <w:ind w:left="0" w:right="0" w:firstLine="495"/>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color w:val="000000"/>
        </w:rPr>
        <w:t xml:space="preserve">☐ </w:t>
      </w:r>
    </w:p>
    <w:p>
      <w:pPr>
        <w:pStyle w:val="TextBody"/>
        <w:bidi w:val="0"/>
        <w:spacing w:lineRule="auto" w:line="288" w:before="180" w:after="283"/>
        <w:ind w:left="0" w:right="0" w:firstLine="495"/>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center"/>
        <w:rPr>
          <w:color w:val="000000"/>
        </w:rPr>
      </w:pPr>
      <w:r>
        <w:rPr>
          <w:color w:val="000000"/>
        </w:rPr>
        <w:t> </w:t>
      </w:r>
    </w:p>
    <w:tbl>
      <w:tblPr>
        <w:tblW w:w="8259" w:type="dxa"/>
        <w:jc w:val="center"/>
        <w:tblInd w:w="0" w:type="dxa"/>
        <w:tblLayout w:type="fixed"/>
        <w:tblCellMar>
          <w:top w:w="28" w:type="dxa"/>
          <w:left w:w="28" w:type="dxa"/>
          <w:bottom w:w="28" w:type="dxa"/>
          <w:right w:w="28" w:type="dxa"/>
        </w:tblCellMar>
      </w:tblPr>
      <w:tblGrid>
        <w:gridCol w:w="749"/>
        <w:gridCol w:w="659"/>
        <w:gridCol w:w="662"/>
        <w:gridCol w:w="109"/>
        <w:gridCol w:w="109"/>
        <w:gridCol w:w="109"/>
        <w:gridCol w:w="1144"/>
        <w:gridCol w:w="1144"/>
        <w:gridCol w:w="1146"/>
        <w:gridCol w:w="684"/>
        <w:gridCol w:w="684"/>
        <w:gridCol w:w="688"/>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 not check if a smaller reporting company)</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495"/>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No </w:t>
      </w:r>
      <w:r>
        <w:rPr>
          <w:color w:val="000000"/>
        </w:rPr>
        <w:t xml:space="preserve">☑  </w:t>
      </w:r>
    </w:p>
    <w:p>
      <w:pPr>
        <w:pStyle w:val="TextBody"/>
        <w:bidi w:val="0"/>
        <w:spacing w:lineRule="auto" w:line="288" w:before="120" w:after="283"/>
        <w:ind w:left="0" w:right="0" w:firstLine="495"/>
        <w:jc w:val="left"/>
        <w:rPr>
          <w:rFonts w:ascii="Arial;sans-serif" w:hAnsi="Arial;sans-serif"/>
          <w:b w:val="false"/>
          <w:color w:val="000000"/>
          <w:sz w:val="16"/>
        </w:rPr>
      </w:pPr>
      <w:r>
        <w:rPr>
          <w:rFonts w:ascii="Arial;sans-serif" w:hAnsi="Arial;sans-serif"/>
          <w:b w:val="false"/>
          <w:color w:val="000000"/>
          <w:sz w:val="16"/>
        </w:rPr>
        <w:t>As of September 30, 2026, there were 182,821,173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SLM CORPORATION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FINANCIAL STATEMENTS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INDEX</w:t>
      </w:r>
    </w:p>
    <w:p>
      <w:pPr>
        <w:pStyle w:val="TextBody"/>
        <w:bidi w:val="0"/>
        <w:spacing w:before="0" w:after="0"/>
        <w:jc w:val="right"/>
        <w:rPr/>
      </w:pPr>
      <w:r>
        <w:rPr/>
      </w:r>
    </w:p>
    <w:tbl>
      <w:tblPr>
        <w:tblW w:w="10040" w:type="dxa"/>
        <w:jc w:val="center"/>
        <w:tblInd w:w="0" w:type="dxa"/>
        <w:tblLayout w:type="fixed"/>
        <w:tblCellMar>
          <w:top w:w="28" w:type="dxa"/>
          <w:left w:w="28" w:type="dxa"/>
          <w:bottom w:w="28" w:type="dxa"/>
          <w:right w:w="28" w:type="dxa"/>
        </w:tblCellMar>
      </w:tblPr>
      <w:tblGrid>
        <w:gridCol w:w="543"/>
        <w:gridCol w:w="477"/>
        <w:gridCol w:w="477"/>
        <w:gridCol w:w="2595"/>
        <w:gridCol w:w="2595"/>
        <w:gridCol w:w="2654"/>
        <w:gridCol w:w="109"/>
        <w:gridCol w:w="109"/>
        <w:gridCol w:w="109"/>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20"/>
              </w:rPr>
            </w:pPr>
            <w:r>
              <w:rPr>
                <w:rFonts w:ascii="Arial;sans-serif" w:hAnsi="Arial;sans-serif"/>
                <w:b/>
                <w:color w:val="144F82"/>
                <w:sz w:val="20"/>
              </w:rPr>
              <w:t xml:space="preserve">PART I. Financial Information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16">
              <w:r>
                <w:rPr>
                  <w:rStyle w:val="InternetLink"/>
                  <w:rFonts w:ascii="Arial;sans-serif" w:hAnsi="Arial;sans-serif"/>
                  <w:b w:val="false"/>
                  <w:color w:val="144F82"/>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16">
              <w:r>
                <w:rPr>
                  <w:rStyle w:val="InternetLink"/>
                  <w:rFonts w:ascii="Arial;sans-serif" w:hAnsi="Arial;sans-serif"/>
                  <w:b w:val="false"/>
                  <w:color w:val="144F82"/>
                  <w:sz w:val="20"/>
                  <w:u w:val="single"/>
                </w:rPr>
                <w:t>2</w:t>
              </w:r>
            </w:hyperlink>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34">
              <w:r>
                <w:rPr>
                  <w:rStyle w:val="InternetLink"/>
                  <w:rFonts w:ascii="Arial;sans-serif" w:hAnsi="Arial;sans-serif"/>
                  <w:b w:val="false"/>
                  <w:color w:val="144F82"/>
                  <w:sz w:val="20"/>
                  <w:u w:val="single"/>
                </w:rPr>
                <w:t>Notes to the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34">
              <w:r>
                <w:rPr>
                  <w:rStyle w:val="InternetLink"/>
                  <w:rFonts w:ascii="Arial;sans-serif" w:hAnsi="Arial;sans-serif"/>
                  <w:b w:val="false"/>
                  <w:color w:val="144F82"/>
                  <w:sz w:val="20"/>
                  <w:u w:val="single"/>
                </w:rPr>
                <w:t>11</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2.</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85">
              <w:r>
                <w:rPr>
                  <w:rStyle w:val="InternetLink"/>
                  <w:rFonts w:ascii="Arial;sans-serif" w:hAnsi="Arial;sans-serif"/>
                  <w:b w:val="false"/>
                  <w:color w:val="144F82"/>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85">
              <w:r>
                <w:rPr>
                  <w:rStyle w:val="InternetLink"/>
                  <w:rFonts w:ascii="Arial;sans-serif" w:hAnsi="Arial;sans-serif"/>
                  <w:b w:val="false"/>
                  <w:color w:val="144F82"/>
                  <w:sz w:val="20"/>
                  <w:u w:val="single"/>
                </w:rPr>
                <w:t>52</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3.</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91">
              <w:r>
                <w:rPr>
                  <w:rStyle w:val="InternetLink"/>
                  <w:rFonts w:ascii="Arial;sans-serif" w:hAnsi="Arial;sans-serif"/>
                  <w:b w:val="false"/>
                  <w:color w:val="144F82"/>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91">
              <w:r>
                <w:rPr>
                  <w:rStyle w:val="InternetLink"/>
                  <w:rFonts w:ascii="Arial;sans-serif" w:hAnsi="Arial;sans-serif"/>
                  <w:b w:val="false"/>
                  <w:color w:val="144F82"/>
                  <w:sz w:val="20"/>
                  <w:u w:val="single"/>
                </w:rPr>
                <w:t>80</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4.</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94">
              <w:r>
                <w:rPr>
                  <w:rStyle w:val="InternetLink"/>
                  <w:rFonts w:ascii="Arial;sans-serif" w:hAnsi="Arial;sans-serif"/>
                  <w:b w:val="false"/>
                  <w:color w:val="144F82"/>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94">
              <w:r>
                <w:rPr>
                  <w:rStyle w:val="InternetLink"/>
                  <w:rFonts w:ascii="Arial;sans-serif" w:hAnsi="Arial;sans-serif"/>
                  <w:b w:val="false"/>
                  <w:color w:val="144F82"/>
                  <w:sz w:val="20"/>
                  <w:u w:val="single"/>
                </w:rPr>
                <w:t>82</w:t>
              </w:r>
            </w:hyperlink>
          </w:p>
        </w:tc>
      </w:tr>
      <w:tr>
        <w:trPr/>
        <w:tc>
          <w:tcPr>
            <w:tcW w:w="9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20"/>
              </w:rPr>
            </w:pPr>
            <w:r>
              <w:rPr>
                <w:rFonts w:ascii="Arial;sans-serif" w:hAnsi="Arial;sans-serif"/>
                <w:b/>
                <w:color w:val="144F82"/>
                <w:sz w:val="20"/>
              </w:rPr>
              <w:t xml:space="preserve">PART II. Other Information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97">
              <w:r>
                <w:rPr>
                  <w:rStyle w:val="InternetLink"/>
                  <w:rFonts w:ascii="Arial;sans-serif" w:hAnsi="Arial;sans-serif"/>
                  <w:b w:val="false"/>
                  <w:color w:val="144F82"/>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97">
              <w:r>
                <w:rPr>
                  <w:rStyle w:val="InternetLink"/>
                  <w:rFonts w:ascii="Arial;sans-serif" w:hAnsi="Arial;sans-serif"/>
                  <w:b w:val="false"/>
                  <w:color w:val="144F82"/>
                  <w:sz w:val="20"/>
                  <w:u w:val="single"/>
                </w:rPr>
                <w:t>83</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1A.</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100">
              <w:r>
                <w:rPr>
                  <w:rStyle w:val="InternetLink"/>
                  <w:rFonts w:ascii="Arial;sans-serif" w:hAnsi="Arial;sans-serif"/>
                  <w:b w:val="false"/>
                  <w:color w:val="144F82"/>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100">
              <w:r>
                <w:rPr>
                  <w:rStyle w:val="InternetLink"/>
                  <w:rFonts w:ascii="Arial;sans-serif" w:hAnsi="Arial;sans-serif"/>
                  <w:b w:val="false"/>
                  <w:color w:val="144F82"/>
                  <w:sz w:val="20"/>
                  <w:u w:val="single"/>
                </w:rPr>
                <w:t>83</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2.</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103">
              <w:r>
                <w:rPr>
                  <w:rStyle w:val="InternetLink"/>
                  <w:rFonts w:ascii="Arial;sans-serif" w:hAnsi="Arial;sans-serif"/>
                  <w:b w:val="false"/>
                  <w:color w:val="144F82"/>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103">
              <w:r>
                <w:rPr>
                  <w:rStyle w:val="InternetLink"/>
                  <w:rFonts w:ascii="Arial;sans-serif" w:hAnsi="Arial;sans-serif"/>
                  <w:b w:val="false"/>
                  <w:color w:val="144F82"/>
                  <w:sz w:val="20"/>
                  <w:u w:val="single"/>
                </w:rPr>
                <w:t>83</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3.</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106">
              <w:r>
                <w:rPr>
                  <w:rStyle w:val="InternetLink"/>
                  <w:rFonts w:ascii="Arial;sans-serif" w:hAnsi="Arial;sans-serif"/>
                  <w:b w:val="false"/>
                  <w:color w:val="144F82"/>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106">
              <w:r>
                <w:rPr>
                  <w:rStyle w:val="InternetLink"/>
                  <w:rFonts w:ascii="Arial;sans-serif" w:hAnsi="Arial;sans-serif"/>
                  <w:b w:val="false"/>
                  <w:color w:val="144F82"/>
                  <w:sz w:val="20"/>
                  <w:u w:val="single"/>
                </w:rPr>
                <w:t>83</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4.</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106">
              <w:r>
                <w:rPr>
                  <w:rStyle w:val="InternetLink"/>
                  <w:rFonts w:ascii="Arial;sans-serif" w:hAnsi="Arial;sans-serif"/>
                  <w:b w:val="false"/>
                  <w:color w:val="144F82"/>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106">
              <w:r>
                <w:rPr>
                  <w:rStyle w:val="InternetLink"/>
                  <w:rFonts w:ascii="Arial;sans-serif" w:hAnsi="Arial;sans-serif"/>
                  <w:b w:val="false"/>
                  <w:color w:val="144F82"/>
                  <w:sz w:val="20"/>
                  <w:u w:val="single"/>
                </w:rPr>
                <w:t>83</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5.</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106">
              <w:r>
                <w:rPr>
                  <w:rStyle w:val="InternetLink"/>
                  <w:rFonts w:ascii="Arial;sans-serif" w:hAnsi="Arial;sans-serif"/>
                  <w:b w:val="false"/>
                  <w:color w:val="144F82"/>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112">
              <w:r>
                <w:rPr>
                  <w:rStyle w:val="InternetLink"/>
                  <w:rFonts w:ascii="Arial;sans-serif" w:hAnsi="Arial;sans-serif"/>
                  <w:b w:val="false"/>
                  <w:color w:val="144F82"/>
                  <w:sz w:val="20"/>
                  <w:u w:val="single"/>
                </w:rPr>
                <w:t>84</w:t>
              </w:r>
            </w:hyperlink>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20"/>
              </w:rPr>
            </w:pPr>
            <w:r>
              <w:rPr>
                <w:rFonts w:ascii="Arial;sans-serif" w:hAnsi="Arial;sans-serif"/>
                <w:b w:val="false"/>
                <w:color w:val="144F82"/>
                <w:sz w:val="20"/>
              </w:rPr>
              <w:t>Item 6.</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09b88a3921486981cc54637cb5c15f_112">
              <w:r>
                <w:rPr>
                  <w:rStyle w:val="InternetLink"/>
                  <w:rFonts w:ascii="Arial;sans-serif" w:hAnsi="Arial;sans-serif"/>
                  <w:b w:val="false"/>
                  <w:color w:val="144F82"/>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9b88a3921486981cc54637cb5c15f_112">
              <w:r>
                <w:rPr>
                  <w:rStyle w:val="InternetLink"/>
                  <w:rFonts w:ascii="Arial;sans-serif" w:hAnsi="Arial;sans-serif"/>
                  <w:b w:val="false"/>
                  <w:color w:val="144F82"/>
                  <w:sz w:val="20"/>
                  <w:u w:val="single"/>
                </w:rPr>
                <w:t>84</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426"/>
        <w:gridCol w:w="2133"/>
        <w:gridCol w:w="2143"/>
        <w:gridCol w:w="109"/>
        <w:gridCol w:w="109"/>
        <w:gridCol w:w="109"/>
        <w:gridCol w:w="211"/>
        <w:gridCol w:w="1081"/>
        <w:gridCol w:w="109"/>
        <w:gridCol w:w="109"/>
        <w:gridCol w:w="109"/>
        <w:gridCol w:w="109"/>
        <w:gridCol w:w="211"/>
        <w:gridCol w:w="1081"/>
        <w:gridCol w:w="156"/>
      </w:tblGrid>
      <w:tr>
        <w:trPr/>
        <w:tc>
          <w:tcPr>
            <w:tcW w:w="24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CONSOLIDATED BALANCE SHEETS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December 31,</w:t>
            </w:r>
          </w:p>
        </w:tc>
      </w:tr>
      <w:tr>
        <w:trPr/>
        <w:tc>
          <w:tcPr>
            <w:tcW w:w="6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6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Trading investments at fair value (cost of $37,326 and $37,606,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Available-for-sale investments at fair value (cost of $2,956,353 and $1,812,408,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104,119 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115,394 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2,992,536 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1,922,714 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Loans held for investment (net of allowance for losses of $1,449,614 and $1,430,318,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Restricted cash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273,771 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177,263 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1,680,595 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1,562,811 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acquired intangible assets,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57,912 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47,315 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29,840,996 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29,746,295 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20,760,905 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21,060,151 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5,535,923 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liabilities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27,585,482 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27,294,937 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$0.20 per share, 20 million shares authorized: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B: 2.5 million and 2.5 million shares issued, respectively, at stated value of $100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251,070 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$0.20 per share, 1.125 billion shares authorized: 445.7 million and 443.2 million shares issued,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1,272,772 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1,240,250 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other comprehensive loss (net of tax benefit of ($27,386) and ($13,446),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4,981,149 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4,734,313 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SLM Corporation stockholders’ equity before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6,512,376 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6,274,155 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Common stock held in treasury at cost: 262.9 million and 244.0 million shares,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(4,256,862)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(3,822,797)</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2,255,514 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2,451,358 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liabilities and 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29,840,996 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29,746,295 </w:t>
            </w:r>
          </w:p>
        </w:tc>
        <w:tc>
          <w:tcPr>
            <w:tcW w:w="1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36"/>
        <w:gridCol w:w="1263"/>
        <w:gridCol w:w="1268"/>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43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CONSOLIDATED STATEMENTS OF OPERATIONS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(Dollars in thousands, except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Nine Months Ended </w:t>
              <w:br/>
              <w:t> September 30,</w:t>
            </w:r>
          </w:p>
        </w:tc>
      </w:tr>
      <w:tr>
        <w:trPr/>
        <w:tc>
          <w:tcPr>
            <w:tcW w:w="39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3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559,173 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593,734 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1,701,371 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1,790,110 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102,509 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136,915 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1,867,846 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1,970,436 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Interest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short-term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7,731 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277,160 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284,610 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820,292 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845,669 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1,047,554 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1,124,767 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provisions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213,675 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179,462 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327,872 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351,466 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 after provisions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773,301 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323,680 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securities,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(8,143)</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36,145 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172,702 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289,008 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405,522 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259,397 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 assessment fees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28,696 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220,067 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179,558 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584,724 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499,492 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assets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220,702 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180,404 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586,786 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502,257 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421,904 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676,566 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49,963 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164,904 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511,662 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11,922 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income (loss) attributable to SLM Corporation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499,740 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Basic earnings (loss) per common share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55"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185,566 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207,144 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189,831 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209,023 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Diluted earnings (loss) per common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55"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common and common equivalent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185,566 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192,111 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212,922 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Declared dividends per common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55"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58"/>
        <w:gridCol w:w="1285"/>
        <w:gridCol w:w="1265"/>
        <w:gridCol w:w="112"/>
        <w:gridCol w:w="112"/>
        <w:gridCol w:w="112"/>
        <w:gridCol w:w="218"/>
        <w:gridCol w:w="806"/>
        <w:gridCol w:w="112"/>
        <w:gridCol w:w="112"/>
        <w:gridCol w:w="112"/>
        <w:gridCol w:w="112"/>
        <w:gridCol w:w="218"/>
        <w:gridCol w:w="856"/>
        <w:gridCol w:w="112"/>
        <w:gridCol w:w="112"/>
        <w:gridCol w:w="112"/>
        <w:gridCol w:w="112"/>
        <w:gridCol w:w="218"/>
        <w:gridCol w:w="856"/>
        <w:gridCol w:w="112"/>
        <w:gridCol w:w="112"/>
        <w:gridCol w:w="112"/>
        <w:gridCol w:w="112"/>
        <w:gridCol w:w="218"/>
        <w:gridCol w:w="856"/>
        <w:gridCol w:w="171"/>
      </w:tblGrid>
      <w:tr>
        <w:trPr/>
        <w:tc>
          <w:tcPr>
            <w:tcW w:w="155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CONSOLIDATED STATEMENTS OF COMPREHENSIVE INCOME (Unaudited)</w:t>
            </w:r>
          </w:p>
        </w:tc>
      </w:tr>
      <w:tr>
        <w:trPr/>
        <w:tc>
          <w:tcPr>
            <w:tcW w:w="410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(Dollars in thousands)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September 30,</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Nine Months Ended </w:t>
              <w:br/>
              <w:t> September 30,</w:t>
            </w:r>
          </w:p>
        </w:tc>
      </w:tr>
      <w:tr>
        <w:trPr/>
        <w:tc>
          <w:tcPr>
            <w:tcW w:w="410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4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income (loss)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(32,261)</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135,850 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334,218 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511,662 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gains on investments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cash flow hedges</w:t>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(5,543)</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(16,296)</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unrealized (losses) gains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(50,684)</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(55,569)</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26,779 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12,717 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(5,246)</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13,940 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(6,085)</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 benefit (expense)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(37,967)</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(41,629)</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comprehensive income (loss)</w:t>
            </w:r>
          </w:p>
        </w:tc>
        <w:tc>
          <w:tcPr>
            <w:tcW w:w="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(70,228)</w:t>
            </w:r>
          </w:p>
        </w:tc>
        <w:tc>
          <w:tcPr>
            <w:tcW w:w="11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151,516 </w:t>
            </w:r>
          </w:p>
        </w:tc>
        <w:tc>
          <w:tcPr>
            <w:tcW w:w="11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292,589 </w:t>
            </w:r>
          </w:p>
        </w:tc>
        <w:tc>
          <w:tcPr>
            <w:tcW w:w="11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532,356 </w:t>
            </w:r>
          </w:p>
        </w:tc>
        <w:tc>
          <w:tcPr>
            <w:tcW w:w="17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7452" w:type="dxa"/>
        <w:jc w:val="center"/>
        <w:tblInd w:w="0" w:type="dxa"/>
        <w:tblLayout w:type="fixed"/>
        <w:tblCellMar>
          <w:top w:w="28" w:type="dxa"/>
          <w:left w:w="28" w:type="dxa"/>
          <w:bottom w:w="28" w:type="dxa"/>
          <w:right w:w="28" w:type="dxa"/>
        </w:tblCellMar>
      </w:tblPr>
      <w:tblGrid>
        <w:gridCol w:w="752"/>
        <w:gridCol w:w="266"/>
        <w:gridCol w:w="243"/>
        <w:gridCol w:w="109"/>
        <w:gridCol w:w="109"/>
        <w:gridCol w:w="109"/>
        <w:gridCol w:w="540"/>
        <w:gridCol w:w="331"/>
        <w:gridCol w:w="189"/>
        <w:gridCol w:w="109"/>
        <w:gridCol w:w="109"/>
        <w:gridCol w:w="109"/>
        <w:gridCol w:w="670"/>
        <w:gridCol w:w="381"/>
        <w:gridCol w:w="109"/>
        <w:gridCol w:w="109"/>
        <w:gridCol w:w="109"/>
        <w:gridCol w:w="109"/>
        <w:gridCol w:w="525"/>
        <w:gridCol w:w="526"/>
        <w:gridCol w:w="144"/>
        <w:gridCol w:w="109"/>
        <w:gridCol w:w="109"/>
        <w:gridCol w:w="109"/>
        <w:gridCol w:w="525"/>
        <w:gridCol w:w="526"/>
        <w:gridCol w:w="291"/>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225"/>
        <w:gridCol w:w="744"/>
        <w:gridCol w:w="127"/>
        <w:gridCol w:w="109"/>
        <w:gridCol w:w="109"/>
        <w:gridCol w:w="109"/>
        <w:gridCol w:w="196"/>
        <w:gridCol w:w="871"/>
        <w:gridCol w:w="109"/>
        <w:gridCol w:w="109"/>
        <w:gridCol w:w="109"/>
        <w:gridCol w:w="109"/>
        <w:gridCol w:w="196"/>
        <w:gridCol w:w="871"/>
        <w:gridCol w:w="109"/>
        <w:gridCol w:w="327"/>
        <w:gridCol w:w="196"/>
        <w:gridCol w:w="871"/>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CHANGES IN EQUITY (Unaudited)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 Equity</w:t>
            </w:r>
          </w:p>
        </w:tc>
      </w:tr>
      <w:tr>
        <w:trPr/>
        <w:tc>
          <w:tcPr>
            <w:tcW w:w="12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June 30, 2025</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442,958,366 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(234,476,986)</w:t>
            </w:r>
          </w:p>
        </w:tc>
        <w:tc>
          <w:tcPr>
            <w:tcW w:w="14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208,481,380 </w:t>
            </w:r>
          </w:p>
        </w:tc>
        <w:tc>
          <w:tcPr>
            <w:tcW w:w="29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88,592 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1,218,580 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(60,833)</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4,426,222 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(3,548,644)</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2,374,987 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135,850 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Other comprehensive income, net of tax</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15,666 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15,666 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151,516 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dividends declared: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Common stock ($0.13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(26,901)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Preferred Stock, Series B ($1.59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(3,994)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(3,994)</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222,665 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Stock-based compensation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8,936 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8,936 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(5,631,834)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(5,631,834)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(165,866)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(165,866)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Shares repurchased related to employee stock-based compensation plans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(33,562)</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(33,562)</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(1,081)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(1,081)</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443,181,031 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(240,142,382)</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203,038,649 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1,231,189 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(45,167)</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4,531,160 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(3,715,591)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2,341,298 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7452" w:type="dxa"/>
        <w:jc w:val="center"/>
        <w:tblInd w:w="0" w:type="dxa"/>
        <w:tblLayout w:type="fixed"/>
        <w:tblCellMar>
          <w:top w:w="28" w:type="dxa"/>
          <w:left w:w="28" w:type="dxa"/>
          <w:bottom w:w="28" w:type="dxa"/>
          <w:right w:w="28" w:type="dxa"/>
        </w:tblCellMar>
      </w:tblPr>
      <w:tblGrid>
        <w:gridCol w:w="752"/>
        <w:gridCol w:w="266"/>
        <w:gridCol w:w="243"/>
        <w:gridCol w:w="109"/>
        <w:gridCol w:w="109"/>
        <w:gridCol w:w="109"/>
        <w:gridCol w:w="540"/>
        <w:gridCol w:w="331"/>
        <w:gridCol w:w="189"/>
        <w:gridCol w:w="109"/>
        <w:gridCol w:w="109"/>
        <w:gridCol w:w="109"/>
        <w:gridCol w:w="670"/>
        <w:gridCol w:w="381"/>
        <w:gridCol w:w="109"/>
        <w:gridCol w:w="109"/>
        <w:gridCol w:w="109"/>
        <w:gridCol w:w="109"/>
        <w:gridCol w:w="525"/>
        <w:gridCol w:w="526"/>
        <w:gridCol w:w="144"/>
        <w:gridCol w:w="109"/>
        <w:gridCol w:w="109"/>
        <w:gridCol w:w="109"/>
        <w:gridCol w:w="525"/>
        <w:gridCol w:w="526"/>
        <w:gridCol w:w="291"/>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225"/>
        <w:gridCol w:w="744"/>
        <w:gridCol w:w="127"/>
        <w:gridCol w:w="109"/>
        <w:gridCol w:w="109"/>
        <w:gridCol w:w="109"/>
        <w:gridCol w:w="196"/>
        <w:gridCol w:w="871"/>
        <w:gridCol w:w="109"/>
        <w:gridCol w:w="109"/>
        <w:gridCol w:w="109"/>
        <w:gridCol w:w="109"/>
        <w:gridCol w:w="196"/>
        <w:gridCol w:w="871"/>
        <w:gridCol w:w="109"/>
        <w:gridCol w:w="327"/>
        <w:gridCol w:w="196"/>
        <w:gridCol w:w="871"/>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CHANGES IN EQUITY (Unaudited)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 Equity</w:t>
            </w:r>
          </w:p>
        </w:tc>
      </w:tr>
      <w:tr>
        <w:trPr/>
        <w:tc>
          <w:tcPr>
            <w:tcW w:w="12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June 30, 2026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445,678,961 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(257,732,003)</w:t>
            </w:r>
          </w:p>
        </w:tc>
        <w:tc>
          <w:tcPr>
            <w:tcW w:w="14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187,946,958 </w:t>
            </w:r>
          </w:p>
        </w:tc>
        <w:tc>
          <w:tcPr>
            <w:tcW w:w="29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89,136 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1,261,748 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(43,790)</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5,041,088 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(4,124,583)</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2,474,669 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Other comprehensive loss, net of tax</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(37,967)</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(37,967)</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(70,228)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dividends declared: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Common stock ($0.13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Preferred Stock, Series B ($1.45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(3,643)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(3,643)</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28,229 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Stock-based compensation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11,128 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11,128 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(5,146,111)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(5,146,111)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Shares repurchased related to employee stock-based compensation plans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(7,903)</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(7,903)</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445,707,190 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(262,886,017)</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182,821,173 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1,272,772 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(81,757)</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4,981,149 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(4,256,862)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2,255,514 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w:t>
                      </w:r>
                    </w:p>
                  </w:txbxContent>
                </v:textbox>
                <w10:wrap type="none"/>
              </v:rect>
            </w:pict>
          </mc:Fallback>
        </mc:AlternateContent>
      </w:r>
    </w:p>
    <w:p>
      <w:pPr>
        <w:pStyle w:val="TextBody"/>
        <w:bidi w:val="0"/>
        <w:spacing w:before="0" w:after="0"/>
        <w:jc w:val="left"/>
        <w:rPr/>
      </w:pPr>
      <w:r>
        <w:rPr/>
      </w:r>
    </w:p>
    <w:tbl>
      <w:tblPr>
        <w:tblW w:w="17452" w:type="dxa"/>
        <w:jc w:val="center"/>
        <w:tblInd w:w="0" w:type="dxa"/>
        <w:tblLayout w:type="fixed"/>
        <w:tblCellMar>
          <w:top w:w="28" w:type="dxa"/>
          <w:left w:w="28" w:type="dxa"/>
          <w:bottom w:w="28" w:type="dxa"/>
          <w:right w:w="28" w:type="dxa"/>
        </w:tblCellMar>
      </w:tblPr>
      <w:tblGrid>
        <w:gridCol w:w="752"/>
        <w:gridCol w:w="266"/>
        <w:gridCol w:w="243"/>
        <w:gridCol w:w="109"/>
        <w:gridCol w:w="109"/>
        <w:gridCol w:w="109"/>
        <w:gridCol w:w="540"/>
        <w:gridCol w:w="331"/>
        <w:gridCol w:w="189"/>
        <w:gridCol w:w="109"/>
        <w:gridCol w:w="109"/>
        <w:gridCol w:w="109"/>
        <w:gridCol w:w="670"/>
        <w:gridCol w:w="381"/>
        <w:gridCol w:w="109"/>
        <w:gridCol w:w="109"/>
        <w:gridCol w:w="109"/>
        <w:gridCol w:w="109"/>
        <w:gridCol w:w="525"/>
        <w:gridCol w:w="526"/>
        <w:gridCol w:w="144"/>
        <w:gridCol w:w="109"/>
        <w:gridCol w:w="109"/>
        <w:gridCol w:w="109"/>
        <w:gridCol w:w="525"/>
        <w:gridCol w:w="526"/>
        <w:gridCol w:w="291"/>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225"/>
        <w:gridCol w:w="744"/>
        <w:gridCol w:w="127"/>
        <w:gridCol w:w="109"/>
        <w:gridCol w:w="109"/>
        <w:gridCol w:w="109"/>
        <w:gridCol w:w="196"/>
        <w:gridCol w:w="871"/>
        <w:gridCol w:w="109"/>
        <w:gridCol w:w="109"/>
        <w:gridCol w:w="109"/>
        <w:gridCol w:w="109"/>
        <w:gridCol w:w="196"/>
        <w:gridCol w:w="871"/>
        <w:gridCol w:w="109"/>
        <w:gridCol w:w="327"/>
        <w:gridCol w:w="196"/>
        <w:gridCol w:w="871"/>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CHANGES IN EQUITY (Unaudited)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 Equity</w:t>
            </w:r>
          </w:p>
        </w:tc>
      </w:tr>
      <w:tr>
        <w:trPr/>
        <w:tc>
          <w:tcPr>
            <w:tcW w:w="12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December 31, 2024</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440,604,795 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(230,222,501)</w:t>
            </w:r>
          </w:p>
        </w:tc>
        <w:tc>
          <w:tcPr>
            <w:tcW w:w="14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210,382,294 </w:t>
            </w:r>
          </w:p>
        </w:tc>
        <w:tc>
          <w:tcPr>
            <w:tcW w:w="29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88,121 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1,193,753 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(65,861)</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4,114,446 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(3,421,609)</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2,159,920 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511,662 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Other comprehensive income, net of tax</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20,694 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20,694 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532,356 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dividends declared: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Common stock ($0.39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Preferred Stock, Series B ($4.75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(11,922)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(11,922)</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2,576,236 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2,576,236 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Stock-based compensation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31,543 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31,543 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(9,035,581)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(9,035,581)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(266,346)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(266,346)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Shares repurchased related to employee stock-based compensation plans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(884,300)</w:t>
            </w:r>
          </w:p>
        </w:tc>
        <w:tc>
          <w:tcPr>
            <w:tcW w:w="1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(884,300)</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(27,636)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(27,636)</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443,181,031 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(240,142,382)</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203,038,649 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88,637 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1,231,189 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(45,167)</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4,531,160 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(3,715,591)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2,341,298 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7589" w:type="dxa"/>
        <w:jc w:val="center"/>
        <w:tblInd w:w="0" w:type="dxa"/>
        <w:tblLayout w:type="fixed"/>
        <w:tblCellMar>
          <w:top w:w="28" w:type="dxa"/>
          <w:left w:w="28" w:type="dxa"/>
          <w:bottom w:w="28" w:type="dxa"/>
          <w:right w:w="28" w:type="dxa"/>
        </w:tblCellMar>
      </w:tblPr>
      <w:tblGrid>
        <w:gridCol w:w="744"/>
        <w:gridCol w:w="258"/>
        <w:gridCol w:w="259"/>
        <w:gridCol w:w="109"/>
        <w:gridCol w:w="109"/>
        <w:gridCol w:w="109"/>
        <w:gridCol w:w="539"/>
        <w:gridCol w:w="332"/>
        <w:gridCol w:w="241"/>
        <w:gridCol w:w="109"/>
        <w:gridCol w:w="109"/>
        <w:gridCol w:w="109"/>
        <w:gridCol w:w="525"/>
        <w:gridCol w:w="526"/>
        <w:gridCol w:w="112"/>
        <w:gridCol w:w="109"/>
        <w:gridCol w:w="109"/>
        <w:gridCol w:w="109"/>
        <w:gridCol w:w="525"/>
        <w:gridCol w:w="526"/>
        <w:gridCol w:w="226"/>
        <w:gridCol w:w="109"/>
        <w:gridCol w:w="109"/>
        <w:gridCol w:w="109"/>
        <w:gridCol w:w="525"/>
        <w:gridCol w:w="526"/>
        <w:gridCol w:w="291"/>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225"/>
        <w:gridCol w:w="744"/>
        <w:gridCol w:w="127"/>
        <w:gridCol w:w="109"/>
        <w:gridCol w:w="109"/>
        <w:gridCol w:w="109"/>
        <w:gridCol w:w="196"/>
        <w:gridCol w:w="871"/>
        <w:gridCol w:w="109"/>
        <w:gridCol w:w="109"/>
        <w:gridCol w:w="109"/>
        <w:gridCol w:w="109"/>
        <w:gridCol w:w="196"/>
        <w:gridCol w:w="871"/>
        <w:gridCol w:w="109"/>
        <w:gridCol w:w="327"/>
        <w:gridCol w:w="196"/>
        <w:gridCol w:w="871"/>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4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CHANGES IN EQUITY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 Equity</w:t>
            </w:r>
          </w:p>
        </w:tc>
      </w:tr>
      <w:tr>
        <w:trPr/>
        <w:tc>
          <w:tcPr>
            <w:tcW w:w="12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December 31, 2025</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24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443,247,432 </w:t>
            </w:r>
          </w:p>
        </w:tc>
        <w:tc>
          <w:tcPr>
            <w:tcW w:w="11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(243,979,114)</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199,268,318 </w:t>
            </w:r>
          </w:p>
        </w:tc>
        <w:tc>
          <w:tcPr>
            <w:tcW w:w="29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88,650 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1,240,250 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(40,128)</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4,734,313 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(3,822,797)</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2,451,358 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334,218 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Other comprehensive loss, net of tax</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(41,629)</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(41,629)</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292,589 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dividends declared: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Common stock ($0.39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5"/>
              </w:rPr>
            </w:pPr>
            <w:r>
              <w:rPr>
                <w:rFonts w:ascii="Arial;sans-serif" w:hAnsi="Arial;sans-serif"/>
                <w:b/>
                <w:color w:val="000000"/>
                <w:sz w:val="15"/>
              </w:rPr>
              <w:t>Preferred Stock, Series B ($4.29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(10,779)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(10,779)</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Issuance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2,459,758 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2,459,758 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Stock-based compensation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37,750 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37,750 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(18,058,061)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(18,058,061)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(415,609)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(425,297)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Shares repurchased related to employee stock-based compensation plans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(848,842)</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(848,842)</w:t>
            </w:r>
          </w:p>
        </w:tc>
        <w:tc>
          <w:tcPr>
            <w:tcW w:w="2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(18,456)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(18,456)</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Balance at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2,510,696 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445,707,190 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(262,886,017)</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182,821,173 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251,070 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89,142 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1,272,772 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(81,757)</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4,981,149 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(4,256,862)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2,255,514 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80"/>
        <w:gridCol w:w="2359"/>
        <w:gridCol w:w="2363"/>
        <w:gridCol w:w="109"/>
        <w:gridCol w:w="109"/>
        <w:gridCol w:w="109"/>
        <w:gridCol w:w="197"/>
        <w:gridCol w:w="744"/>
        <w:gridCol w:w="109"/>
        <w:gridCol w:w="109"/>
        <w:gridCol w:w="109"/>
        <w:gridCol w:w="109"/>
        <w:gridCol w:w="197"/>
        <w:gridCol w:w="744"/>
        <w:gridCol w:w="158"/>
      </w:tblGrid>
      <w:tr>
        <w:trPr/>
        <w:tc>
          <w:tcPr>
            <w:tcW w:w="268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CONSOLIDATED STATEMENTS OF CASH FLOWS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w:t>
              <w:br/>
              <w:t> September 30,</w:t>
            </w:r>
          </w:p>
        </w:tc>
      </w:tr>
      <w:tr>
        <w:trPr/>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7402"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Operating activities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511,662 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used in operating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351,466 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164,904 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brokered deposit placement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Secured Borrowing Facility upfront fee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Secured Warehouse Facility upfront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loan origination costs and loan premium/(discounts),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11,161 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amortization of discount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premises and equipment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11,953 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intangible assets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31,543 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derivatives and hedging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on sales of loans,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(164,902)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(323,680)</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adjustments to net income,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11,000 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(800,558)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(887,045)</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trading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non-marketable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other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other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(42,599)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(37,362)</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income taxes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(141,806)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accrued interest payable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(31,360)</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(651,396)</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(845,779)</w:t>
            </w:r>
          </w:p>
        </w:tc>
        <w:tc>
          <w:tcPr>
            <w:tcW w:w="15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(317,178)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(334,117)</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Investing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acquired and originated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(7,015,294)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(6,430,903)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proceeds from sales of loans held for investment and loans held for sale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4,078,693 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4,168,714 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loans held for investment and loans held for sale (other than loans acquired and originated, and loan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2,132,718 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(1,633,340)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(70,262)</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and maturities of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407,881 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net cash (used in) provided by investing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(1,416,520)</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208,148 </w:t>
            </w:r>
          </w:p>
        </w:tc>
        <w:tc>
          <w:tcPr>
            <w:tcW w:w="15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Brokered deposit placement fee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(3,615)</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(1,249,292)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increase in other 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(834,811)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188,886 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costs for collateralized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collateralized by loans in securitization trusts - issued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615,244 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536,610 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collateralized by loans in securitization trusts - repaid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costs for unsecured debt offering</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 debt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493,885 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Unsecured debt repaid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(498,851)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under Secured Borrowing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Fees paid on Secured Borrowing Facility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(2,951)</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under Secured Warehouse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Fees paid on Secured Warehouse Facility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dividends paid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(11,922)</w:t>
            </w:r>
          </w:p>
        </w:tc>
        <w:tc>
          <w:tcPr>
            <w:tcW w:w="15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17"/>
        <w:gridCol w:w="2262"/>
        <w:gridCol w:w="2274"/>
        <w:gridCol w:w="109"/>
        <w:gridCol w:w="109"/>
        <w:gridCol w:w="109"/>
        <w:gridCol w:w="196"/>
        <w:gridCol w:w="871"/>
        <w:gridCol w:w="109"/>
        <w:gridCol w:w="109"/>
        <w:gridCol w:w="109"/>
        <w:gridCol w:w="109"/>
        <w:gridCol w:w="196"/>
        <w:gridCol w:w="871"/>
        <w:gridCol w:w="155"/>
      </w:tblGrid>
      <w:tr>
        <w:trPr/>
        <w:tc>
          <w:tcPr>
            <w:tcW w:w="2617"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net cash used in financing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(245,884)</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(1,015,807)</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(1,979,582)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(1,141,776)</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4,418,528 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4,874,260 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2,438,946 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3,732,484 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Cash disbursements made for: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857,970 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138,396 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147,036 </w:t>
            </w:r>
          </w:p>
        </w:tc>
        <w:tc>
          <w:tcPr>
            <w:tcW w:w="155"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refunded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(5,561)</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Reconciliation of the Consolidated Statements of Cash Flows to the Consolidated Balance Sheets: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3,539,341 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273,771 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193,143 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2,438,946 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3,732,484 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Supplemental non-cash investing activities: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capitalized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391,576 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investments received in consideration for loans sold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investments received in consideration for loans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lineRule="auto" w:line="288" w:before="30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 Significant Accounting Policies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Basis of Presentation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accompanying unaudited, consolidated financial statements of SLM Corporation (“Sallie Mae,” “SLM,” the “Company,” “we,” or “us”) have been prepared in accordance with generally accepted accounting principles in the United States of America (“GAAP”) for interim financial information. Accordingly, they do not include all the information and footnotes required by GAAP for complete consolidated financial statements. The consolidated financial statements include the accounts of SLM Corporation and its majority-owned and controlled subsidiaries after eliminating the effects of intercompany accounts and transactions. In the opinion of management, all adjustments considered necessary for a fair statement of the results for the interim periods have been included. The preparation of financial statements in conformity with GAAP requires management to make estimates and assumptions that affect the amounts reported in the consolidated financial statements and accompanying notes. Actual results could differ from those estimates. Operating results for the three and nine months ended September 30, 2026 are not necessarily indicative of the results for the year ending December 31, 2026 or for any other period. These unaudited financial statements should be read in conjunction with the audited financial statements and related notes included in our Annual Report on Form 10-K for the year ended December 31, 2025 (the “2025 Form 10-K”).</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Consolidation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consolidated financial statements include the accounts of the Company and its majority-owned and controlled subsidiaries after eliminating the effects of intercompany accounts and transactions.</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 November 2024, the FASB issued ASU No. 2024-03, Income Statement-Reporting Comprehensive Income-Expense Disaggregation Disclosure (Subtopic 220-40): Disaggregation of Income Statement Expenses. The ASU is intended to provide more detailed information about specified categories of expenses (purchases of inventory, employee compensation, depreciation and amortization) included in certain expense captions presented on the consolidated statements of income. The guidance in this standard is effective for fiscal years beginning after December 15, 2026, and interim periods within fiscal years beginning after December 15, 2027, with early adoption permitted. The adoption of this standard is not expected to have an impact on our consolidated financial position, results of operations, or cash flows but may lead to additional disclosures about expenses in our consolidated financial statements.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September 2025, the FASB issued ASU No. 2025-06, Intangibles-Goodwill and Other-Internal-Use Software (Subtopic 350-40): Targeted Improvements to the Accounting for Internal-Use Software. The ASU amendments modernize guidance to consider different methods of software development, updating the requirements for capitalization of software costs. The standard is effective for fiscal years beginning after December 15, 2027, and interim periods within those annual periods, with early adoption permitted. The ASU can be applied on a prospective, modified transition, or retrospective basis. We do not expect the adoption of the standard to have a material impact on our consolidated financial statements.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November 2025, the FASB issued ASU No. 2025-09, Derivatives and Hedging (Topic 815): Hedge Accounting Improvements. The ASU is intended to improve the hedge accounting model to better portray the results of risk management activities in the financial statements. The ASU is effective for fiscal reporting periods beginning after December 15, 2026, and interim periods within those annual periods, with early adoption permitted. Adoption is on a prospective basis. We do not expect the adoption of the ASU to have a material impact on our consolidated financial statements.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December 2025, the FASB issued ASU No. 2025-11, Interim Reporting (Topic 270): Narrow-Scope Improvements. The ASU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standard is effective for fiscal years beginning after December 15, 2027, including interim periods within those fiscal years. We are currently evaluating the impact of the ASU on our consolidated financial statements. </w:t>
      </w:r>
    </w:p>
    <w:p>
      <w:pPr>
        <w:pStyle w:val="TextBody"/>
        <w:bidi w:val="0"/>
        <w:spacing w:before="10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 Investments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Trading Investments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periodically sell Private Education Loans through securitization transactions where we are required to retain a five percent vertical risk retention interest (i.e., five percent of each class issued in the securitizations). We classify those vertical risk retention interests related to the transactions as available-for-sale investments, except for the interest in the residual classes, which we classify as trading investments recorded at fair value with changes recorded through earnings. At September 30, 2026 and December 31, 2025, we had $41 million and $49 million, respectively, classified as trading investments. </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Available-for-Sale Investments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amortized cost and fair value of securities available-for-sale are as follows: </w:t>
      </w:r>
    </w:p>
    <w:p>
      <w:pPr>
        <w:pStyle w:val="TextBody"/>
        <w:bidi w:val="0"/>
        <w:spacing w:before="120" w:after="283"/>
        <w:jc w:val="left"/>
        <w:rPr/>
      </w:pPr>
      <w:r>
        <w:rPr/>
      </w:r>
    </w:p>
    <w:tbl>
      <w:tblPr>
        <w:tblW w:w="10205" w:type="dxa"/>
        <w:jc w:val="center"/>
        <w:tblInd w:w="0" w:type="dxa"/>
        <w:tblLayout w:type="fixed"/>
        <w:tblCellMar>
          <w:top w:w="28" w:type="dxa"/>
          <w:left w:w="28" w:type="dxa"/>
          <w:bottom w:w="28" w:type="dxa"/>
          <w:right w:w="28" w:type="dxa"/>
        </w:tblCellMar>
      </w:tblPr>
      <w:tblGrid>
        <w:gridCol w:w="1099"/>
        <w:gridCol w:w="789"/>
        <w:gridCol w:w="453"/>
        <w:gridCol w:w="109"/>
        <w:gridCol w:w="109"/>
        <w:gridCol w:w="109"/>
        <w:gridCol w:w="211"/>
        <w:gridCol w:w="981"/>
        <w:gridCol w:w="109"/>
        <w:gridCol w:w="109"/>
        <w:gridCol w:w="109"/>
        <w:gridCol w:w="109"/>
        <w:gridCol w:w="320"/>
        <w:gridCol w:w="617"/>
        <w:gridCol w:w="167"/>
        <w:gridCol w:w="109"/>
        <w:gridCol w:w="109"/>
        <w:gridCol w:w="109"/>
        <w:gridCol w:w="233"/>
        <w:gridCol w:w="799"/>
        <w:gridCol w:w="120"/>
        <w:gridCol w:w="109"/>
        <w:gridCol w:w="109"/>
        <w:gridCol w:w="109"/>
        <w:gridCol w:w="228"/>
        <w:gridCol w:w="925"/>
        <w:gridCol w:w="118"/>
        <w:gridCol w:w="109"/>
        <w:gridCol w:w="109"/>
        <w:gridCol w:w="109"/>
        <w:gridCol w:w="219"/>
        <w:gridCol w:w="1013"/>
        <w:gridCol w:w="169"/>
      </w:tblGrid>
      <w:tr>
        <w:trPr/>
        <w:tc>
          <w:tcPr>
            <w:tcW w:w="109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As of September 30, 2026</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Allowance for credit losses</w:t>
            </w:r>
            <w:r>
              <w:rPr>
                <w:rFonts w:ascii="Arial;sans-serif" w:hAnsi="Arial;sans-serif"/>
                <w:b/>
                <w:color w:val="144F82"/>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Estimated Fair Value</w:t>
            </w:r>
          </w:p>
        </w:tc>
      </w:tr>
      <w:tr>
        <w:trPr/>
        <w:tc>
          <w:tcPr>
            <w:tcW w:w="2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598,069 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(86,181)</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511,897 </w:t>
            </w:r>
          </w:p>
        </w:tc>
        <w:tc>
          <w:tcPr>
            <w:tcW w:w="1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 Housing Corporation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government-sponsored enterprises and Treasuries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1,639,028 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(13,967)</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1,625,061 </w:t>
            </w:r>
          </w:p>
        </w:tc>
        <w:tc>
          <w:tcPr>
            <w:tcW w:w="1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Total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2,956,353 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5,199 </w:t>
            </w:r>
          </w:p>
        </w:tc>
        <w:tc>
          <w:tcPr>
            <w:tcW w:w="12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(114,443)</w:t>
            </w:r>
          </w:p>
        </w:tc>
        <w:tc>
          <w:tcPr>
            <w:tcW w:w="1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2,847,109 </w:t>
            </w:r>
          </w:p>
        </w:tc>
        <w:tc>
          <w:tcPr>
            <w:tcW w:w="16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As of December 31, 2025</w:t>
              <w:br/>
              <w:t>(dollars in thousands)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Allowance for credit losses</w:t>
            </w:r>
            <w:r>
              <w:rPr>
                <w:rFonts w:ascii="Arial;sans-serif" w:hAnsi="Arial;sans-serif"/>
                <w:b/>
                <w:color w:val="144F82"/>
                <w:sz w:val="11"/>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Gross 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Gross 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Estimated Fair Value</w:t>
            </w:r>
          </w:p>
        </w:tc>
      </w:tr>
      <w:tr>
        <w:trPr/>
        <w:tc>
          <w:tcPr>
            <w:tcW w:w="2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545,550 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3,045 </w:t>
            </w:r>
          </w:p>
        </w:tc>
        <w:tc>
          <w:tcPr>
            <w:tcW w:w="12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(54,371)</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494,224 </w:t>
            </w:r>
          </w:p>
        </w:tc>
        <w:tc>
          <w:tcPr>
            <w:tcW w:w="1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 Housing Corporation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government-sponsored enterprises and Treasuries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649,087 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(9,581)</w:t>
            </w:r>
          </w:p>
        </w:tc>
        <w:tc>
          <w:tcPr>
            <w:tcW w:w="1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639,506 </w:t>
            </w:r>
          </w:p>
        </w:tc>
        <w:tc>
          <w:tcPr>
            <w:tcW w:w="1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622,184 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Total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1,812,408 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17,389 </w:t>
            </w:r>
          </w:p>
        </w:tc>
        <w:tc>
          <w:tcPr>
            <w:tcW w:w="12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(71,727)</w:t>
            </w:r>
          </w:p>
        </w:tc>
        <w:tc>
          <w:tcPr>
            <w:tcW w:w="11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6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Represents the amount of impairment that has resulted from credit-related factors and that was recognized in the consolidated balance sheets (as a credit loss expense on available-for-sale securities). The amount excludes unrealized losses related to non-credit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12</w:t>
                      </w:r>
                    </w:p>
                  </w:txbxContent>
                </v:textbox>
                <w10:wrap type="none"/>
              </v:rect>
            </w:pict>
          </mc:Fallback>
        </mc:AlternateContent>
      </w:r>
    </w:p>
    <w:p>
      <w:pPr>
        <w:pStyle w:val="TextBody"/>
        <w:bidi w:val="0"/>
        <w:spacing w:before="120" w:after="283"/>
        <w:jc w:val="center"/>
        <w:rPr/>
      </w:pPr>
      <w:r>
        <w:rPr/>
      </w:r>
    </w:p>
    <w:tbl>
      <w:tblPr>
        <w:tblW w:w="3083" w:type="dxa"/>
        <w:jc w:val="center"/>
        <w:tblInd w:w="0" w:type="dxa"/>
        <w:tblLayout w:type="fixed"/>
        <w:tblCellMar>
          <w:top w:w="28" w:type="dxa"/>
          <w:left w:w="28" w:type="dxa"/>
          <w:bottom w:w="28" w:type="dxa"/>
          <w:right w:w="28" w:type="dxa"/>
        </w:tblCellMar>
      </w:tblPr>
      <w:tblGrid>
        <w:gridCol w:w="124"/>
        <w:gridCol w:w="109"/>
        <w:gridCol w:w="109"/>
        <w:gridCol w:w="789"/>
        <w:gridCol w:w="789"/>
        <w:gridCol w:w="7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amount of gross unrealized losses for our available-for-sale securities and the estimated fair value for securities having gross unrealized loss positions, categorized by length of time the securities have been in an unrealized loss position: </w:t>
      </w:r>
    </w:p>
    <w:tbl>
      <w:tblPr>
        <w:tblW w:w="11194" w:type="dxa"/>
        <w:jc w:val="center"/>
        <w:tblInd w:w="0" w:type="dxa"/>
        <w:tblLayout w:type="fixed"/>
        <w:tblCellMar>
          <w:top w:w="28" w:type="dxa"/>
          <w:left w:w="28" w:type="dxa"/>
          <w:bottom w:w="28" w:type="dxa"/>
          <w:right w:w="28" w:type="dxa"/>
        </w:tblCellMar>
      </w:tblPr>
      <w:tblGrid>
        <w:gridCol w:w="1020"/>
        <w:gridCol w:w="694"/>
        <w:gridCol w:w="312"/>
        <w:gridCol w:w="109"/>
        <w:gridCol w:w="109"/>
        <w:gridCol w:w="109"/>
        <w:gridCol w:w="211"/>
        <w:gridCol w:w="736"/>
        <w:gridCol w:w="109"/>
        <w:gridCol w:w="109"/>
        <w:gridCol w:w="109"/>
        <w:gridCol w:w="109"/>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20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Estimated</w:t>
              <w:br/>
              <w:t>Fair Value</w:t>
            </w:r>
          </w:p>
        </w:tc>
      </w:tr>
      <w:tr>
        <w:trPr/>
        <w:tc>
          <w:tcPr>
            <w:tcW w:w="2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(16,320)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271,139 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(69,861)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237,898 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(86,181)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509,037 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 Housing Corporation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government-sponsored enterprises and Treasuries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1,526,218 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1,625,061 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2,163,315 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(79,245)</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427,875 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(114,443)</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2,591,190 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(54,207)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275,703 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(54,371)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286,599 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Utah Housing Corporation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government-sponsored enterprises and Treasuries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639,506 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639,506 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22,809 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(71,532)</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1,036,556 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(71,727)</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1,059,365 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center"/>
        <w:rPr/>
      </w:pPr>
      <w:r>
        <w:rPr/>
      </w:r>
    </w:p>
    <w:p>
      <w:pPr>
        <w:pStyle w:val="TextBody"/>
        <w:bidi w:val="0"/>
        <w:spacing w:lineRule="auto" w:line="276" w:before="0" w:after="0"/>
        <w:ind w:left="0" w:right="0" w:firstLine="495"/>
        <w:jc w:val="left"/>
        <w:rPr>
          <w:rFonts w:ascii="Arial;sans-serif" w:hAnsi="Arial;sans-serif"/>
          <w:b w:val="false"/>
          <w:color w:val="000000"/>
          <w:sz w:val="20"/>
        </w:rPr>
      </w:pPr>
      <w:r>
        <w:rPr>
          <w:rFonts w:ascii="Arial;sans-serif" w:hAnsi="Arial;sans-serif"/>
          <w:b w:val="false"/>
          <w:color w:val="000000"/>
          <w:sz w:val="20"/>
        </w:rPr>
        <w:t>At September 30, 2026 and December 31, 2025, 272 of 310 and 179 of 295, respectively, of our available-for-sale securities were in an unrealized loss position.</w:t>
      </w:r>
    </w:p>
    <w:p>
      <w:pPr>
        <w:pStyle w:val="TextBody"/>
        <w:bidi w:val="0"/>
        <w:spacing w:lineRule="auto" w:line="276" w:before="120" w:after="283"/>
        <w:ind w:left="0" w:right="0" w:firstLine="495"/>
        <w:jc w:val="left"/>
        <w:rPr>
          <w:rFonts w:ascii="Arial;sans-serif" w:hAnsi="Arial;sans-serif"/>
          <w:b w:val="false"/>
          <w:i/>
          <w:color w:val="000000"/>
          <w:sz w:val="20"/>
        </w:rPr>
      </w:pPr>
      <w:r>
        <w:rPr>
          <w:rFonts w:ascii="Arial;sans-serif" w:hAnsi="Arial;sans-serif"/>
          <w:b w:val="false"/>
          <w:i/>
          <w:color w:val="000000"/>
          <w:sz w:val="20"/>
        </w:rPr>
        <w:t>Impairment</w:t>
      </w:r>
    </w:p>
    <w:p>
      <w:pPr>
        <w:pStyle w:val="TextBody"/>
        <w:bidi w:val="0"/>
        <w:spacing w:lineRule="auto" w:line="276"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available-for-sale securities in an unrealized loss position, we first assess whether we intend to sell the security or whether it is more likely than not that we will be required to sell the security before recovery of its amortized cost basis. If either of these criteria are met, the security’s amortized cost basis is written down to fair value through net income. For securities in an unrealized loss position that do not meet these criteria, we evaluate whether the decline in fair value has resulted from credit loss or other factors. In making this assessment, we consider the extent to which fair value is less than amortized cost, any changes to the rating of the security by a rating agency, adverse conditions specifically related to the security, as well as any guarantees (e.g., guarantees by the U.S. Government) that may be applicable to the security. If this assessment indicates a credit loss exists, the credit-related portion of the loss is recorded as an allowance for losses on the security.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Our investment portfolio contains mortgage-backed securities issued by Ginnie Mae, Fannie Mae, and Freddie Mac, as well as Utah Housing Corporation bonds. We own these securities to meet our requirements under the Community Reinvestment Act (“CRA”). We also invest in other U.S. government-sponsored enterprise securities issued by the Federal Home Loan Banks, Freddie Mac, and the Federal Farm Credit Bank. Our mortgage-backed securities that were issued under Ginnie Mae programs carry a full faith and credit guarantee from the U.S. Government. The remaining mortgage-backed securities in a net loss position carry a principal and interest guarantee by Fannie Mae or Freddie Mac, respectively. Our Treasury and other U.S. government-sponsored enterprise bonds are rated Aaa by Moody’s Investors Service or AA+ by Standard and Poor’s. We have the intent and ability to hold these bonds for a period of time sufficient for the market price to recover to at least the adjusted amortized cost of the security. Based on this qualitative analysis, we have determined that no credit impairment exists.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periodically sell Private Education Loans through securitization transactions where we are required to retain a five percent vertical risk retention interest. We classify the non-residual vertical risk retention interests as available-for-sale investments. We have the intent and ability to hold each of these bonds for a period of time sufficient for the market price to recover to at least the adjusted amortized cost of the security. We expect to receive all contractual cash flows related to these investments and do not consider a credit impairment to exist.</w:t>
      </w:r>
    </w:p>
    <w:p>
      <w:pPr>
        <w:pStyle w:val="TextBody"/>
        <w:bidi w:val="0"/>
        <w:spacing w:before="10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13</w:t>
                      </w:r>
                    </w:p>
                  </w:txbxContent>
                </v:textbox>
                <w10:wrap type="none"/>
              </v:rect>
            </w:pict>
          </mc:Fallback>
        </mc:AlternateContent>
      </w:r>
    </w:p>
    <w:p>
      <w:pPr>
        <w:pStyle w:val="TextBody"/>
        <w:bidi w:val="0"/>
        <w:spacing w:before="120" w:after="283"/>
        <w:jc w:val="center"/>
        <w:rPr/>
      </w:pPr>
      <w:r>
        <w:rPr/>
      </w:r>
    </w:p>
    <w:tbl>
      <w:tblPr>
        <w:tblW w:w="3083" w:type="dxa"/>
        <w:jc w:val="center"/>
        <w:tblInd w:w="0" w:type="dxa"/>
        <w:tblLayout w:type="fixed"/>
        <w:tblCellMar>
          <w:top w:w="28" w:type="dxa"/>
          <w:left w:w="28" w:type="dxa"/>
          <w:bottom w:w="28" w:type="dxa"/>
          <w:right w:w="28" w:type="dxa"/>
        </w:tblCellMar>
      </w:tblPr>
      <w:tblGrid>
        <w:gridCol w:w="124"/>
        <w:gridCol w:w="109"/>
        <w:gridCol w:w="109"/>
        <w:gridCol w:w="789"/>
        <w:gridCol w:w="789"/>
        <w:gridCol w:w="7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September 30, 2026, the amortized cost and fair value of securities, by contractual maturities, are summarized below. Contractual maturities versus actual maturities may differ due to the effect of prepayments. </w:t>
      </w:r>
    </w:p>
    <w:tbl>
      <w:tblPr>
        <w:tblW w:w="5886"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219"/>
        <w:gridCol w:w="1017"/>
        <w:gridCol w:w="113"/>
        <w:gridCol w:w="109"/>
        <w:gridCol w:w="109"/>
        <w:gridCol w:w="109"/>
        <w:gridCol w:w="278"/>
        <w:gridCol w:w="1288"/>
        <w:gridCol w:w="203"/>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September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Year of Maturity</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Estimated Fair Value</w:t>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198,057 </w:t>
            </w:r>
          </w:p>
        </w:tc>
        <w:tc>
          <w:tcPr>
            <w:tcW w:w="11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197,969 </w:t>
            </w:r>
          </w:p>
        </w:tc>
        <w:tc>
          <w:tcPr>
            <w:tcW w:w="20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706,029 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703,506 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409,804 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405,124 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107,199 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107,845 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105,602 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105,661 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2038</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6,153 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5,079 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2048</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89,388 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67,071 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46,257 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38,541 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242,570 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236,843 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216,775 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208,104 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209,034 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316,058 </w:t>
            </w:r>
          </w:p>
        </w:tc>
        <w:tc>
          <w:tcPr>
            <w:tcW w:w="1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309,979 </w:t>
            </w:r>
          </w:p>
        </w:tc>
        <w:tc>
          <w:tcPr>
            <w:tcW w:w="20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27,951 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2,956,353 </w:t>
            </w:r>
          </w:p>
        </w:tc>
        <w:tc>
          <w:tcPr>
            <w:tcW w:w="11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2,847,109 </w:t>
            </w:r>
          </w:p>
        </w:tc>
        <w:tc>
          <w:tcPr>
            <w:tcW w:w="20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center"/>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Some of the mortgage-backed securities and a portion of the government securities have been pledged to the Federal Reserve Bank (the “FRB”) as collateral against any advances and accrued interest under the Primary Credit lending program sponsored by the FRB. We had $2.1 billion and $641 million par value of securities pledged to this borrowing facility at September 30, 2026 and December 31, 2025, respectively, as discussed further in Note 8, “Borrowings” in this Form 10-Q.</w:t>
      </w:r>
    </w:p>
    <w:p>
      <w:pPr>
        <w:pStyle w:val="TextBody"/>
        <w:bidi w:val="0"/>
        <w:spacing w:lineRule="auto" w:line="288" w:before="280" w:after="283"/>
        <w:jc w:val="left"/>
        <w:rPr>
          <w:rFonts w:ascii="Arial;sans-serif" w:hAnsi="Arial;sans-serif"/>
          <w:b/>
          <w:i/>
          <w:color w:val="000000"/>
          <w:sz w:val="20"/>
        </w:rPr>
      </w:pPr>
      <w:r>
        <w:rPr>
          <w:rFonts w:ascii="Arial;sans-serif" w:hAnsi="Arial;sans-serif"/>
          <w:b/>
          <w:i/>
          <w:color w:val="000000"/>
          <w:sz w:val="20"/>
        </w:rPr>
        <w:t>Other Investments</w:t>
      </w:r>
    </w:p>
    <w:p>
      <w:pPr>
        <w:pStyle w:val="TextBody"/>
        <w:bidi w:val="0"/>
        <w:spacing w:lineRule="auto" w:line="288" w:before="120" w:after="283"/>
        <w:ind w:left="0" w:right="0" w:firstLine="225"/>
        <w:jc w:val="left"/>
        <w:rPr>
          <w:rFonts w:ascii="Arial;sans-serif" w:hAnsi="Arial;sans-serif"/>
          <w:b/>
          <w:i/>
          <w:color w:val="000000"/>
          <w:sz w:val="20"/>
        </w:rPr>
      </w:pPr>
      <w:r>
        <w:rPr>
          <w:rFonts w:ascii="Arial;sans-serif" w:hAnsi="Arial;sans-serif"/>
          <w:b/>
          <w:i/>
          <w:color w:val="000000"/>
          <w:sz w:val="20"/>
        </w:rPr>
        <w:t xml:space="preserve">Investments in Non-Marketable Securities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hold investments in non-marketable securities and account for these investments at cost, less impairment, plus or minus observable price changes of identical or similar securities of the same issuer. Changes in market value are recorded through earnings. Because these are non-marketable securities, we use observable price changes of identical or similar securities of the same issuer, or when observable prices are not available, use market data of similar entities, in determining any changes in the value of the securities. In the first quarter of 2025, we recognized an impairment on certain of our other non-marketable equity securities, related to our former credit card platform, resulting in a loss of $10 million, which is net of a valuation adjustment on a trading investment with the same issuer. As of September 30, 2026 and December 31, 2025, our total investment in non-marketable securities was $10 million and $12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14</w:t>
                      </w:r>
                    </w:p>
                  </w:txbxContent>
                </v:textbox>
                <w10:wrap type="none"/>
              </v:rect>
            </w:pict>
          </mc:Fallback>
        </mc:AlternateContent>
      </w:r>
    </w:p>
    <w:p>
      <w:pPr>
        <w:pStyle w:val="TextBody"/>
        <w:bidi w:val="0"/>
        <w:spacing w:before="120" w:after="283"/>
        <w:jc w:val="center"/>
        <w:rPr/>
      </w:pPr>
      <w:r>
        <w:rPr/>
      </w:r>
    </w:p>
    <w:tbl>
      <w:tblPr>
        <w:tblW w:w="3083" w:type="dxa"/>
        <w:jc w:val="center"/>
        <w:tblInd w:w="0" w:type="dxa"/>
        <w:tblLayout w:type="fixed"/>
        <w:tblCellMar>
          <w:top w:w="28" w:type="dxa"/>
          <w:left w:w="28" w:type="dxa"/>
          <w:bottom w:w="28" w:type="dxa"/>
          <w:right w:w="28" w:type="dxa"/>
        </w:tblCellMar>
      </w:tblPr>
      <w:tblGrid>
        <w:gridCol w:w="124"/>
        <w:gridCol w:w="109"/>
        <w:gridCol w:w="109"/>
        <w:gridCol w:w="789"/>
        <w:gridCol w:w="789"/>
        <w:gridCol w:w="7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left"/>
        <w:rPr>
          <w:rFonts w:ascii="Arial;sans-serif" w:hAnsi="Arial;sans-serif"/>
          <w:b/>
          <w:i/>
          <w:color w:val="000000"/>
          <w:sz w:val="20"/>
        </w:rPr>
      </w:pPr>
      <w:r>
        <w:rPr>
          <w:rFonts w:ascii="Arial;sans-serif" w:hAnsi="Arial;sans-serif"/>
          <w:b/>
          <w:i/>
          <w:color w:val="000000"/>
          <w:sz w:val="20"/>
        </w:rPr>
        <w:t xml:space="preserve">Low Income Housing Tax Credit Investments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invest in affordable housing projects that qualify for the low-income housing tax credit (“LIHTC”), which is designed to promote private development of low-income housing. These investments generate a return mostly through realization of federal tax credits and tax benefits from net operating losses on the underlying properties. Total carrying value of the LIHTC investments was $87 million at September 30, 2026 and $96 million at December 31, 2025. We are periodically required to provide additional financial support during the investment period. Our liability for these unfunded commitments was $29 million at September 30, 2026 and $36 million at December 31, 2025.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Related to these investments, we recognized tax credits and other tax benefits through tax expense of $2 million at September 30, 2026 and $14 million at December 31, 2025. Tax credits and other tax benefits are recognized as part of our annual effective tax rate used to determine tax expense in a given quarter. Accordingly, the portion of a year’s expected tax benefits recognized in any given quarter may differ from 25 percent.</w:t>
      </w:r>
    </w:p>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3. Loans Held for Investment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Loans held for investment consist solely of Private Education Loans as of September 30, 2026. We use “Private Education Loans” to mean education loans to students or their families that are not made, insured, or guaranteed by any state or federal government.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Private Education Loans are made largely to bridge the gap between the cost of higher education and the amount funded through financial aid, government loans, and customers’ resources. Private Education Loans bear the full credit risk of the customer. We manage this risk through risk-performance underwriting strategies and qualified cosigners. Private Education Loans may be fixed-rate or may carry a variable interest rate indexed to the Secured Overnight Financing Rate (“SOFR”). As of both September 30, 2026 and December 31, 2025, 22 percent of all our Private Education Loans were indexed to SOFR. We provide incentives for customers to include a cosigner on the loan, and the vast majority of Private Education Loans in our portfolio are cosigned. We also encourage customers to make payments while in school.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Private Education Loan sales to unaffiliated third parties for the periods presented.</w:t>
      </w:r>
    </w:p>
    <w:tbl>
      <w:tblPr>
        <w:tblW w:w="9740" w:type="dxa"/>
        <w:jc w:val="center"/>
        <w:tblInd w:w="0" w:type="dxa"/>
        <w:tblLayout w:type="fixed"/>
        <w:tblCellMar>
          <w:top w:w="28" w:type="dxa"/>
          <w:left w:w="28" w:type="dxa"/>
          <w:bottom w:w="28" w:type="dxa"/>
          <w:right w:w="28" w:type="dxa"/>
        </w:tblCellMar>
      </w:tblPr>
      <w:tblGrid>
        <w:gridCol w:w="1113"/>
        <w:gridCol w:w="979"/>
        <w:gridCol w:w="982"/>
        <w:gridCol w:w="109"/>
        <w:gridCol w:w="109"/>
        <w:gridCol w:w="109"/>
        <w:gridCol w:w="301"/>
        <w:gridCol w:w="665"/>
        <w:gridCol w:w="155"/>
        <w:gridCol w:w="155"/>
        <w:gridCol w:w="155"/>
        <w:gridCol w:w="155"/>
        <w:gridCol w:w="301"/>
        <w:gridCol w:w="879"/>
        <w:gridCol w:w="155"/>
        <w:gridCol w:w="109"/>
        <w:gridCol w:w="109"/>
        <w:gridCol w:w="109"/>
        <w:gridCol w:w="109"/>
        <w:gridCol w:w="109"/>
        <w:gridCol w:w="270"/>
        <w:gridCol w:w="790"/>
        <w:gridCol w:w="139"/>
        <w:gridCol w:w="139"/>
        <w:gridCol w:w="139"/>
        <w:gridCol w:w="139"/>
        <w:gridCol w:w="270"/>
        <w:gridCol w:w="790"/>
        <w:gridCol w:w="197"/>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Nine Months Ended September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7"/>
              </w:rPr>
            </w:pPr>
            <w:r>
              <w:rPr>
                <w:rFonts w:ascii="Arial;sans-serif" w:hAnsi="Arial;sans-serif"/>
                <w:b/>
                <w:color w:val="134F82"/>
                <w:sz w:val="17"/>
              </w:rPr>
              <w:t>2025</w:t>
            </w:r>
          </w:p>
        </w:tc>
      </w:tr>
      <w:tr>
        <w:trPr/>
        <w:tc>
          <w:tcPr>
            <w:tcW w:w="307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principal</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3,830 </w:t>
            </w:r>
          </w:p>
        </w:tc>
        <w:tc>
          <w:tcPr>
            <w:tcW w:w="13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3,609 </w:t>
            </w:r>
          </w:p>
        </w:tc>
        <w:tc>
          <w:tcPr>
            <w:tcW w:w="19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Capitalized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Private Education Loans sold</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4,070 </w:t>
            </w:r>
          </w:p>
        </w:tc>
        <w:tc>
          <w:tcPr>
            <w:tcW w:w="13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3,939 </w:t>
            </w:r>
          </w:p>
        </w:tc>
        <w:tc>
          <w:tcPr>
            <w:tcW w:w="19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Gain on sale of loans,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5"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double" w:sz="8" w:space="0" w:color="000000"/>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5"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39"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double" w:sz="8" w:space="0" w:color="000000"/>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97"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There were VIEs created in the execution of certain of these loan sales; however, based on our consolidation analysis, we are not the primary beneficiary of those VIEs. These transactions qualified for sale treatment and removed the balance of the loans from our balance sheet on the respective settlement dates. We remained the servicer of these loans pursuant to applicable servicing agreements executed in connection with the sales. For additional information, see Note 8, “Borrowings - Unconsolidated Funding Vehicles” in this Form 10-Q.</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Certain of these loans sales were a component of a larger transaction that included fees paid to us as a decision maker or service provider. Based on our analysis, we determined that the fees are not variable interests in VIEs. For additional information, see Note 2, “Significant Accounting Policies — Variable Interest Entities (“VIEs”)” in our 2025 Form 10-K for additional information.</w:t>
      </w:r>
    </w:p>
    <w:p>
      <w:pPr>
        <w:pStyle w:val="TextBody"/>
        <w:bidi w:val="0"/>
        <w:spacing w:before="180" w:after="283"/>
        <w:ind w:left="0" w:right="0" w:firstLine="495"/>
        <w:jc w:val="left"/>
        <w:rPr/>
      </w:pPr>
      <w:r>
        <w:rPr/>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15</w:t>
                      </w:r>
                    </w:p>
                  </w:txbxContent>
                </v:textbox>
                <w10:wrap type="none"/>
              </v:rect>
            </w:pict>
          </mc:Fallback>
        </mc:AlternateContent>
      </w:r>
    </w:p>
    <w:p>
      <w:pPr>
        <w:pStyle w:val="TextBody"/>
        <w:bidi w:val="0"/>
        <w:spacing w:before="0" w:after="0"/>
        <w:jc w:val="left"/>
        <w:rPr/>
      </w:pPr>
      <w:r>
        <w:rPr/>
      </w:r>
    </w:p>
    <w:tbl>
      <w:tblPr>
        <w:tblW w:w="4404" w:type="dxa"/>
        <w:jc w:val="center"/>
        <w:tblInd w:w="0" w:type="dxa"/>
        <w:tblLayout w:type="fixed"/>
        <w:tblCellMar>
          <w:top w:w="28" w:type="dxa"/>
          <w:left w:w="28" w:type="dxa"/>
          <w:bottom w:w="28" w:type="dxa"/>
          <w:right w:w="28" w:type="dxa"/>
        </w:tblCellMar>
      </w:tblPr>
      <w:tblGrid>
        <w:gridCol w:w="124"/>
        <w:gridCol w:w="109"/>
        <w:gridCol w:w="109"/>
        <w:gridCol w:w="1229"/>
        <w:gridCol w:w="1229"/>
        <w:gridCol w:w="12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3.</w:t>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Loans Held for Investment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Loans held for investment are summarized as follows:</w:t>
      </w:r>
    </w:p>
    <w:tbl>
      <w:tblPr>
        <w:tblW w:w="8766" w:type="dxa"/>
        <w:jc w:val="center"/>
        <w:tblInd w:w="0" w:type="dxa"/>
        <w:tblLayout w:type="fixed"/>
        <w:tblCellMar>
          <w:top w:w="28" w:type="dxa"/>
          <w:left w:w="28" w:type="dxa"/>
          <w:bottom w:w="28" w:type="dxa"/>
          <w:right w:w="28" w:type="dxa"/>
        </w:tblCellMar>
      </w:tblPr>
      <w:tblGrid>
        <w:gridCol w:w="1904"/>
        <w:gridCol w:w="1677"/>
        <w:gridCol w:w="1684"/>
        <w:gridCol w:w="109"/>
        <w:gridCol w:w="109"/>
        <w:gridCol w:w="109"/>
        <w:gridCol w:w="211"/>
        <w:gridCol w:w="1081"/>
        <w:gridCol w:w="109"/>
        <w:gridCol w:w="109"/>
        <w:gridCol w:w="109"/>
        <w:gridCol w:w="109"/>
        <w:gridCol w:w="211"/>
        <w:gridCol w:w="1081"/>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5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Loans Held for Investment,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17,192,505 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16,952,620 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21,966,017 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21,660,434 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(1,449,614)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(1,430,318)</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Loans held for investment,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estimated weighted average life of education loans in our portfolio was approximately 5.8 years and 5.7 years at September 30, 2026 and December 31, 2025, respectively.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average balance (net of unamortized premium/(discount)) and the respective weighted average interest rates of loans held for investment in our portfolio are summarized as follows: </w:t>
      </w:r>
    </w:p>
    <w:p>
      <w:pPr>
        <w:pStyle w:val="TextBody"/>
        <w:bidi w:val="0"/>
        <w:spacing w:before="120" w:after="283"/>
        <w:ind w:left="0" w:right="0" w:firstLine="495"/>
        <w:jc w:val="left"/>
        <w:rPr/>
      </w:pPr>
      <w:r>
        <w:rPr/>
      </w:r>
    </w:p>
    <w:tbl>
      <w:tblPr>
        <w:tblW w:w="10205" w:type="dxa"/>
        <w:jc w:val="center"/>
        <w:tblInd w:w="0" w:type="dxa"/>
        <w:tblLayout w:type="fixed"/>
        <w:tblCellMar>
          <w:top w:w="28" w:type="dxa"/>
          <w:left w:w="28" w:type="dxa"/>
          <w:bottom w:w="28" w:type="dxa"/>
          <w:right w:w="28" w:type="dxa"/>
        </w:tblCellMar>
      </w:tblPr>
      <w:tblGrid>
        <w:gridCol w:w="761"/>
        <w:gridCol w:w="670"/>
        <w:gridCol w:w="673"/>
        <w:gridCol w:w="109"/>
        <w:gridCol w:w="109"/>
        <w:gridCol w:w="109"/>
        <w:gridCol w:w="212"/>
        <w:gridCol w:w="1091"/>
        <w:gridCol w:w="109"/>
        <w:gridCol w:w="109"/>
        <w:gridCol w:w="109"/>
        <w:gridCol w:w="109"/>
        <w:gridCol w:w="512"/>
        <w:gridCol w:w="411"/>
        <w:gridCol w:w="1031"/>
        <w:gridCol w:w="109"/>
        <w:gridCol w:w="109"/>
        <w:gridCol w:w="109"/>
        <w:gridCol w:w="212"/>
        <w:gridCol w:w="1091"/>
        <w:gridCol w:w="109"/>
        <w:gridCol w:w="109"/>
        <w:gridCol w:w="109"/>
        <w:gridCol w:w="109"/>
        <w:gridCol w:w="492"/>
        <w:gridCol w:w="385"/>
        <w:gridCol w:w="1138"/>
      </w:tblGrid>
      <w:tr>
        <w:trPr/>
        <w:tc>
          <w:tcPr>
            <w:tcW w:w="76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7"/>
              </w:rPr>
            </w:pPr>
            <w:r>
              <w:rPr>
                <w:rFonts w:ascii="Arial;sans-serif" w:hAnsi="Arial;sans-serif"/>
                <w:b/>
                <w:color w:val="144F82"/>
                <w:sz w:val="17"/>
              </w:rPr>
              <w:t>Three Months Ended September 30,</w:t>
            </w:r>
          </w:p>
          <w:p>
            <w:pPr>
              <w:pStyle w:val="TableContents"/>
              <w:bidi w:val="0"/>
              <w:spacing w:lineRule="auto" w:line="240" w:before="0" w:after="0"/>
              <w:jc w:val="left"/>
              <w:rPr>
                <w:rFonts w:ascii="Arial;sans-serif" w:hAnsi="Arial;sans-serif"/>
                <w:b/>
                <w:color w:val="144F82"/>
                <w:sz w:val="17"/>
              </w:rPr>
            </w:pPr>
            <w:r>
              <w:rPr>
                <w:rFonts w:ascii="Arial;sans-serif" w:hAnsi="Arial;sans-serif"/>
                <w:b/>
                <w:color w:val="144F82"/>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Weighted Average Interest Rate</w:t>
            </w:r>
          </w:p>
        </w:tc>
      </w:tr>
      <w:tr>
        <w:trPr/>
        <w:tc>
          <w:tcPr>
            <w:tcW w:w="210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21,687,091 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0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22,263,445 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113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r>
      <w:tr>
        <w:trPr/>
        <w:tc>
          <w:tcPr>
            <w:tcW w:w="2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21,687,091 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22,263,445 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TextBody"/>
        <w:bidi w:val="0"/>
        <w:spacing w:before="0" w:after="0"/>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749"/>
        <w:gridCol w:w="660"/>
        <w:gridCol w:w="662"/>
        <w:gridCol w:w="109"/>
        <w:gridCol w:w="109"/>
        <w:gridCol w:w="109"/>
        <w:gridCol w:w="212"/>
        <w:gridCol w:w="1092"/>
        <w:gridCol w:w="109"/>
        <w:gridCol w:w="109"/>
        <w:gridCol w:w="109"/>
        <w:gridCol w:w="109"/>
        <w:gridCol w:w="513"/>
        <w:gridCol w:w="416"/>
        <w:gridCol w:w="1042"/>
        <w:gridCol w:w="109"/>
        <w:gridCol w:w="109"/>
        <w:gridCol w:w="109"/>
        <w:gridCol w:w="212"/>
        <w:gridCol w:w="1092"/>
        <w:gridCol w:w="109"/>
        <w:gridCol w:w="109"/>
        <w:gridCol w:w="109"/>
        <w:gridCol w:w="109"/>
        <w:gridCol w:w="493"/>
        <w:gridCol w:w="389"/>
        <w:gridCol w:w="1147"/>
      </w:tblGrid>
      <w:tr>
        <w:trPr/>
        <w:tc>
          <w:tcPr>
            <w:tcW w:w="74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7"/>
              </w:rPr>
            </w:pPr>
            <w:r>
              <w:rPr>
                <w:rFonts w:ascii="Arial;sans-serif" w:hAnsi="Arial;sans-serif"/>
                <w:b/>
                <w:color w:val="144F82"/>
                <w:sz w:val="17"/>
              </w:rPr>
              <w:t>Nine Months Ended September 30,</w:t>
            </w:r>
          </w:p>
          <w:p>
            <w:pPr>
              <w:pStyle w:val="TableContents"/>
              <w:bidi w:val="0"/>
              <w:spacing w:lineRule="auto" w:line="240" w:before="0" w:after="0"/>
              <w:jc w:val="left"/>
              <w:rPr>
                <w:rFonts w:ascii="Arial;sans-serif" w:hAnsi="Arial;sans-serif"/>
                <w:b/>
                <w:color w:val="144F82"/>
                <w:sz w:val="17"/>
              </w:rPr>
            </w:pPr>
            <w:r>
              <w:rPr>
                <w:rFonts w:ascii="Arial;sans-serif" w:hAnsi="Arial;sans-serif"/>
                <w:b/>
                <w:color w:val="144F82"/>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Weighted Average Interest Rate</w:t>
            </w:r>
          </w:p>
        </w:tc>
      </w:tr>
      <w:tr>
        <w:trPr/>
        <w:tc>
          <w:tcPr>
            <w:tcW w:w="207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22,044,533 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04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22,578,272 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114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22,044,533 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22,578,272 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TextBody"/>
        <w:bidi w:val="0"/>
        <w:spacing w:before="0" w:after="0"/>
        <w:ind w:left="0" w:right="0" w:firstLine="495"/>
        <w:jc w:val="center"/>
        <w:rPr/>
      </w:pPr>
      <w:r>
        <w:rPr/>
      </w:r>
    </w:p>
    <w:p>
      <w:pPr>
        <w:pStyle w:val="TextBody"/>
        <w:bidi w:val="0"/>
        <w:spacing w:before="0" w:after="0"/>
        <w:jc w:val="left"/>
        <w:rPr/>
      </w:pPr>
      <w:r>
        <w:rPr/>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See Note 5, “Loans Held for Investment — Certain Collection Tools — Private Education Loans” in our 2025 Form 10-K for additional information. </w:t>
      </w:r>
    </w:p>
    <w:p>
      <w:pPr>
        <w:pStyle w:val="TextBody"/>
        <w:bidi w:val="0"/>
        <w:spacing w:before="0" w:after="0"/>
        <w:ind w:left="0" w:right="0" w:firstLine="810"/>
        <w:jc w:val="left"/>
        <w:rPr/>
      </w:pPr>
      <w:r>
        <w:rPr/>
      </w:r>
    </w:p>
    <w:p>
      <w:pPr>
        <w:pStyle w:val="TextBody"/>
        <w:bidi w:val="0"/>
        <w:spacing w:before="0" w:after="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4. Loans Held for Sale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had $1.4 billion and $933 million of loans held for sale as of September 30, 2026 and December 31, 2025, respectively. At September 30, 2026, we reversed $34 million through the provisions for credit losses related to these loans, when the loans were transferred from held for investment to held for sale. On October 21, 2026, we sold Private Education Loans including $113 million of principal, $3 million in capitalized interest, and $0.1 million in accrued interest to an existing strategic partner. See Note 16, “Subsequent Events” in this Form 10-Q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5. Allowance for Credit Losses and Unfunded Loan Commitments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provision for credit losses represents the periodic expense of maintaining an allowance sufficient to absorb lifetime expected credit losses in the held for investment loan portfolio and unfunded loan commitments. The evaluation of the allowance for credit losses is inherently subjective, as it requires material estimates that may be susceptible to significant changes. We believe the allowance for credit losses is appropriate to cover lifetime expected losses incurred in the loan portfolio.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When a new loan commitment is made, we record the CECL allowance as a liability for unfunded loan commitments by recording a provision for credit losses. The allowance is recorded in “Other Liabilities” on the consolidated balance sheet. When the loan is funded, we transfer that liability to the allowance for loan losses.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majority of the total accrued interest receivable on our Private Education Loan portfolio represents accrued interest on deferred loans where no payments are due while the borrower is in school and on fixed-pay loans where the borrower makes a $25 monthly payment that is smaller than the interest accrued on the loan in that month. The allowance for credit losses considers the collectability of both principal and accrued interest. The allowance for uncollectible interest estimates the additional uncollectible interest that is not captured in the allowance for credit losses. See “— Accrued Interest Receivable” in this Note 5 for further discussion.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See Note 2, “Significant Accounting Policies — Allowance for Credit Losses” in our 2025 Form 10-K for a more detailed discussion on our allowance for credit losses accounting policies.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17</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25"/>
        <w:jc w:val="left"/>
        <w:rPr>
          <w:rFonts w:ascii="Arial;sans-serif" w:hAnsi="Arial;sans-serif"/>
          <w:b w:val="false"/>
          <w:i/>
          <w:color w:val="000000"/>
          <w:sz w:val="20"/>
        </w:rPr>
      </w:pPr>
      <w:r>
        <w:rPr>
          <w:rFonts w:ascii="Arial;sans-serif" w:hAnsi="Arial;sans-serif"/>
          <w:b w:val="false"/>
          <w:i/>
          <w:color w:val="000000"/>
          <w:sz w:val="20"/>
        </w:rPr>
        <w:t>Allowance for Credit Losses Metrics</w:t>
      </w:r>
    </w:p>
    <w:p>
      <w:pPr>
        <w:pStyle w:val="TextBody"/>
        <w:bidi w:val="0"/>
        <w:spacing w:lineRule="auto" w:line="288" w:before="180" w:after="180"/>
        <w:ind w:left="0" w:right="0" w:firstLine="225"/>
        <w:jc w:val="left"/>
        <w:rPr/>
      </w:pPr>
      <w:r>
        <w:rPr>
          <w:rFonts w:ascii="Arial;sans-serif" w:hAnsi="Arial;sans-serif"/>
          <w:b w:val="false"/>
          <w:color w:val="000000"/>
          <w:sz w:val="20"/>
        </w:rPr>
        <w:t>The following tables provide a summary of the activity in the allowance for loan losses and the allowance for unfunded loan commitments during the three and nine months ended September 30, 2026 and 2025.</w:t>
      </w:r>
      <w:r>
        <w:rPr>
          <w:color w:val="000000"/>
        </w:rPr>
        <w:t xml:space="preserve"> </w:t>
      </w:r>
    </w:p>
    <w:tbl>
      <w:tblPr>
        <w:tblW w:w="8450" w:type="dxa"/>
        <w:jc w:val="center"/>
        <w:tblInd w:w="0" w:type="dxa"/>
        <w:tblLayout w:type="fixed"/>
        <w:tblCellMar>
          <w:top w:w="28" w:type="dxa"/>
          <w:left w:w="28" w:type="dxa"/>
          <w:bottom w:w="28" w:type="dxa"/>
          <w:right w:w="28" w:type="dxa"/>
        </w:tblCellMar>
      </w:tblPr>
      <w:tblGrid>
        <w:gridCol w:w="2143"/>
        <w:gridCol w:w="1888"/>
        <w:gridCol w:w="1894"/>
        <w:gridCol w:w="109"/>
        <w:gridCol w:w="109"/>
        <w:gridCol w:w="109"/>
        <w:gridCol w:w="109"/>
        <w:gridCol w:w="109"/>
        <w:gridCol w:w="208"/>
        <w:gridCol w:w="1020"/>
        <w:gridCol w:w="271"/>
        <w:gridCol w:w="109"/>
        <w:gridCol w:w="109"/>
        <w:gridCol w:w="109"/>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Three Months Ended September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w:t>
              <w:b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1,354,014 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from allowance for unfunded loan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sale reduction to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(8,984)</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transferred to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provisions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60,445 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Charge-offs</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(105,676)</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(90,386)</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1,449,614 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beginning balance</w:t>
            </w:r>
            <w:r>
              <w:rPr>
                <w:rFonts w:ascii="Arial;sans-serif" w:hAnsi="Arial;sans-serif"/>
                <w:b/>
                <w:color w:val="144F82"/>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66,015 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Provision</w:t>
            </w:r>
            <w:r>
              <w:rPr>
                <w:rFonts w:ascii="Arial;sans-serif" w:hAnsi="Arial;sans-serif"/>
                <w:b w:val="false"/>
                <w:color w:val="000000"/>
                <w:sz w:val="1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to allowance for loan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(125,541)</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ending balance</w:t>
            </w:r>
            <w:r>
              <w:rPr>
                <w:rFonts w:ascii="Arial;sans-serif" w:hAnsi="Arial;sans-serif"/>
                <w:b/>
                <w:color w:val="144F82"/>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allowance for credit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1,543,318 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charge-offs as a percentage of average loans in repayment (annualized)</w:t>
            </w:r>
            <w:r>
              <w:rPr>
                <w:rFonts w:ascii="Arial;sans-serif" w:hAnsi="Arial;sans-serif"/>
                <w:b w:val="false"/>
                <w:color w:val="000000"/>
                <w:sz w:val="1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Allowance for loan losses coverage of net charge-offs (annualized)</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Allowance Percentage of Private Education Loan Exposure</w:t>
            </w:r>
            <w:r>
              <w:rPr>
                <w:rFonts w:ascii="Arial;sans-serif" w:hAnsi="Arial;sans-serif"/>
                <w:b w:val="false"/>
                <w:color w:val="000000"/>
                <w:sz w:val="1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total loans, 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21,966,017 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Average loans in repayment</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15,607,233 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loans in repayment</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16,043,441 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Unfunded loan commitments for loans held for investment</w:t>
            </w:r>
            <w:r>
              <w:rPr>
                <w:rFonts w:ascii="Arial;sans-serif" w:hAnsi="Arial;sans-serif"/>
                <w:b w:val="false"/>
                <w:color w:val="000000"/>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interest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1,674,856 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See “—Provisions for Credit Losses” below in this Note 5 for a reconciliation of the provisions for credit losses reported in the consolidated statements of operations. </w:t>
      </w:r>
    </w:p>
    <w:p>
      <w:pPr>
        <w:pStyle w:val="TextBody"/>
        <w:bidi w:val="0"/>
        <w:spacing w:lineRule="auto" w:line="288" w:before="100" w:after="283"/>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 xml:space="preserve">The above table excludes the initial allowance and immediate charge-off of $19.1 million of loans previously charged off by unconsolidated Private Education Loan Securitizations that were purchased by the Company during the three months ended September 30, 2026 following the exercise of optional clean-up calls. </w:t>
      </w:r>
    </w:p>
    <w:p>
      <w:pPr>
        <w:pStyle w:val="TextBody"/>
        <w:bidi w:val="0"/>
        <w:spacing w:lineRule="auto" w:line="288" w:before="100" w:after="283"/>
        <w:ind w:left="0" w:right="0" w:hanging="18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“—Unfunded Loan Commitments” in this Note 5 for further discussion.</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(6)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(7) </w:t>
      </w:r>
      <w:r>
        <w:rPr>
          <w:rFonts w:ascii="Arial;sans-serif" w:hAnsi="Arial;sans-serif"/>
          <w:b w:val="false"/>
          <w:color w:val="000000"/>
          <w:sz w:val="14"/>
        </w:rPr>
        <w:t xml:space="preserve">Unfunded loan commitments for loans held for investment and the calculation of the Total Allowance Percentage of Private Education Loan Exposure do not include $672 million of unfunded loan commitments associated with loans classified as held for sale at September 30, 2026. Due to the near-term timing of the loan sale and credit quality of the loans, we believe there is no risk of credit loss and are not recording an allowance for the unfunded loan commitments related to the loans classified as held for sale. </w:t>
      </w:r>
    </w:p>
    <w:p>
      <w:pPr>
        <w:pStyle w:val="TextBody"/>
        <w:bidi w:val="0"/>
        <w:spacing w:before="100" w:after="283"/>
        <w:ind w:left="0" w:right="0" w:hanging="180"/>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18</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tbl>
      <w:tblPr>
        <w:tblW w:w="8244" w:type="dxa"/>
        <w:jc w:val="center"/>
        <w:tblInd w:w="0" w:type="dxa"/>
        <w:tblLayout w:type="fixed"/>
        <w:tblCellMar>
          <w:top w:w="28" w:type="dxa"/>
          <w:left w:w="28" w:type="dxa"/>
          <w:bottom w:w="28" w:type="dxa"/>
          <w:right w:w="28" w:type="dxa"/>
        </w:tblCellMar>
      </w:tblPr>
      <w:tblGrid>
        <w:gridCol w:w="2100"/>
        <w:gridCol w:w="1850"/>
        <w:gridCol w:w="1855"/>
        <w:gridCol w:w="109"/>
        <w:gridCol w:w="109"/>
        <w:gridCol w:w="109"/>
        <w:gridCol w:w="109"/>
        <w:gridCol w:w="109"/>
        <w:gridCol w:w="196"/>
        <w:gridCol w:w="961"/>
        <w:gridCol w:w="256"/>
        <w:gridCol w:w="109"/>
        <w:gridCol w:w="109"/>
        <w:gridCol w:w="109"/>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Three Months Ended September 30, 2025</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w:t>
              <w:br/>
              <w:t> Education</w:t>
              <w:b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beginning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1,469,509 </w:t>
            </w:r>
          </w:p>
        </w:tc>
        <w:tc>
          <w:tcPr>
            <w:tcW w:w="2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from allowance for unfunded loan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sale reduction to provision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(118,794)</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provisions</w:t>
            </w:r>
            <w:r>
              <w:rPr>
                <w:rFonts w:ascii="Arial;sans-serif" w:hAnsi="Arial;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13,541 </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(77,531)</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ending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1,526,104 </w:t>
            </w:r>
          </w:p>
        </w:tc>
        <w:tc>
          <w:tcPr>
            <w:tcW w:w="2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beginning balance</w:t>
            </w:r>
            <w:r>
              <w:rPr>
                <w:rFonts w:ascii="Arial;sans-serif" w:hAnsi="Arial;sans-serif"/>
                <w:b/>
                <w:color w:val="144F82"/>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52,541 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Provision</w:t>
            </w:r>
            <w:r>
              <w:rPr>
                <w:rFonts w:ascii="Arial;sans-serif" w:hAnsi="Arial;sans-serif"/>
                <w:b w:val="false"/>
                <w:color w:val="000000"/>
                <w:sz w:val="10"/>
              </w:rPr>
              <w:t>(1)(3)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154,758 </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to allowance for loan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ending balance</w:t>
            </w:r>
            <w:r>
              <w:rPr>
                <w:rFonts w:ascii="Arial;sans-serif" w:hAnsi="Arial;sans-serif"/>
                <w:b/>
                <w:color w:val="144F82"/>
                <w:sz w:val="10"/>
              </w:rPr>
              <w:t>(2)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97,877 </w:t>
            </w:r>
          </w:p>
        </w:tc>
        <w:tc>
          <w:tcPr>
            <w:tcW w:w="2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allowance for credit losses, ending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1,623,981 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charge-offs as a percentage of average loans in repayment (annualized)</w:t>
            </w:r>
            <w:r>
              <w:rPr>
                <w:rFonts w:ascii="Arial;sans-serif" w:hAnsi="Arial;sans-serif"/>
                <w:b w:val="false"/>
                <w:color w:val="000000"/>
                <w:sz w:val="10"/>
              </w:rPr>
              <w:t>(4)</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25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loan losses coverage of net charge-offs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Allowance Percentage of Private Education Loan Exposure</w:t>
            </w:r>
            <w:r>
              <w:rPr>
                <w:rFonts w:ascii="Arial;sans-serif" w:hAnsi="Arial;sans-serif"/>
                <w:b w:val="false"/>
                <w:color w:val="000000"/>
                <w:sz w:val="10"/>
              </w:rPr>
              <w:t>(5)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25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total loans,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23,029,999 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Average loans in repayment</w:t>
            </w:r>
            <w:r>
              <w:rPr>
                <w:rFonts w:ascii="Arial;sans-serif" w:hAnsi="Arial;sans-serif"/>
                <w:b w:val="false"/>
                <w:color w:val="000000"/>
                <w:sz w:val="10"/>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15,870,798 </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loans in repayment</w:t>
            </w:r>
            <w:r>
              <w:rPr>
                <w:rFonts w:ascii="Arial;sans-serif" w:hAnsi="Arial;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16,292,470 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Unfunded loan commitments for loans held for investment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2,673,369 </w:t>
            </w:r>
          </w:p>
        </w:tc>
        <w:tc>
          <w:tcPr>
            <w:tcW w:w="2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1,693,268 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See “—Provisions for Credit Losses” below in this Note 5 for a reconciliation of the provisions for credit losses reported in the consolidated statements of operations. </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(2)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“—Unfunded Loan Commitments” in this Note 5 for further discussion.</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before="0" w:after="0"/>
        <w:jc w:val="left"/>
        <w:rPr/>
      </w:pPr>
      <w:r>
        <w:rPr/>
      </w:r>
    </w:p>
    <w:p>
      <w:pPr>
        <w:pStyle w:val="TextBody"/>
        <w:bidi w:val="0"/>
        <w:spacing w:lineRule="auto" w:line="288" w:before="0" w:after="0"/>
        <w:ind w:left="0" w:right="0" w:hanging="180"/>
        <w:jc w:val="left"/>
        <w:rPr>
          <w:rFonts w:ascii="Arial;sans-serif" w:hAnsi="Arial;sans-serif"/>
          <w:b w:val="false"/>
          <w:color w:val="FFFFFF"/>
          <w:sz w:val="14"/>
        </w:rPr>
      </w:pPr>
      <w:r>
        <w:rPr>
          <w:rFonts w:ascii="Arial;sans-serif" w:hAnsi="Arial;sans-serif"/>
          <w:b w:val="false"/>
          <w:color w:val="FFFFFF"/>
          <w:sz w:val="14"/>
        </w:rPr>
        <w:t>l</w:t>
      </w:r>
    </w:p>
    <w:p>
      <w:pPr>
        <w:pStyle w:val="TextBody"/>
        <w:bidi w:val="0"/>
        <w:spacing w:before="100" w:after="283"/>
        <w:ind w:left="0" w:right="0" w:hanging="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19</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50" w:type="dxa"/>
        <w:jc w:val="center"/>
        <w:tblInd w:w="0" w:type="dxa"/>
        <w:tblLayout w:type="fixed"/>
        <w:tblCellMar>
          <w:top w:w="28" w:type="dxa"/>
          <w:left w:w="28" w:type="dxa"/>
          <w:bottom w:w="28" w:type="dxa"/>
          <w:right w:w="28" w:type="dxa"/>
        </w:tblCellMar>
      </w:tblPr>
      <w:tblGrid>
        <w:gridCol w:w="2143"/>
        <w:gridCol w:w="1888"/>
        <w:gridCol w:w="1894"/>
        <w:gridCol w:w="109"/>
        <w:gridCol w:w="109"/>
        <w:gridCol w:w="109"/>
        <w:gridCol w:w="109"/>
        <w:gridCol w:w="109"/>
        <w:gridCol w:w="208"/>
        <w:gridCol w:w="1020"/>
        <w:gridCol w:w="271"/>
        <w:gridCol w:w="109"/>
        <w:gridCol w:w="109"/>
        <w:gridCol w:w="109"/>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Nine Months Ended September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w:t>
              <w:b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1,430,318 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from allowance for unfunded loan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244,589 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sale reduction to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(139,896)</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transferred to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provisions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58,256 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Charge-offs</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(330,725)</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(292,004)</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1,449,614 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beginning balance</w:t>
            </w:r>
            <w:r>
              <w:rPr>
                <w:rFonts w:ascii="Arial;sans-serif" w:hAnsi="Arial;sans-serif"/>
                <w:b/>
                <w:color w:val="144F82"/>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77,132 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Provision</w:t>
            </w:r>
            <w:r>
              <w:rPr>
                <w:rFonts w:ascii="Arial;sans-serif" w:hAnsi="Arial;sans-serif"/>
                <w:b w:val="false"/>
                <w:color w:val="000000"/>
                <w:sz w:val="1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to allowance for loan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(253,044)</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ending balance</w:t>
            </w:r>
            <w:r>
              <w:rPr>
                <w:rFonts w:ascii="Arial;sans-serif" w:hAnsi="Arial;sans-serif"/>
                <w:b/>
                <w:color w:val="144F82"/>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allowance for credit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1,543,318 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charge-offs as a percentage of average loans in repayment (annualized)</w:t>
            </w:r>
            <w:r>
              <w:rPr>
                <w:rFonts w:ascii="Arial;sans-serif" w:hAnsi="Arial;sans-serif"/>
                <w:b w:val="false"/>
                <w:color w:val="000000"/>
                <w:sz w:val="1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Allowance for loan losses coverage of net charge-offs (annualized)</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Allowance Percentage of Private Education Loan Exposure</w:t>
            </w:r>
            <w:r>
              <w:rPr>
                <w:rFonts w:ascii="Arial;sans-serif" w:hAnsi="Arial;sans-serif"/>
                <w:b w:val="false"/>
                <w:color w:val="000000"/>
                <w:sz w:val="1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total loans, 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21,966,017 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Average loans in repayment</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15,756,540 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loans in repayment</w:t>
            </w:r>
            <w:r>
              <w:rPr>
                <w:rFonts w:ascii="Arial;sans-serif" w:hAnsi="Arial;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16,043,441 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Unfunded loan commitments for loans held for investment</w:t>
            </w:r>
            <w:r>
              <w:rPr>
                <w:rFonts w:ascii="Arial;sans-serif" w:hAnsi="Arial;sans-serif"/>
                <w:b w:val="false"/>
                <w:color w:val="000000"/>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interest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1,674,856 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See “—Provisions for Credit Losses” below in this Note 5 for a reconciliation of the provisions for credit losses reported in the consolidated statements of operations. </w:t>
      </w:r>
    </w:p>
    <w:p>
      <w:pPr>
        <w:pStyle w:val="TextBody"/>
        <w:bidi w:val="0"/>
        <w:spacing w:lineRule="auto" w:line="288" w:before="100" w:after="283"/>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 xml:space="preserve">The above table excludes the initial allowance and immediate charge-off of $19.1 million of loans previously charged off by unconsolidated Private Education Loan Securitizations that were purchased by the Company during the nine months ended September 30, 2026 following the exercise of optional clean-up calls. </w:t>
      </w:r>
    </w:p>
    <w:p>
      <w:pPr>
        <w:pStyle w:val="TextBody"/>
        <w:bidi w:val="0"/>
        <w:spacing w:lineRule="auto" w:line="288" w:before="100" w:after="283"/>
        <w:ind w:left="0" w:right="0" w:hanging="18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“—Unfunded Loan Commitments” in this Note 5 for further discussion.</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(6)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lineRule="auto" w:line="288" w:before="100" w:after="283"/>
        <w:ind w:left="0" w:right="0" w:hanging="180"/>
        <w:jc w:val="left"/>
        <w:rPr/>
      </w:pPr>
      <w:r>
        <w:rPr>
          <w:rFonts w:ascii="Arial;sans-serif" w:hAnsi="Arial;sans-serif"/>
          <w:b w:val="false"/>
          <w:color w:val="000000"/>
          <w:sz w:val="9"/>
        </w:rPr>
        <w:t xml:space="preserve">(7) </w:t>
      </w:r>
      <w:r>
        <w:rPr>
          <w:rFonts w:ascii="Arial;sans-serif" w:hAnsi="Arial;sans-serif"/>
          <w:b w:val="false"/>
          <w:color w:val="000000"/>
          <w:sz w:val="14"/>
        </w:rPr>
        <w:t xml:space="preserve">Unfunded loan commitments for loans held for investment and the calculation of the Total Allowance Percentage of Private Education Loan Exposure do not include $672 million of unfunded loan commitments associated with loans classified as held for sale at September 30, 2026. Due to the near-term timing of the loan sale and credit quality of the loans, we believe there is no risk of credit loss and are not recording an allowance for the unfunded loan commitments related to the loans classified as held for sale. </w:t>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20</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tbl>
      <w:tblPr>
        <w:tblW w:w="8330" w:type="dxa"/>
        <w:jc w:val="left"/>
        <w:tblInd w:w="0" w:type="dxa"/>
        <w:tblLayout w:type="fixed"/>
        <w:tblCellMar>
          <w:top w:w="28" w:type="dxa"/>
          <w:left w:w="28" w:type="dxa"/>
          <w:bottom w:w="28" w:type="dxa"/>
          <w:right w:w="28" w:type="dxa"/>
        </w:tblCellMar>
      </w:tblPr>
      <w:tblGrid>
        <w:gridCol w:w="2100"/>
        <w:gridCol w:w="1850"/>
        <w:gridCol w:w="1855"/>
        <w:gridCol w:w="109"/>
        <w:gridCol w:w="109"/>
        <w:gridCol w:w="109"/>
        <w:gridCol w:w="109"/>
        <w:gridCol w:w="109"/>
        <w:gridCol w:w="208"/>
        <w:gridCol w:w="1020"/>
        <w:gridCol w:w="271"/>
        <w:gridCol w:w="109"/>
        <w:gridCol w:w="109"/>
        <w:gridCol w:w="109"/>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Nine Months Ended September 30, 2025</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w:t>
              <w:b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1,435,920 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from allowance for unfunded loan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sale reduction to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(235,253)</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provisions</w:t>
            </w:r>
            <w:r>
              <w:rPr>
                <w:rFonts w:ascii="Arial;sans-serif" w:hAnsi="Arial;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95,723 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36,868 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(247,973)</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Allowance for loan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1,526,104 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beginning balance</w:t>
            </w:r>
            <w:r>
              <w:rPr>
                <w:rFonts w:ascii="Arial;sans-serif" w:hAnsi="Arial;sans-serif"/>
                <w:b/>
                <w:color w:val="144F82"/>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84,568 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Provision</w:t>
            </w:r>
            <w:r>
              <w:rPr>
                <w:rFonts w:ascii="Arial;sans-serif" w:hAnsi="Arial;sans-serif"/>
                <w:b w:val="false"/>
                <w:color w:val="000000"/>
                <w:sz w:val="1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255,743 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to allowance for loan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(242,434)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Allowance for unfunded loan commitments, ending balance</w:t>
            </w:r>
            <w:r>
              <w:rPr>
                <w:rFonts w:ascii="Arial;sans-serif" w:hAnsi="Arial;sans-serif"/>
                <w:b/>
                <w:color w:val="144F82"/>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97,877 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allowance for credit losses,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1,623,981 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charge-offs as a percentage of average loans in repayment (annualized)</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2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loan losses coverage of net charge-offs (annualized)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Allowance Percentage of Private Education Loan Exposure</w:t>
            </w:r>
            <w:r>
              <w:rPr>
                <w:rFonts w:ascii="Arial;sans-serif" w:hAnsi="Arial;sans-serif"/>
                <w:b w:val="false"/>
                <w:color w:val="000000"/>
                <w:sz w:val="1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total loans, 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23,029,999 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Average loans in repayment</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16,027,567 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loans in repayment</w:t>
            </w:r>
            <w:r>
              <w:rPr>
                <w:rFonts w:ascii="Arial;sans-serif" w:hAnsi="Arial;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16,292,470 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Unfunded loan commitments for loans held for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2,673,369 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accrued interest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See “—Provisions for Credit Losses” below in this Note 5 for a reconciliation of the provisions for credit losses reported in the consolidated statements of operations. </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(2)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“—Unfunded Loan Commitments” in this Note 5 for further discussion.</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21</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center"/>
        <w:rPr/>
      </w:pPr>
      <w:r>
        <w:rPr/>
      </w:r>
    </w:p>
    <w:p>
      <w:pPr>
        <w:pStyle w:val="TextBody"/>
        <w:bidi w:val="0"/>
        <w:spacing w:lineRule="auto" w:line="288" w:before="60" w:after="283"/>
        <w:ind w:left="0" w:right="0" w:firstLine="225"/>
        <w:jc w:val="left"/>
        <w:rPr>
          <w:rFonts w:ascii="Arial;sans-serif" w:hAnsi="Arial;sans-serif"/>
          <w:b w:val="false"/>
          <w:i/>
          <w:color w:val="000000"/>
          <w:sz w:val="20"/>
        </w:rPr>
      </w:pPr>
      <w:r>
        <w:rPr>
          <w:rFonts w:ascii="Arial;sans-serif" w:hAnsi="Arial;sans-serif"/>
          <w:b w:val="false"/>
          <w:i/>
          <w:color w:val="000000"/>
          <w:sz w:val="20"/>
        </w:rPr>
        <w:t xml:space="preserve">Provisions for Credit Losses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Below is a reconciliation of the provisions for credit losses reported in the consolidated statements of operations.</w:t>
      </w:r>
    </w:p>
    <w:tbl>
      <w:tblPr>
        <w:tblW w:w="10205" w:type="dxa"/>
        <w:jc w:val="center"/>
        <w:tblInd w:w="0" w:type="dxa"/>
        <w:tblLayout w:type="fixed"/>
        <w:tblCellMar>
          <w:top w:w="28" w:type="dxa"/>
          <w:left w:w="28" w:type="dxa"/>
          <w:bottom w:w="28" w:type="dxa"/>
          <w:right w:w="28" w:type="dxa"/>
        </w:tblCellMar>
      </w:tblPr>
      <w:tblGrid>
        <w:gridCol w:w="1565"/>
        <w:gridCol w:w="1374"/>
        <w:gridCol w:w="1380"/>
        <w:gridCol w:w="109"/>
        <w:gridCol w:w="109"/>
        <w:gridCol w:w="109"/>
        <w:gridCol w:w="221"/>
        <w:gridCol w:w="831"/>
        <w:gridCol w:w="122"/>
        <w:gridCol w:w="122"/>
        <w:gridCol w:w="122"/>
        <w:gridCol w:w="122"/>
        <w:gridCol w:w="221"/>
        <w:gridCol w:w="831"/>
        <w:gridCol w:w="122"/>
        <w:gridCol w:w="109"/>
        <w:gridCol w:w="109"/>
        <w:gridCol w:w="109"/>
        <w:gridCol w:w="252"/>
        <w:gridCol w:w="833"/>
        <w:gridCol w:w="140"/>
        <w:gridCol w:w="252"/>
        <w:gridCol w:w="833"/>
        <w:gridCol w:w="208"/>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Consolidated Statements of Operations</w:t>
              <w:br/>
              <w:t>Provisions for Credit Losses Reconciliation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Nine Months Ended September 30,</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2026</w:t>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2025</w:t>
            </w:r>
          </w:p>
        </w:tc>
      </w:tr>
      <w:tr>
        <w:trPr/>
        <w:tc>
          <w:tcPr>
            <w:tcW w:w="431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credit losses: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loan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unfunded loan commitments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153,230 </w:t>
            </w:r>
          </w:p>
        </w:tc>
        <w:tc>
          <w:tcPr>
            <w:tcW w:w="12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154,758 </w:t>
            </w:r>
          </w:p>
        </w:tc>
        <w:tc>
          <w:tcPr>
            <w:tcW w:w="12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269,616 </w:t>
            </w:r>
          </w:p>
        </w:tc>
        <w:tc>
          <w:tcPr>
            <w:tcW w:w="14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255,743 </w:t>
            </w:r>
          </w:p>
        </w:tc>
        <w:tc>
          <w:tcPr>
            <w:tcW w:w="20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Provisions for credit losses reported in consolidated statements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213,675 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179,462 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327,872 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351,466 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Provision for credit losses for the nine months ended September 30, 2026 decreased by $24 million, compared with the year-ago period. During the nine months ended September 30, 2026, the provision for credit losses was primarily affected by $140 million in negative provisions recorded as a result of the $4.07 billion in Private Education Loan sales during the first nine months of 2026, offset by new loan commitments, net of expired commitments. In the year-ago period, the provision for credit losses was primarily affected by new loan commitments, net of expired commitments, and changes in economic outlook, offset by $235 million in negative provisions recorded as a result of the $3.94 billion Private Education Loan sale during the first nine months of 2025.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allowance for credit losses incorporates an estimate of lifetime expected credit losses and is recorded on each asset upon asset origination or acquisition. The starting point for the estimate of the allowance for credit losses is historical information, which includes losses from modifications of receivables whose borrowers are experiencing financial difficulty. We use a discounted cash flow model to determine the allowance for credit losses. An assessment of whether a borrower is experiencing financial difficulty is made as of the date of a modification.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effect of most modifications of loans made to borrowers who are experiencing financial difficulty is already included in the allowance for credit losses because of the measurement methodologies used to estimate the allowance. The forecast of expected future cash flows is updated as the loan modifications occur.</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part of concluding on the adequacy of the allowance for credit losses, we review key allowance and loan metrics. The most significant of the metrics considered are the allowance coverage of net charge-offs ratio; the allowance as a percentage of ending total loans plus unfunded loan commitments and total accrued interest receivable (which we refer to as the “Total Allowance Percentage of Private Education Loan Exposure”); and delinquency and forbearance percentages. </w:t>
      </w:r>
    </w:p>
    <w:p>
      <w:pPr>
        <w:pStyle w:val="TextBody"/>
        <w:bidi w:val="0"/>
        <w:spacing w:lineRule="auto" w:line="26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Within the Private Education Loan portfolio, we deem loans greater than 90 days past due as nonperforming.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additional information, see Note 1, “Significant Accounting Policies — Allowance for Credit Losses” in this Form 10-Q and Note 7, “Allowance for Credit Losses and Unfunded Loan Commitments” in our 2025 Form 10-K. </w:t>
      </w:r>
    </w:p>
    <w:p>
      <w:pPr>
        <w:pStyle w:val="TextBody"/>
        <w:bidi w:val="0"/>
        <w:spacing w:lineRule="auto" w:line="288" w:before="120" w:after="283"/>
        <w:ind w:left="0" w:right="0" w:firstLine="225"/>
        <w:jc w:val="left"/>
        <w:rPr>
          <w:rFonts w:ascii="Arial;sans-serif" w:hAnsi="Arial;sans-serif"/>
          <w:b w:val="false"/>
          <w:i/>
          <w:color w:val="000000"/>
          <w:sz w:val="20"/>
        </w:rPr>
      </w:pPr>
      <w:r>
        <w:rPr>
          <w:rFonts w:ascii="Arial;sans-serif" w:hAnsi="Arial;sans-serif"/>
          <w:b w:val="false"/>
          <w:i/>
          <w:color w:val="000000"/>
          <w:sz w:val="20"/>
        </w:rPr>
        <w:t xml:space="preserve">Forbearance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Under our current forbearance practices, temporary forbearance of payments is generally granted in one-to-two month increments, for up to 12 months over the life of the loan, with 12 months of positive payment performance by a borrower required between grants (meaning the borrower must make payment in a cumulative amount equivalent to 12 monthly required payments under the loan). During the first six months following a borrower’s grace period, the borrower may be eligible for extended grace forbearance in one six-month increment (which would also count towards the 12-month forbearance cap). Due to our current forbearance practices, including the limitations on forbearances offered to borrowers, we do not believe the granting of forbearances will exceed the significance threshold under our accounting policy and, therefore, we do not consider the forbearances as loan modifications for the purposes of the tables below.</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additional information on our forbearance and modification programs, see Note 5, “Loans Held for Investment —Certain Collection Tools — Private Education Loans” in our 2025 Form 10-K. The tables below provide information about modifications to borrowers experiencing financial difficulty.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offer certain administrative forbearances (e.g., death and disability, bankruptcy, military service, and disaster forbearance) that are required by law (such as by the Servicemembers Civil Relief Act), as well as in school assistance, that are considered separate from our active loss mitigation programs, or do not exceed the significance threshold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22</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therefore are not considered to be loan modifications requiring disclosure. In addition, we may offer on a limited basis term extensions or rate reductions or a combination of both to borrowers to reduce consolidation activities. We do not consider them modifications of loans to borrowers experiencing financial difficulty and they therefore are not included in the tables below. </w:t>
      </w:r>
    </w:p>
    <w:p>
      <w:pPr>
        <w:pStyle w:val="TextBody"/>
        <w:bidi w:val="0"/>
        <w:spacing w:lineRule="auto" w:line="288" w:before="120" w:after="283"/>
        <w:ind w:left="0" w:right="0" w:firstLine="225"/>
        <w:jc w:val="left"/>
        <w:rPr>
          <w:rFonts w:ascii="Arial;sans-serif" w:hAnsi="Arial;sans-serif"/>
          <w:b w:val="false"/>
          <w:i/>
          <w:color w:val="000000"/>
          <w:sz w:val="20"/>
        </w:rPr>
      </w:pPr>
      <w:r>
        <w:rPr>
          <w:rFonts w:ascii="Arial;sans-serif" w:hAnsi="Arial;sans-serif"/>
          <w:b w:val="false"/>
          <w:i/>
          <w:color w:val="000000"/>
          <w:sz w:val="20"/>
        </w:rPr>
        <w:t>Loan Modifications to Borrowers Experiencing Financial Difficulty</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show the amortized cost basis at the end of the respective reporting periods of the loans to borrowers experiencing financial difficulty that were modified during the period, disaggregated by class of financing receivable and type of modification. When we approve a Private Education Loan at the beginning of an academic year, we do not always disburse the full amount of the loan at the time of approval, but instead have a commitment to fund a portion of the loan at a later date (usually at the start of the second semester or subsequent trimesters). We consider borrowers to be in financial difficulty after they have exited school and have difficulty making their scheduled principal and interest payments.</w:t>
      </w:r>
    </w:p>
    <w:tbl>
      <w:tblPr>
        <w:tblW w:w="10205" w:type="dxa"/>
        <w:jc w:val="center"/>
        <w:tblInd w:w="0" w:type="dxa"/>
        <w:tblLayout w:type="fixed"/>
        <w:tblCellMar>
          <w:top w:w="28" w:type="dxa"/>
          <w:left w:w="28" w:type="dxa"/>
          <w:bottom w:w="28" w:type="dxa"/>
          <w:right w:w="28" w:type="dxa"/>
        </w:tblCellMar>
      </w:tblPr>
      <w:tblGrid>
        <w:gridCol w:w="649"/>
        <w:gridCol w:w="497"/>
        <w:gridCol w:w="499"/>
        <w:gridCol w:w="109"/>
        <w:gridCol w:w="109"/>
        <w:gridCol w:w="109"/>
        <w:gridCol w:w="289"/>
        <w:gridCol w:w="847"/>
        <w:gridCol w:w="149"/>
        <w:gridCol w:w="127"/>
        <w:gridCol w:w="127"/>
        <w:gridCol w:w="127"/>
        <w:gridCol w:w="473"/>
        <w:gridCol w:w="422"/>
        <w:gridCol w:w="1052"/>
        <w:gridCol w:w="127"/>
        <w:gridCol w:w="127"/>
        <w:gridCol w:w="127"/>
        <w:gridCol w:w="328"/>
        <w:gridCol w:w="1286"/>
        <w:gridCol w:w="169"/>
        <w:gridCol w:w="169"/>
        <w:gridCol w:w="169"/>
        <w:gridCol w:w="169"/>
        <w:gridCol w:w="430"/>
        <w:gridCol w:w="430"/>
        <w:gridCol w:w="1089"/>
      </w:tblGrid>
      <w:tr>
        <w:trPr/>
        <w:tc>
          <w:tcPr>
            <w:tcW w:w="6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 Modifications Made to Borrowers Experiencing Financial Difficulty</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Three Months Ended September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Interest Rate Reduction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Combination - Interest Rate Reduction and Term Extension</w:t>
            </w:r>
          </w:p>
        </w:tc>
      </w:tr>
      <w:tr>
        <w:trPr/>
        <w:tc>
          <w:tcPr>
            <w:tcW w:w="1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Loan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r>
      <w:tr>
        <w:trPr/>
        <w:tc>
          <w:tcPr>
            <w:tcW w:w="164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9,767 </w:t>
            </w:r>
          </w:p>
        </w:tc>
        <w:tc>
          <w:tcPr>
            <w:tcW w:w="14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5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232,982 </w:t>
            </w:r>
          </w:p>
        </w:tc>
        <w:tc>
          <w:tcPr>
            <w:tcW w:w="16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0.98 </w:t>
            </w:r>
          </w:p>
        </w:tc>
        <w:tc>
          <w:tcPr>
            <w:tcW w:w="108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9,767 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232,982 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0.98 </w:t>
            </w:r>
          </w:p>
        </w:tc>
        <w:tc>
          <w:tcPr>
            <w:tcW w:w="10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4239" w:type="dxa"/>
            <w:gridSpan w:val="9"/>
            <w:tcBorders/>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2456" w:type="dxa"/>
            <w:gridSpan w:val="6"/>
            <w:tcBorders/>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649"/>
        <w:gridCol w:w="497"/>
        <w:gridCol w:w="499"/>
        <w:gridCol w:w="109"/>
        <w:gridCol w:w="109"/>
        <w:gridCol w:w="109"/>
        <w:gridCol w:w="289"/>
        <w:gridCol w:w="847"/>
        <w:gridCol w:w="149"/>
        <w:gridCol w:w="127"/>
        <w:gridCol w:w="127"/>
        <w:gridCol w:w="127"/>
        <w:gridCol w:w="473"/>
        <w:gridCol w:w="422"/>
        <w:gridCol w:w="1052"/>
        <w:gridCol w:w="127"/>
        <w:gridCol w:w="127"/>
        <w:gridCol w:w="127"/>
        <w:gridCol w:w="328"/>
        <w:gridCol w:w="1286"/>
        <w:gridCol w:w="169"/>
        <w:gridCol w:w="169"/>
        <w:gridCol w:w="169"/>
        <w:gridCol w:w="169"/>
        <w:gridCol w:w="430"/>
        <w:gridCol w:w="430"/>
        <w:gridCol w:w="1089"/>
      </w:tblGrid>
      <w:tr>
        <w:trPr/>
        <w:tc>
          <w:tcPr>
            <w:tcW w:w="64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 Modifications Made to Borrowers Experiencing Financial Difficulty</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Three Months Ended September 30, 2025</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Interest Rate Reduction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Combination - Interest Rate Reduction and Term Extension</w:t>
            </w:r>
          </w:p>
        </w:tc>
      </w:tr>
      <w:tr>
        <w:trPr/>
        <w:tc>
          <w:tcPr>
            <w:tcW w:w="1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Loan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r>
      <w:tr>
        <w:trPr/>
        <w:tc>
          <w:tcPr>
            <w:tcW w:w="164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6,866 </w:t>
            </w:r>
          </w:p>
        </w:tc>
        <w:tc>
          <w:tcPr>
            <w:tcW w:w="14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5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142,208 </w:t>
            </w:r>
          </w:p>
        </w:tc>
        <w:tc>
          <w:tcPr>
            <w:tcW w:w="16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8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6,866 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0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142,208 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0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4239" w:type="dxa"/>
            <w:gridSpan w:val="9"/>
            <w:tcBorders/>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2456" w:type="dxa"/>
            <w:gridSpan w:val="6"/>
            <w:tcBorders/>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637"/>
        <w:gridCol w:w="486"/>
        <w:gridCol w:w="488"/>
        <w:gridCol w:w="109"/>
        <w:gridCol w:w="109"/>
        <w:gridCol w:w="109"/>
        <w:gridCol w:w="273"/>
        <w:gridCol w:w="934"/>
        <w:gridCol w:w="141"/>
        <w:gridCol w:w="125"/>
        <w:gridCol w:w="125"/>
        <w:gridCol w:w="125"/>
        <w:gridCol w:w="471"/>
        <w:gridCol w:w="421"/>
        <w:gridCol w:w="1049"/>
        <w:gridCol w:w="125"/>
        <w:gridCol w:w="125"/>
        <w:gridCol w:w="125"/>
        <w:gridCol w:w="327"/>
        <w:gridCol w:w="1283"/>
        <w:gridCol w:w="168"/>
        <w:gridCol w:w="168"/>
        <w:gridCol w:w="168"/>
        <w:gridCol w:w="168"/>
        <w:gridCol w:w="428"/>
        <w:gridCol w:w="428"/>
        <w:gridCol w:w="1090"/>
      </w:tblGrid>
      <w:tr>
        <w:trPr/>
        <w:tc>
          <w:tcPr>
            <w:tcW w:w="6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1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 Modifications Made to Borrowers Experiencing Financial Difficulty</w:t>
            </w:r>
          </w:p>
        </w:tc>
      </w:tr>
      <w:tr>
        <w:trPr/>
        <w:tc>
          <w:tcPr>
            <w:tcW w:w="1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Nine Months Ended September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Interest Rate Reduction</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Combination - Interest Rate Reduction and Term Extension</w:t>
            </w:r>
          </w:p>
        </w:tc>
      </w:tr>
      <w:tr>
        <w:trPr/>
        <w:tc>
          <w:tcPr>
            <w:tcW w:w="1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Loan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r>
      <w:tr>
        <w:trPr/>
        <w:tc>
          <w:tcPr>
            <w:tcW w:w="161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24,599 </w:t>
            </w:r>
          </w:p>
        </w:tc>
        <w:tc>
          <w:tcPr>
            <w:tcW w:w="14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4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5"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582,804 </w:t>
            </w:r>
          </w:p>
        </w:tc>
        <w:tc>
          <w:tcPr>
            <w:tcW w:w="16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09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24,599 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0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582,804 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0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4228" w:type="dxa"/>
            <w:gridSpan w:val="9"/>
            <w:tcBorders/>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2450" w:type="dxa"/>
            <w:gridSpan w:val="6"/>
            <w:tcBorders/>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637"/>
        <w:gridCol w:w="486"/>
        <w:gridCol w:w="488"/>
        <w:gridCol w:w="109"/>
        <w:gridCol w:w="109"/>
        <w:gridCol w:w="109"/>
        <w:gridCol w:w="273"/>
        <w:gridCol w:w="934"/>
        <w:gridCol w:w="141"/>
        <w:gridCol w:w="125"/>
        <w:gridCol w:w="125"/>
        <w:gridCol w:w="125"/>
        <w:gridCol w:w="471"/>
        <w:gridCol w:w="421"/>
        <w:gridCol w:w="1049"/>
        <w:gridCol w:w="125"/>
        <w:gridCol w:w="125"/>
        <w:gridCol w:w="125"/>
        <w:gridCol w:w="327"/>
        <w:gridCol w:w="1283"/>
        <w:gridCol w:w="168"/>
        <w:gridCol w:w="168"/>
        <w:gridCol w:w="168"/>
        <w:gridCol w:w="168"/>
        <w:gridCol w:w="428"/>
        <w:gridCol w:w="428"/>
        <w:gridCol w:w="1090"/>
      </w:tblGrid>
      <w:tr>
        <w:trPr/>
        <w:tc>
          <w:tcPr>
            <w:tcW w:w="6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1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 Modifications Made to Borrowers Experiencing Financial Difficulty</w:t>
            </w:r>
          </w:p>
        </w:tc>
      </w:tr>
      <w:tr>
        <w:trPr/>
        <w:tc>
          <w:tcPr>
            <w:tcW w:w="1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Nine Months Ended September 30, 2025</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Interest Rate Reduction</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Combination - Interest Rate Reduction and Term Extension</w:t>
            </w:r>
          </w:p>
        </w:tc>
      </w:tr>
      <w:tr>
        <w:trPr/>
        <w:tc>
          <w:tcPr>
            <w:tcW w:w="1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Loan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Amortized Cost Basis</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of Total Class of Financing Receivable</w:t>
            </w:r>
          </w:p>
        </w:tc>
      </w:tr>
      <w:tr>
        <w:trPr/>
        <w:tc>
          <w:tcPr>
            <w:tcW w:w="161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18,272 </w:t>
            </w:r>
          </w:p>
        </w:tc>
        <w:tc>
          <w:tcPr>
            <w:tcW w:w="14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4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5"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379,091 </w:t>
            </w:r>
          </w:p>
        </w:tc>
        <w:tc>
          <w:tcPr>
            <w:tcW w:w="16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18,272 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379,091 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4228" w:type="dxa"/>
            <w:gridSpan w:val="9"/>
            <w:tcBorders/>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2450" w:type="dxa"/>
            <w:gridSpan w:val="6"/>
            <w:tcBorders/>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23</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tables summarize the financial effect of the modifications made to loans whose borrowers are experiencing financial difficulty: </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816"/>
        <w:gridCol w:w="698"/>
        <w:gridCol w:w="702"/>
        <w:gridCol w:w="121"/>
        <w:gridCol w:w="121"/>
        <w:gridCol w:w="121"/>
        <w:gridCol w:w="774"/>
        <w:gridCol w:w="774"/>
        <w:gridCol w:w="775"/>
        <w:gridCol w:w="121"/>
        <w:gridCol w:w="121"/>
        <w:gridCol w:w="121"/>
        <w:gridCol w:w="746"/>
        <w:gridCol w:w="726"/>
        <w:gridCol w:w="728"/>
        <w:gridCol w:w="121"/>
        <w:gridCol w:w="121"/>
        <w:gridCol w:w="121"/>
        <w:gridCol w:w="692"/>
        <w:gridCol w:w="692"/>
        <w:gridCol w:w="993"/>
      </w:tblGrid>
      <w:tr>
        <w:trPr/>
        <w:tc>
          <w:tcPr>
            <w:tcW w:w="8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September 30,</w:t>
            </w:r>
          </w:p>
        </w:tc>
      </w:tr>
      <w:tr>
        <w:trPr/>
        <w:tc>
          <w:tcPr>
            <w:tcW w:w="49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2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Interest Rate Reduction</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 xml:space="preserve">Combination - </w:t>
              <w:br/>
              <w:t>Interest Rate Reduction and Term Extension</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Interest Rate Reduction</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 xml:space="preserve">Combination - </w:t>
              <w:br/>
              <w:t>Interest Rate Reduction and Term Extension</w:t>
            </w:r>
          </w:p>
        </w:tc>
      </w:tr>
      <w:tr>
        <w:trPr/>
        <w:tc>
          <w:tcPr>
            <w:tcW w:w="2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12.96% to 4.53%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Added a weighted average 9.44 years to the life of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12.12% to 3.05%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12.44% to 4.46%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Added a weighted average 9.33 years to the life of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12.41% to 4.23%</w:t>
            </w:r>
          </w:p>
        </w:tc>
      </w:tr>
      <w:tr>
        <w:trPr/>
        <w:tc>
          <w:tcPr>
            <w:tcW w:w="221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2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2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77" w:type="dxa"/>
            <w:gridSpan w:val="3"/>
            <w:tcBorders/>
            <w:vAlign w:val="center"/>
          </w:tcPr>
          <w:p>
            <w:pPr>
              <w:pStyle w:val="TableContents"/>
              <w:bidi w:val="0"/>
              <w:spacing w:before="0" w:after="283"/>
              <w:jc w:val="left"/>
              <w:rPr>
                <w:sz w:val="4"/>
                <w:szCs w:val="4"/>
              </w:rPr>
            </w:pPr>
            <w:r>
              <w:rPr>
                <w:sz w:val="4"/>
                <w:szCs w:val="4"/>
              </w:rPr>
            </w:r>
          </w:p>
        </w:tc>
      </w:tr>
      <w:tr>
        <w:trPr/>
        <w:tc>
          <w:tcPr>
            <w:tcW w:w="221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2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20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817"/>
        <w:gridCol w:w="699"/>
        <w:gridCol w:w="703"/>
        <w:gridCol w:w="120"/>
        <w:gridCol w:w="120"/>
        <w:gridCol w:w="120"/>
        <w:gridCol w:w="775"/>
        <w:gridCol w:w="775"/>
        <w:gridCol w:w="776"/>
        <w:gridCol w:w="120"/>
        <w:gridCol w:w="120"/>
        <w:gridCol w:w="120"/>
        <w:gridCol w:w="747"/>
        <w:gridCol w:w="727"/>
        <w:gridCol w:w="729"/>
        <w:gridCol w:w="120"/>
        <w:gridCol w:w="120"/>
        <w:gridCol w:w="120"/>
        <w:gridCol w:w="693"/>
        <w:gridCol w:w="693"/>
        <w:gridCol w:w="991"/>
      </w:tblGrid>
      <w:tr>
        <w:trPr/>
        <w:tc>
          <w:tcPr>
            <w:tcW w:w="8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Nine Months Ended September 30,</w:t>
            </w:r>
          </w:p>
        </w:tc>
      </w:tr>
      <w:tr>
        <w:trPr/>
        <w:tc>
          <w:tcPr>
            <w:tcW w:w="49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2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Interest Rate Reduction</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 xml:space="preserve">Combination - </w:t>
              <w:br/>
              <w:t>Interest Rate Reduction and Term Extension</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Interest Rate Reduction</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 xml:space="preserve">Combination - </w:t>
              <w:br/>
              <w:t>Interest Rate Reduction and Term Extension</w:t>
            </w:r>
          </w:p>
        </w:tc>
      </w:tr>
      <w:tr>
        <w:trPr/>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c>
          <w:tcPr>
            <w:tcW w:w="36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Financial Effect: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12.80% to 4.45%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Added a weighted average 9.52 years to the life of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12.05% to 2.97%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12.77% to 4.39%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Added a weighted average 9.39 years to the life of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Reduced average contractual rate from 12.32% to 4.08%</w:t>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77"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Private Education Loans are charged off at the end of the month in which they reach 120 days delinquent or otherwise when the loans are classified as a loss by us or our regulator. Therefore, the amortized cost basis of the loan is reduced by the uncollectible amount and the allowance for credit losses is adjusted by the same amount. See Note 2, “Significant Accounting Policies — Allowance for Credit Losses — Allowance for Private Education Loan Losses” in our 2025 Form 10-K for a more detailed discussion.</w:t>
      </w:r>
    </w:p>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24</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periods presented, the following table presents the defaulted amount and period-end amortized cost basis, by modification category, of loans that defaulted during the period and were modified for borrowers experiencing financial difficulty during the 12 months preceding default. Solely for the purpose of the below table, our definition of payment default is two missed consecutive post-modification payment obligations. As such, defaulted amount represents the principal amount of modified loans at the time the borrower missed two consecutive post-modification payment obligations during the period. Loans that were modified during the twelve months ended September 30, 2026 and subsequently charged-off during the three and nine months ended September 30, 2026 are not included in the period-end amortized cost basis and had an amortized cost basis of $18.0 million and $40.7 million at the time of charge-off, respectively.</w:t>
      </w:r>
    </w:p>
    <w:p>
      <w:pPr>
        <w:pStyle w:val="TextBody"/>
        <w:bidi w:val="0"/>
        <w:spacing w:before="120" w:after="283"/>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153"/>
        <w:gridCol w:w="811"/>
        <w:gridCol w:w="815"/>
        <w:gridCol w:w="109"/>
        <w:gridCol w:w="109"/>
        <w:gridCol w:w="109"/>
        <w:gridCol w:w="256"/>
        <w:gridCol w:w="875"/>
        <w:gridCol w:w="132"/>
        <w:gridCol w:w="109"/>
        <w:gridCol w:w="109"/>
        <w:gridCol w:w="109"/>
        <w:gridCol w:w="359"/>
        <w:gridCol w:w="1227"/>
        <w:gridCol w:w="185"/>
        <w:gridCol w:w="109"/>
        <w:gridCol w:w="109"/>
        <w:gridCol w:w="109"/>
        <w:gridCol w:w="256"/>
        <w:gridCol w:w="875"/>
        <w:gridCol w:w="132"/>
        <w:gridCol w:w="109"/>
        <w:gridCol w:w="109"/>
        <w:gridCol w:w="109"/>
        <w:gridCol w:w="353"/>
        <w:gridCol w:w="1206"/>
        <w:gridCol w:w="262"/>
      </w:tblGrid>
      <w:tr>
        <w:trPr/>
        <w:tc>
          <w:tcPr>
            <w:tcW w:w="1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7426" w:type="dxa"/>
            <w:gridSpan w:val="24"/>
            <w:tcBorders/>
          </w:tcPr>
          <w:p>
            <w:pPr>
              <w:pStyle w:val="TableContents"/>
              <w:bidi w:val="0"/>
              <w:spacing w:before="0" w:after="283"/>
              <w:jc w:val="left"/>
              <w:rPr>
                <w:sz w:val="4"/>
                <w:szCs w:val="4"/>
              </w:rPr>
            </w:pPr>
            <w:r>
              <w:rPr>
                <w:sz w:val="4"/>
                <w:szCs w:val="4"/>
              </w:rPr>
            </w:r>
          </w:p>
        </w:tc>
      </w:tr>
      <w:tr>
        <w:trPr/>
        <w:tc>
          <w:tcPr>
            <w:tcW w:w="2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9"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September 30,</w:t>
            </w:r>
          </w:p>
        </w:tc>
      </w:tr>
      <w:tr>
        <w:trPr/>
        <w:tc>
          <w:tcPr>
            <w:tcW w:w="2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Defaulted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Period-end 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Defaulted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Period-end Amortized Cost Basis</w:t>
            </w:r>
          </w:p>
        </w:tc>
      </w:tr>
      <w:tr>
        <w:trPr/>
        <w:tc>
          <w:tcPr>
            <w:tcW w:w="277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 Type: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Reduction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2,779 </w:t>
            </w:r>
          </w:p>
        </w:tc>
        <w:tc>
          <w:tcPr>
            <w:tcW w:w="18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2,702 </w:t>
            </w:r>
          </w:p>
        </w:tc>
        <w:tc>
          <w:tcPr>
            <w:tcW w:w="26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Combination - Interest Rate Reduction and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40,766 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56,274 </w:t>
            </w:r>
          </w:p>
        </w:tc>
        <w:tc>
          <w:tcPr>
            <w:tcW w:w="13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50,498 </w:t>
            </w:r>
          </w:p>
        </w:tc>
        <w:tc>
          <w:tcPr>
            <w:tcW w:w="18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47,194 </w:t>
            </w:r>
          </w:p>
        </w:tc>
        <w:tc>
          <w:tcPr>
            <w:tcW w:w="13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43,468 </w:t>
            </w:r>
          </w:p>
        </w:tc>
        <w:tc>
          <w:tcPr>
            <w:tcW w:w="2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2148" w:type="dxa"/>
            <w:gridSpan w:val="6"/>
            <w:tcBorders/>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2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1136"/>
        <w:gridCol w:w="791"/>
        <w:gridCol w:w="795"/>
        <w:gridCol w:w="109"/>
        <w:gridCol w:w="109"/>
        <w:gridCol w:w="109"/>
        <w:gridCol w:w="242"/>
        <w:gridCol w:w="949"/>
        <w:gridCol w:w="125"/>
        <w:gridCol w:w="109"/>
        <w:gridCol w:w="109"/>
        <w:gridCol w:w="109"/>
        <w:gridCol w:w="353"/>
        <w:gridCol w:w="1209"/>
        <w:gridCol w:w="182"/>
        <w:gridCol w:w="109"/>
        <w:gridCol w:w="109"/>
        <w:gridCol w:w="109"/>
        <w:gridCol w:w="242"/>
        <w:gridCol w:w="949"/>
        <w:gridCol w:w="125"/>
        <w:gridCol w:w="109"/>
        <w:gridCol w:w="109"/>
        <w:gridCol w:w="109"/>
        <w:gridCol w:w="348"/>
        <w:gridCol w:w="1189"/>
        <w:gridCol w:w="262"/>
      </w:tblGrid>
      <w:tr>
        <w:trPr/>
        <w:tc>
          <w:tcPr>
            <w:tcW w:w="11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7483" w:type="dxa"/>
            <w:gridSpan w:val="24"/>
            <w:tcBorders/>
          </w:tcPr>
          <w:p>
            <w:pPr>
              <w:pStyle w:val="TableContents"/>
              <w:bidi w:val="0"/>
              <w:spacing w:before="0" w:after="283"/>
              <w:jc w:val="left"/>
              <w:rPr>
                <w:sz w:val="4"/>
                <w:szCs w:val="4"/>
              </w:rPr>
            </w:pPr>
            <w:r>
              <w:rPr>
                <w:sz w:val="4"/>
                <w:szCs w:val="4"/>
              </w:rPr>
            </w:r>
          </w:p>
        </w:tc>
      </w:tr>
      <w:tr>
        <w:trPr/>
        <w:tc>
          <w:tcPr>
            <w:tcW w:w="2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6"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September 30,</w:t>
            </w:r>
          </w:p>
        </w:tc>
      </w:tr>
      <w:tr>
        <w:trPr/>
        <w:tc>
          <w:tcPr>
            <w:tcW w:w="2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Defaulted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Period-end 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Defaulted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Period-end Amortized Cost Basis</w:t>
            </w:r>
          </w:p>
        </w:tc>
      </w:tr>
      <w:tr>
        <w:trPr/>
        <w:tc>
          <w:tcPr>
            <w:tcW w:w="2722"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 Type: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Reduction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6,141 </w:t>
            </w:r>
          </w:p>
        </w:tc>
        <w:tc>
          <w:tcPr>
            <w:tcW w:w="12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4,430 </w:t>
            </w:r>
          </w:p>
        </w:tc>
        <w:tc>
          <w:tcPr>
            <w:tcW w:w="18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5,664 </w:t>
            </w:r>
          </w:p>
        </w:tc>
        <w:tc>
          <w:tcPr>
            <w:tcW w:w="12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4,615 </w:t>
            </w:r>
          </w:p>
        </w:tc>
        <w:tc>
          <w:tcPr>
            <w:tcW w:w="26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Combination - Interest Rate Reduction and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82,439 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104,680 </w:t>
            </w:r>
          </w:p>
        </w:tc>
        <w:tc>
          <w:tcPr>
            <w:tcW w:w="12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81,217 </w:t>
            </w:r>
          </w:p>
        </w:tc>
        <w:tc>
          <w:tcPr>
            <w:tcW w:w="18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109,695 </w:t>
            </w:r>
          </w:p>
        </w:tc>
        <w:tc>
          <w:tcPr>
            <w:tcW w:w="12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87,054 </w:t>
            </w:r>
          </w:p>
        </w:tc>
        <w:tc>
          <w:tcPr>
            <w:tcW w:w="2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2126" w:type="dxa"/>
            <w:gridSpan w:val="6"/>
            <w:tcBorders/>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80"/>
        <w:ind w:left="0" w:right="0" w:firstLine="495"/>
        <w:jc w:val="center"/>
        <w:rPr/>
      </w:pPr>
      <w:r>
        <w:rPr/>
      </w:r>
    </w:p>
    <w:p>
      <w:pPr>
        <w:pStyle w:val="TextBody"/>
        <w:bidi w:val="0"/>
        <w:spacing w:before="120" w:after="180"/>
        <w:ind w:left="0" w:right="0" w:firstLine="495"/>
        <w:jc w:val="center"/>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25</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closely monitor performance of the loans to borrowers experiencing financial difficulty that are modified to understand the effectiveness of the modification efforts. The following table depicts the performance of loans that were modified within the nine months prior to September 30, 2026, the 12 months prior to September 30, 2026, and the 12 months prior to December 31, 2025, respectively.</w:t>
      </w:r>
    </w:p>
    <w:tbl>
      <w:tblPr>
        <w:tblW w:w="10205" w:type="dxa"/>
        <w:jc w:val="left"/>
        <w:tblInd w:w="0" w:type="dxa"/>
        <w:tblLayout w:type="fixed"/>
        <w:tblCellMar>
          <w:top w:w="28" w:type="dxa"/>
          <w:left w:w="28" w:type="dxa"/>
          <w:bottom w:w="28" w:type="dxa"/>
          <w:right w:w="28" w:type="dxa"/>
        </w:tblCellMar>
      </w:tblPr>
      <w:tblGrid>
        <w:gridCol w:w="1338"/>
        <w:gridCol w:w="1001"/>
        <w:gridCol w:w="992"/>
        <w:gridCol w:w="109"/>
        <w:gridCol w:w="109"/>
        <w:gridCol w:w="109"/>
        <w:gridCol w:w="212"/>
        <w:gridCol w:w="833"/>
        <w:gridCol w:w="109"/>
        <w:gridCol w:w="232"/>
        <w:gridCol w:w="234"/>
        <w:gridCol w:w="273"/>
        <w:gridCol w:w="109"/>
        <w:gridCol w:w="109"/>
        <w:gridCol w:w="109"/>
        <w:gridCol w:w="224"/>
        <w:gridCol w:w="880"/>
        <w:gridCol w:w="116"/>
        <w:gridCol w:w="232"/>
        <w:gridCol w:w="234"/>
        <w:gridCol w:w="288"/>
        <w:gridCol w:w="109"/>
        <w:gridCol w:w="109"/>
        <w:gridCol w:w="109"/>
        <w:gridCol w:w="224"/>
        <w:gridCol w:w="878"/>
        <w:gridCol w:w="115"/>
        <w:gridCol w:w="232"/>
        <w:gridCol w:w="234"/>
        <w:gridCol w:w="343"/>
      </w:tblGrid>
      <w:tr>
        <w:trPr/>
        <w:tc>
          <w:tcPr>
            <w:tcW w:w="133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w:t>
              <w:b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Twelve Months Ended</w:t>
              <w:b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Twelve Months Ended</w:t>
              <w:br/>
              <w:t>December 31, 2025</w:t>
            </w:r>
          </w:p>
        </w:tc>
      </w:tr>
      <w:tr>
        <w:trPr/>
        <w:tc>
          <w:tcPr>
            <w:tcW w:w="3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333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Payment Status (Amortized Cost Basis at September 30, 2026)</w:t>
            </w:r>
            <w:r>
              <w:rPr>
                <w:rFonts w:ascii="Arial;sans-serif" w:hAnsi="Arial;sans-serif"/>
                <w:b/>
                <w:color w:val="144F82"/>
                <w:sz w:val="12"/>
              </w:rPr>
              <w:t>(1)</w:t>
            </w:r>
            <w:r>
              <w:rPr>
                <w:rFonts w:ascii="Arial;sans-serif" w:hAnsi="Arial;sans-serif"/>
                <w:b/>
                <w:color w:val="144F82"/>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 modifications in deferment</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modifications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current</w:t>
            </w:r>
            <w:r>
              <w:rPr>
                <w:rFonts w:ascii="Arial;sans-serif" w:hAnsi="Arial;sans-serif"/>
                <w:b w:val="false"/>
                <w:color w:val="000000"/>
                <w:sz w:val="12"/>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539,819 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delinquent 30-59 days</w:t>
            </w:r>
            <w:r>
              <w:rPr>
                <w:rFonts w:ascii="Arial;sans-serif" w:hAnsi="Arial;sans-serif"/>
                <w:b w:val="false"/>
                <w:color w:val="000000"/>
                <w:sz w:val="12"/>
              </w:rPr>
              <w:t>(3)(4)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86,317 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8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68,823 </w:t>
            </w:r>
          </w:p>
        </w:tc>
        <w:tc>
          <w:tcPr>
            <w:tcW w:w="11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4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delinquent 60-89 days</w:t>
            </w:r>
            <w:r>
              <w:rPr>
                <w:rFonts w:ascii="Arial;sans-serif" w:hAnsi="Arial;sans-serif"/>
                <w:b w:val="false"/>
                <w:color w:val="000000"/>
                <w:sz w:val="12"/>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90 days or greater past due</w:t>
            </w:r>
            <w:r>
              <w:rPr>
                <w:rFonts w:ascii="Arial;sans-serif" w:hAnsi="Arial;sans-serif"/>
                <w:b w:val="false"/>
                <w:color w:val="000000"/>
                <w:sz w:val="12"/>
              </w:rPr>
              <w:t>(3)(4)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7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42,928 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8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46,485 </w:t>
            </w:r>
          </w:p>
        </w:tc>
        <w:tc>
          <w:tcPr>
            <w:tcW w:w="11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4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 modifications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716,980 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514,954 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 modifications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607,403 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741,945 </w:t>
            </w:r>
          </w:p>
        </w:tc>
        <w:tc>
          <w:tcPr>
            <w:tcW w:w="11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529,634 </w:t>
            </w:r>
          </w:p>
        </w:tc>
        <w:tc>
          <w:tcPr>
            <w:tcW w:w="11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rFonts w:ascii="Arial;sans-serif" w:hAnsi="Arial;sans-serif"/>
          <w:b w:val="false"/>
          <w:color w:val="000000"/>
          <w:sz w:val="14"/>
        </w:rPr>
      </w:pPr>
      <w:r>
        <w:rPr>
          <w:rFonts w:ascii="Arial;sans-serif" w:hAnsi="Arial;sans-serif"/>
          <w:b w:val="false"/>
          <w:color w:val="000000"/>
          <w:sz w:val="14"/>
        </w:rPr>
        <w:t>(1) Loans that were modified during the twelve months ended September 30, 2026 and subsequently charged-off during the nine months ended September 30, 2026 are excluded from the table and had an amortized cost basis of $40.7 million. Loans that were both modified and subsequently charged-off during the twelve months ended September 30, 2026 are excluded from the table and had an amortized cost basis of $45.2 million. Loans that were both modified and subsequently charged-off during the twelve months ended December 31, 2025 are excluded from the table and had an amortized cost basis of $39.1 million.</w:t>
      </w:r>
    </w:p>
    <w:p>
      <w:pPr>
        <w:pStyle w:val="TextBody"/>
        <w:bidi w:val="0"/>
        <w:spacing w:lineRule="auto" w:line="288" w:before="180" w:after="283"/>
        <w:ind w:left="0" w:right="0" w:hanging="270"/>
        <w:jc w:val="left"/>
        <w:rPr>
          <w:rFonts w:ascii="Arial;sans-serif" w:hAnsi="Arial;sans-serif"/>
          <w:b w:val="false"/>
          <w:color w:val="000000"/>
          <w:sz w:val="14"/>
        </w:rPr>
      </w:pPr>
      <w:r>
        <w:rPr>
          <w:rFonts w:ascii="Arial;sans-serif" w:hAnsi="Arial;sans-serif"/>
          <w:b w:val="false"/>
          <w:color w:val="000000"/>
          <w:sz w:val="14"/>
        </w:rPr>
        <w:t xml:space="preserve">(2) Deferment includes customers who have returned to school or are engaged in other permitted educational activities and are not yet required to make full principal and interest payments on the loans (e.g., residency periods for medical students or a grace period for bar exam preparation). Deferment also includes loans that have entered a forbearance after the loan modification was granted. </w:t>
      </w:r>
    </w:p>
    <w:p>
      <w:pPr>
        <w:pStyle w:val="TextBody"/>
        <w:bidi w:val="0"/>
        <w:spacing w:lineRule="auto" w:line="288" w:before="180" w:after="283"/>
        <w:ind w:left="0" w:right="0" w:hanging="270"/>
        <w:jc w:val="left"/>
        <w:rPr>
          <w:rFonts w:ascii="Arial;sans-serif" w:hAnsi="Arial;sans-serif"/>
          <w:b w:val="false"/>
          <w:color w:val="000000"/>
          <w:sz w:val="14"/>
        </w:rPr>
      </w:pPr>
      <w:r>
        <w:rPr>
          <w:rFonts w:ascii="Arial;sans-serif" w:hAnsi="Arial;sans-serif"/>
          <w:b w:val="false"/>
          <w:color w:val="000000"/>
          <w:sz w:val="14"/>
        </w:rPr>
        <w:t>(3) Represents loans in repayment, which include loans that have entered full principal and interest repayment status after any applicable grace period (but, for purposes of the table, do not include loans in the “loans in forbearance” metric).</w:t>
      </w:r>
    </w:p>
    <w:p>
      <w:pPr>
        <w:pStyle w:val="TextBody"/>
        <w:bidi w:val="0"/>
        <w:spacing w:lineRule="auto" w:line="288" w:before="180" w:after="283"/>
        <w:ind w:left="0" w:right="0" w:hanging="180"/>
        <w:jc w:val="left"/>
        <w:rPr>
          <w:rFonts w:ascii="Arial;sans-serif" w:hAnsi="Arial;sans-serif"/>
          <w:b w:val="false"/>
          <w:color w:val="000000"/>
          <w:sz w:val="14"/>
        </w:rPr>
      </w:pPr>
      <w:r>
        <w:rPr>
          <w:rFonts w:ascii="Arial;sans-serif" w:hAnsi="Arial;sans-serif"/>
          <w:b w:val="false"/>
          <w:color w:val="000000"/>
          <w:sz w:val="14"/>
        </w:rPr>
        <w:t>(4) The period of delinquency is based on the number of days scheduled payments are contractually past due.</w:t>
      </w:r>
    </w:p>
    <w:p>
      <w:pPr>
        <w:pStyle w:val="TextBody"/>
        <w:bidi w:val="0"/>
        <w:spacing w:before="0" w:after="0"/>
        <w:ind w:left="0" w:right="0" w:firstLine="22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26</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Arial;sans-serif" w:hAnsi="Arial;sans-serif"/>
          <w:b w:val="false"/>
          <w:i/>
          <w:color w:val="000000"/>
          <w:sz w:val="20"/>
        </w:rPr>
      </w:pPr>
      <w:r>
        <w:rPr>
          <w:rFonts w:ascii="Arial;sans-serif" w:hAnsi="Arial;sans-serif"/>
          <w:b w:val="false"/>
          <w:i/>
          <w:color w:val="000000"/>
          <w:sz w:val="20"/>
        </w:rPr>
        <w:t>Private Education Loans Held for Investment - Key Credit Quality Indicators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Private Education Loans, the key credit quality indicators are FICO scores, the existence of a cosigner, the loan status, and loan seasoning. The FICO scores are assessed at original approval and periodically refreshed/updated through the loan’s term. The following tables highlight the gross principal balance of our Private Education Loan portfolio (held for investment), by year of origination approval/first disbursement, stratified by key credit quality indicators. </w:t>
      </w:r>
    </w:p>
    <w:tbl>
      <w:tblPr>
        <w:tblW w:w="11978" w:type="dxa"/>
        <w:jc w:val="center"/>
        <w:tblInd w:w="0" w:type="dxa"/>
        <w:tblLayout w:type="fixed"/>
        <w:tblCellMar>
          <w:top w:w="28" w:type="dxa"/>
          <w:left w:w="28" w:type="dxa"/>
          <w:bottom w:w="28" w:type="dxa"/>
          <w:right w:w="28" w:type="dxa"/>
        </w:tblCellMar>
      </w:tblPr>
      <w:tblGrid>
        <w:gridCol w:w="381"/>
        <w:gridCol w:w="334"/>
        <w:gridCol w:w="336"/>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841"/>
        <w:gridCol w:w="109"/>
        <w:gridCol w:w="109"/>
        <w:gridCol w:w="109"/>
        <w:gridCol w:w="109"/>
        <w:gridCol w:w="225"/>
        <w:gridCol w:w="151"/>
        <w:gridCol w:w="314"/>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As of September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Private Education Loans Held for Investment - Credit Quality Indicators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Year of Origination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2026</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2025</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2024</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2023</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2022</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2021 and Prior</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Total</w:t>
            </w:r>
            <w:r>
              <w:rPr>
                <w:rFonts w:ascii="Arial;sans-serif" w:hAnsi="Arial;sans-serif"/>
                <w:b/>
                <w:color w:val="144F82"/>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 of Balance</w:t>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Cosigners: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With cosigner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4,735,821 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3,139,934 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19,539,697 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Without cosigner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364,572 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363,780 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331,884 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290,675 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281,523 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793,886 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2,426,320 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3,422,456 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5,099,601 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3,471,818 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2,073,327 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1,928,580 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5,970,235 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21,966,017 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FICO at Origination Approval</w:t>
            </w:r>
            <w:r>
              <w:rPr>
                <w:rFonts w:ascii="Arial;sans-serif" w:hAnsi="Arial;sans-serif"/>
                <w:b w:val="false"/>
                <w:color w:val="000000"/>
                <w:sz w:val="9"/>
              </w:rPr>
              <w:t>(2)</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than 670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226,754 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329,970 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210,230 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172,307 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172,787 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520,862 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1,632,910 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314"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700-749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900,323 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1,450,478 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1,051,145 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644,028 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604,827 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1,995,334 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6,646,135 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Greater than or equal to 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3,422,456 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5,099,601 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3,471,818 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2,073,327 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1,928,580 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5,970,235 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21,966,017 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1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FICO Refreshed</w:t>
            </w:r>
            <w:r>
              <w:rPr>
                <w:rFonts w:ascii="Arial;sans-serif" w:hAnsi="Arial;sans-serif"/>
                <w:b w:val="false"/>
                <w:color w:val="000000"/>
                <w:sz w:val="9"/>
              </w:rPr>
              <w:t>(2)(3)</w:t>
            </w: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than 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3,160,442 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670-699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392,874 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617,328 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411,320 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256,802 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217,033 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641,606 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2,536,963 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700-749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Greater than or equal to 750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1,837,213 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2,606,573 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1,699,270 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909,487 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851,142 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2,700,973 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10,604,658 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3,422,456 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5,099,601 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3,471,818 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2,073,327 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1,928,580 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5,970,235 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21,966,017 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Seasoning</w:t>
            </w:r>
            <w:r>
              <w:rPr>
                <w:rFonts w:ascii="Arial;sans-serif" w:hAnsi="Arial;sans-serif"/>
                <w:b w:val="false"/>
                <w:color w:val="000000"/>
                <w:sz w:val="9"/>
              </w:rPr>
              <w:t>(4)</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1-12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2,085,549 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2,015,876 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428,938 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286,120 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223,729 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341,768 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5,381,980 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314"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13-24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25-36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597,580 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733,035 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158,813 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380,901 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1,870,329 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37-48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More than 48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321,917 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3,975,803 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4,297,720 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3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yet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1,336,907 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3,422,456 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5,099,601 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3,471,818 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2,073,327 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1,928,580 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5,970,235 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21,966,017 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1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2026 Current period</w:t>
            </w:r>
            <w:r>
              <w:rPr>
                <w:rFonts w:ascii="Arial;sans-serif" w:hAnsi="Arial;sans-serif"/>
                <w:b w:val="false"/>
                <w:color w:val="000000"/>
                <w:sz w:val="9"/>
              </w:rPr>
              <w:t xml:space="preserve">(5)(6) </w:t>
            </w:r>
            <w:r>
              <w:rPr>
                <w:rFonts w:ascii="Arial;sans-serif" w:hAnsi="Arial;sans-serif"/>
                <w:b w:val="false"/>
                <w:color w:val="000000"/>
                <w:sz w:val="14"/>
              </w:rPr>
              <w:t>gross 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(43,392)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(55,891)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(53,109)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(165,083)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(330,725)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2026 Current period</w:t>
            </w:r>
            <w:r>
              <w:rPr>
                <w:rFonts w:ascii="Arial;sans-serif" w:hAnsi="Arial;sans-serif"/>
                <w:b w:val="false"/>
                <w:color w:val="000000"/>
                <w:sz w:val="9"/>
              </w:rPr>
              <w:t>(5)</w:t>
            </w:r>
            <w:r>
              <w:rPr>
                <w:color w:val="000000"/>
              </w:rPr>
              <w:t xml:space="preserve"> </w:t>
            </w:r>
            <w:r>
              <w:rPr>
                <w:rFonts w:ascii="Arial;sans-serif" w:hAnsi="Arial;sans-serif"/>
                <w:b w:val="false"/>
                <w:color w:val="000000"/>
                <w:sz w:val="14"/>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2026 Current period</w:t>
            </w:r>
            <w:r>
              <w:rPr>
                <w:rFonts w:ascii="Arial;sans-serif" w:hAnsi="Arial;sans-serif"/>
                <w:b w:val="false"/>
                <w:color w:val="000000"/>
                <w:sz w:val="9"/>
              </w:rPr>
              <w:t>(5)</w:t>
            </w:r>
            <w:r>
              <w:rPr>
                <w:color w:val="000000"/>
              </w:rPr>
              <w:t xml:space="preserve"> </w:t>
            </w:r>
            <w:r>
              <w:rPr>
                <w:rFonts w:ascii="Arial;sans-serif" w:hAnsi="Arial;sans-serif"/>
                <w:b w:val="false"/>
                <w:color w:val="000000"/>
                <w:sz w:val="14"/>
              </w:rPr>
              <w:t>net 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(11,972)</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(41,533)</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(51,854)</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(49,018)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(137,081)</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(292,004)</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accrued interest by origination approval vintage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72,624 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407,129 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424,457 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262,192 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201,305 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307,149 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1,674,856 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24" w:type="dxa"/>
            <w:gridSpan w:val="51"/>
            <w:vMerge w:val="restart"/>
            <w:tcBorders/>
            <w:tcMar>
              <w:top w:w="0" w:type="dxa"/>
              <w:left w:w="0" w:type="dxa"/>
              <w:bottom w:w="0" w:type="dxa"/>
              <w:right w:w="0" w:type="dxa"/>
            </w:tcMar>
            <w:vAlign w:val="center"/>
          </w:tcPr>
          <w:p>
            <w:pPr>
              <w:pStyle w:val="TableContents"/>
              <w:bidi w:val="0"/>
              <w:spacing w:lineRule="auto" w:line="240" w:before="0" w:after="0"/>
              <w:ind w:left="0" w:right="0" w:firstLine="495"/>
              <w:jc w:val="left"/>
              <w:rPr>
                <w:color w:val="000000"/>
              </w:rPr>
            </w:pPr>
            <w:r>
              <w:rPr>
                <w:color w:val="000000"/>
              </w:rPr>
              <w:t>        </w:t>
            </w:r>
          </w:p>
          <w:p>
            <w:pPr>
              <w:pStyle w:val="TableContents"/>
              <w:bidi w:val="0"/>
              <w:spacing w:lineRule="auto" w:line="240" w:before="60" w:after="283"/>
              <w:ind w:left="0" w:right="0" w:hanging="360"/>
              <w:jc w:val="left"/>
              <w:rPr/>
            </w:pPr>
            <w:r>
              <w:rPr>
                <w:rFonts w:ascii="Arial;sans-serif" w:hAnsi="Arial;sans-serif"/>
                <w:b w:val="false"/>
                <w:color w:val="000000"/>
                <w:sz w:val="8"/>
              </w:rPr>
              <w:t>(1)</w:t>
            </w:r>
            <w:r>
              <w:rPr>
                <w:rFonts w:ascii="Arial;sans-serif" w:hAnsi="Arial;sans-serif"/>
                <w:b w:val="false"/>
                <w:color w:val="000000"/>
                <w:sz w:val="12"/>
              </w:rPr>
              <w:t>Balance represents gross Private Education Loans held for investment.</w:t>
            </w:r>
          </w:p>
          <w:p>
            <w:pPr>
              <w:pStyle w:val="TableContents"/>
              <w:bidi w:val="0"/>
              <w:spacing w:lineRule="auto" w:line="240" w:before="60" w:after="283"/>
              <w:ind w:left="0" w:right="0" w:hanging="360"/>
              <w:jc w:val="left"/>
              <w:rPr/>
            </w:pPr>
            <w:r>
              <w:rPr>
                <w:rFonts w:ascii="Arial;sans-serif" w:hAnsi="Arial;sans-serif"/>
                <w:b w:val="false"/>
                <w:color w:val="000000"/>
                <w:sz w:val="8"/>
              </w:rPr>
              <w:t>(2)</w:t>
            </w:r>
            <w:r>
              <w:rPr>
                <w:rFonts w:ascii="Arial;sans-serif" w:hAnsi="Arial;sans-serif"/>
                <w:b w:val="false"/>
                <w:color w:val="000000"/>
                <w:sz w:val="12"/>
              </w:rPr>
              <w:t>Represents the higher credit score of the cosigner or the borrower.</w:t>
            </w:r>
          </w:p>
          <w:p>
            <w:pPr>
              <w:pStyle w:val="TableContents"/>
              <w:bidi w:val="0"/>
              <w:spacing w:lineRule="auto" w:line="240" w:before="60" w:after="283"/>
              <w:ind w:left="0" w:right="0" w:hanging="360"/>
              <w:jc w:val="left"/>
              <w:rPr/>
            </w:pPr>
            <w:r>
              <w:rPr>
                <w:rFonts w:ascii="Arial;sans-serif" w:hAnsi="Arial;sans-serif"/>
                <w:b w:val="false"/>
                <w:color w:val="000000"/>
                <w:sz w:val="8"/>
              </w:rPr>
              <w:t>(3)</w:t>
            </w:r>
            <w:r>
              <w:rPr>
                <w:rFonts w:ascii="Arial;sans-serif" w:hAnsi="Arial;sans-serif"/>
                <w:b w:val="false"/>
                <w:color w:val="000000"/>
                <w:sz w:val="12"/>
              </w:rPr>
              <w:t>Represents the FICO score updated as of the third quarter 2026.</w:t>
            </w:r>
          </w:p>
          <w:p>
            <w:pPr>
              <w:pStyle w:val="TableContents"/>
              <w:bidi w:val="0"/>
              <w:spacing w:lineRule="auto" w:line="240" w:before="60" w:after="283"/>
              <w:ind w:left="0" w:right="0" w:hanging="360"/>
              <w:jc w:val="left"/>
              <w:rPr/>
            </w:pPr>
            <w:r>
              <w:rPr>
                <w:rFonts w:ascii="Arial;sans-serif" w:hAnsi="Arial;sans-serif"/>
                <w:b w:val="false"/>
                <w:color w:val="000000"/>
                <w:sz w:val="8"/>
              </w:rPr>
              <w:t>(4)</w:t>
            </w:r>
            <w:r>
              <w:rPr>
                <w:rFonts w:ascii="Arial;sans-serif" w:hAnsi="Arial;sans-serif"/>
                <w:b w:val="false"/>
                <w:color w:val="000000"/>
                <w:sz w:val="12"/>
              </w:rPr>
              <w:t>Number of months in active repayment (whether interest only payment, fixed payment, or full principal and interest payment status) for which a scheduled payment was due.</w:t>
            </w:r>
          </w:p>
          <w:p>
            <w:pPr>
              <w:pStyle w:val="TableContents"/>
              <w:bidi w:val="0"/>
              <w:spacing w:lineRule="auto" w:line="240" w:before="60" w:after="283"/>
              <w:ind w:left="0" w:right="0" w:hanging="360"/>
              <w:jc w:val="left"/>
              <w:rPr/>
            </w:pPr>
            <w:r>
              <w:rPr>
                <w:rFonts w:ascii="Arial;sans-serif" w:hAnsi="Arial;sans-serif"/>
                <w:b w:val="false"/>
                <w:color w:val="000000"/>
                <w:sz w:val="8"/>
              </w:rPr>
              <w:t>(5)</w:t>
            </w:r>
            <w:r>
              <w:rPr>
                <w:rFonts w:ascii="Arial;sans-serif" w:hAnsi="Arial;sans-serif"/>
                <w:b w:val="false"/>
                <w:color w:val="000000"/>
                <w:sz w:val="12"/>
              </w:rPr>
              <w:t>Current period refers to period from January 1, 2026 through September 30, 2026.</w:t>
            </w:r>
          </w:p>
          <w:p>
            <w:pPr>
              <w:pStyle w:val="TableContents"/>
              <w:bidi w:val="0"/>
              <w:spacing w:lineRule="auto" w:line="240" w:before="60" w:after="283"/>
              <w:ind w:left="0" w:right="0" w:hanging="360"/>
              <w:jc w:val="left"/>
              <w:rPr/>
            </w:pPr>
            <w:r>
              <w:rPr>
                <w:rFonts w:ascii="Arial;sans-serif" w:hAnsi="Arial;sans-serif"/>
                <w:b w:val="false"/>
                <w:color w:val="000000"/>
                <w:sz w:val="8"/>
              </w:rPr>
              <w:t>(6)</w:t>
            </w:r>
            <w:r>
              <w:rPr>
                <w:rFonts w:ascii="Arial;sans-serif" w:hAnsi="Arial;sans-serif"/>
                <w:b w:val="false"/>
                <w:color w:val="000000"/>
                <w:sz w:val="12"/>
              </w:rPr>
              <w:t xml:space="preserve">Charge-offs exclude $19.1 million of loans previously charged off by unconsolidated Private Education Loan Securitizations that were purchased by the Company during the nine months ended September 30, 2026 following the exercise of optional clean-up calls. </w:t>
            </w:r>
          </w:p>
        </w:tc>
        <w:tc>
          <w:tcPr>
            <w:tcW w:w="154" w:type="dxa"/>
            <w:tcBorders/>
          </w:tcPr>
          <w:p>
            <w:pPr>
              <w:pStyle w:val="TableContents"/>
              <w:bidi w:val="0"/>
              <w:spacing w:before="0" w:after="283"/>
              <w:jc w:val="left"/>
              <w:rPr>
                <w:sz w:val="4"/>
                <w:szCs w:val="4"/>
              </w:rPr>
            </w:pPr>
            <w:r>
              <w:rPr>
                <w:sz w:val="4"/>
                <w:szCs w:val="4"/>
              </w:rPr>
            </w:r>
          </w:p>
        </w:tc>
      </w:tr>
      <w:tr>
        <w:trPr/>
        <w:tc>
          <w:tcPr>
            <w:tcW w:w="11824" w:type="dxa"/>
            <w:gridSpan w:val="51"/>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24" w:type="dxa"/>
            <w:gridSpan w:val="51"/>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p>
      <w:pPr>
        <w:pStyle w:val="TextBody"/>
        <w:bidi w:val="0"/>
        <w:spacing w:before="120" w:after="420"/>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27</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667" w:type="dxa"/>
        <w:jc w:val="center"/>
        <w:tblInd w:w="0" w:type="dxa"/>
        <w:tblLayout w:type="fixed"/>
        <w:tblCellMar>
          <w:top w:w="28" w:type="dxa"/>
          <w:left w:w="28" w:type="dxa"/>
          <w:bottom w:w="28" w:type="dxa"/>
          <w:right w:w="28" w:type="dxa"/>
        </w:tblCellMar>
      </w:tblPr>
      <w:tblGrid>
        <w:gridCol w:w="352"/>
        <w:gridCol w:w="244"/>
        <w:gridCol w:w="245"/>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841"/>
        <w:gridCol w:w="109"/>
        <w:gridCol w:w="109"/>
        <w:gridCol w:w="109"/>
        <w:gridCol w:w="109"/>
        <w:gridCol w:w="220"/>
        <w:gridCol w:w="156"/>
        <w:gridCol w:w="367"/>
      </w:tblGrid>
      <w:tr>
        <w:trPr/>
        <w:tc>
          <w:tcPr>
            <w:tcW w:w="3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As of December 31, 2025</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Private Education Loans Held for Investment - Credit Quality Indicators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Year of Origination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2025</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2024</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2023</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2022</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2021</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2020 and Prior</w:t>
            </w:r>
            <w:r>
              <w:rPr>
                <w:rFonts w:ascii="Arial;sans-serif" w:hAnsi="Arial;sans-serif"/>
                <w:b/>
                <w:color w:val="144F82"/>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4"/>
              </w:rPr>
              <w:t>Total</w:t>
            </w:r>
            <w:r>
              <w:rPr>
                <w:rFonts w:ascii="Arial;sans-serif" w:hAnsi="Arial;sans-serif"/>
                <w:b/>
                <w:color w:val="144F82"/>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 of Balance</w:t>
            </w:r>
          </w:p>
        </w:tc>
      </w:tr>
      <w:tr>
        <w:trPr/>
        <w:tc>
          <w:tcPr>
            <w:tcW w:w="84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Cosigners: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With cosigner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4,621,467 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Without cosigner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347,965 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472,054 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368,920 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331,375 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246,687 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678,042 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2,445,043 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FICO at Origination Approval</w:t>
            </w:r>
            <w:r>
              <w:rPr>
                <w:rFonts w:ascii="Arial;sans-serif" w:hAnsi="Arial;sans-serif"/>
                <w:b w:val="false"/>
                <w:color w:val="000000"/>
                <w:sz w:val="9"/>
              </w:rPr>
              <w:t>(2)</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than 670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263,280 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321,462 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214,219 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199,017 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127,109 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464,693 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1,589,780 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36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3,007,221 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700-749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1,254,937 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1,645,649 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834,804 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716,088 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516,516 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1,794,886 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6,762,880 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Greater than or equal to 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10,300,553 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6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FICO Refreshed</w:t>
            </w:r>
            <w:r>
              <w:rPr>
                <w:rFonts w:ascii="Arial;sans-serif" w:hAnsi="Arial;sans-serif"/>
                <w:b w:val="false"/>
                <w:color w:val="000000"/>
                <w:sz w:val="9"/>
              </w:rPr>
              <w:t>(2)(3)</w:t>
            </w: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than 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670-699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532,758 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671,447 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343,793 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279,168 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183,279 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569,616 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2,580,061 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700-749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590,061 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5,750,872 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Greater than or equal to 750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2,176,861 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2,675,316 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1,188,779 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1,005,831 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727,360 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2,428,194 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10,202,341 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Seasoning</w:t>
            </w:r>
            <w:r>
              <w:rPr>
                <w:rFonts w:ascii="Arial;sans-serif" w:hAnsi="Arial;sans-serif"/>
                <w:b w:val="false"/>
                <w:color w:val="000000"/>
                <w:sz w:val="9"/>
              </w:rPr>
              <w:t>(4)</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1-12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2,583,918 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725,720 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453,904 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331,804 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194,121 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284,210 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4,573,677 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36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13-24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2,859,837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3,816,855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25-36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1,260,916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302,417</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132,813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371,012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2,067,158</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37-48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1,039,762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1,692,504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More than 48 payments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706,571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3,471,137</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4,177,708</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36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yet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1,747,456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1,855,164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5,332,532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36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2025 Current period</w:t>
            </w:r>
            <w:r>
              <w:rPr>
                <w:rFonts w:ascii="Arial;sans-serif" w:hAnsi="Arial;sans-serif"/>
                <w:b w:val="false"/>
                <w:color w:val="000000"/>
                <w:sz w:val="9"/>
              </w:rPr>
              <w:t xml:space="preserve">(5) </w:t>
            </w:r>
            <w:r>
              <w:rPr>
                <w:rFonts w:ascii="Arial;sans-serif" w:hAnsi="Arial;sans-serif"/>
                <w:b w:val="false"/>
                <w:color w:val="000000"/>
                <w:sz w:val="14"/>
              </w:rPr>
              <w:t>gross 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(21,763)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(73,247)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(69,089)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(51,038)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(182,920)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(399,636)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2025 Current period</w:t>
            </w:r>
            <w:r>
              <w:rPr>
                <w:rFonts w:ascii="Arial;sans-serif" w:hAnsi="Arial;sans-serif"/>
                <w:b w:val="false"/>
                <w:color w:val="000000"/>
                <w:sz w:val="9"/>
              </w:rPr>
              <w:t>(5)</w:t>
            </w:r>
            <w:r>
              <w:rPr>
                <w:color w:val="000000"/>
              </w:rPr>
              <w:t xml:space="preserve"> </w:t>
            </w:r>
            <w:r>
              <w:rPr>
                <w:rFonts w:ascii="Arial;sans-serif" w:hAnsi="Arial;sans-serif"/>
                <w:b w:val="false"/>
                <w:color w:val="000000"/>
                <w:sz w:val="14"/>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2025 Current period</w:t>
            </w:r>
            <w:r>
              <w:rPr>
                <w:rFonts w:ascii="Arial;sans-serif" w:hAnsi="Arial;sans-serif"/>
                <w:b w:val="false"/>
                <w:color w:val="000000"/>
                <w:sz w:val="9"/>
              </w:rPr>
              <w:t>(5)</w:t>
            </w:r>
            <w:r>
              <w:rPr>
                <w:color w:val="000000"/>
              </w:rPr>
              <w:t xml:space="preserve"> </w:t>
            </w:r>
            <w:r>
              <w:rPr>
                <w:rFonts w:ascii="Arial;sans-serif" w:hAnsi="Arial;sans-serif"/>
                <w:b w:val="false"/>
                <w:color w:val="000000"/>
                <w:sz w:val="14"/>
              </w:rPr>
              <w:t>net charge-offs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(20,116)</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(66,278)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(61,231)</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(44,598)</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(152,024)</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(345,725)</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accrued interest by origination approval vintage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169,560 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486,685 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304,418 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230,680 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243,949 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1,570,069 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sans-serif" w:hAnsi="Arial;sans-serif"/>
          <w:b w:val="false"/>
          <w:color w:val="000000"/>
          <w:sz w:val="8"/>
        </w:rPr>
        <w:t>(1)</w:t>
      </w:r>
      <w:r>
        <w:rPr>
          <w:rFonts w:ascii="Arial;sans-serif" w:hAnsi="Arial;sans-serif"/>
          <w:b w:val="false"/>
          <w:color w:val="000000"/>
          <w:sz w:val="12"/>
        </w:rPr>
        <w:t>Balance represents gross Private Education Loans held for investment.</w:t>
      </w:r>
    </w:p>
    <w:p>
      <w:pPr>
        <w:pStyle w:val="TextBody"/>
        <w:bidi w:val="0"/>
        <w:spacing w:lineRule="auto" w:line="288" w:before="60" w:after="283"/>
        <w:ind w:left="0" w:right="0" w:hanging="360"/>
        <w:jc w:val="left"/>
        <w:rPr/>
      </w:pPr>
      <w:r>
        <w:rPr>
          <w:rFonts w:ascii="Arial;sans-serif" w:hAnsi="Arial;sans-serif"/>
          <w:b w:val="false"/>
          <w:color w:val="000000"/>
          <w:sz w:val="8"/>
        </w:rPr>
        <w:t>(2)</w:t>
      </w:r>
      <w:r>
        <w:rPr>
          <w:rFonts w:ascii="Arial;sans-serif" w:hAnsi="Arial;sans-serif"/>
          <w:b w:val="false"/>
          <w:color w:val="000000"/>
          <w:sz w:val="12"/>
        </w:rPr>
        <w:t>Represents the higher credit score of the cosigner or the borrower.</w:t>
      </w:r>
    </w:p>
    <w:p>
      <w:pPr>
        <w:pStyle w:val="TextBody"/>
        <w:bidi w:val="0"/>
        <w:spacing w:lineRule="auto" w:line="288" w:before="60" w:after="283"/>
        <w:ind w:left="0" w:right="0" w:hanging="360"/>
        <w:jc w:val="left"/>
        <w:rPr/>
      </w:pPr>
      <w:r>
        <w:rPr>
          <w:rFonts w:ascii="Arial;sans-serif" w:hAnsi="Arial;sans-serif"/>
          <w:b w:val="false"/>
          <w:color w:val="000000"/>
          <w:sz w:val="8"/>
        </w:rPr>
        <w:t>(3)</w:t>
      </w:r>
      <w:r>
        <w:rPr>
          <w:rFonts w:ascii="Arial;sans-serif" w:hAnsi="Arial;sans-serif"/>
          <w:b w:val="false"/>
          <w:color w:val="000000"/>
          <w:sz w:val="12"/>
        </w:rPr>
        <w:t>Represents the FICO score updated as of the fourth quarter 2025.</w:t>
      </w:r>
    </w:p>
    <w:p>
      <w:pPr>
        <w:pStyle w:val="TextBody"/>
        <w:bidi w:val="0"/>
        <w:spacing w:lineRule="auto" w:line="288" w:before="60" w:after="283"/>
        <w:ind w:left="0" w:right="0" w:hanging="360"/>
        <w:jc w:val="left"/>
        <w:rPr/>
      </w:pPr>
      <w:r>
        <w:rPr>
          <w:rFonts w:ascii="Arial;sans-serif" w:hAnsi="Arial;sans-serif"/>
          <w:b w:val="false"/>
          <w:color w:val="000000"/>
          <w:sz w:val="8"/>
        </w:rPr>
        <w:t>(4)</w:t>
      </w:r>
      <w:r>
        <w:rPr>
          <w:rFonts w:ascii="Arial;sans-serif" w:hAnsi="Arial;sans-serif"/>
          <w:b w:val="false"/>
          <w:color w:val="000000"/>
          <w:sz w:val="12"/>
        </w:rPr>
        <w:t>Number of months in active repayment (whether interest only payment, fixed payment, or full principal and interest payment status) for which a scheduled payment was due.</w:t>
      </w:r>
    </w:p>
    <w:p>
      <w:pPr>
        <w:pStyle w:val="TextBody"/>
        <w:bidi w:val="0"/>
        <w:spacing w:lineRule="auto" w:line="288" w:before="60" w:after="283"/>
        <w:ind w:left="0" w:right="0" w:hanging="360"/>
        <w:jc w:val="left"/>
        <w:rPr/>
      </w:pPr>
      <w:r>
        <w:rPr>
          <w:rFonts w:ascii="Arial;sans-serif" w:hAnsi="Arial;sans-serif"/>
          <w:b w:val="false"/>
          <w:color w:val="000000"/>
          <w:sz w:val="8"/>
        </w:rPr>
        <w:t>(5)</w:t>
      </w:r>
      <w:r>
        <w:rPr>
          <w:rFonts w:ascii="Arial;sans-serif" w:hAnsi="Arial;sans-serif"/>
          <w:b w:val="false"/>
          <w:color w:val="000000"/>
          <w:sz w:val="12"/>
        </w:rPr>
        <w:t xml:space="preserve">Current period refers to January 1, 2025 through December 31, 2025. </w:t>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TextBody"/>
        <w:bidi w:val="0"/>
        <w:spacing w:before="0" w:after="0"/>
        <w:ind w:left="0" w:right="0" w:firstLine="22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28</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25"/>
        <w:jc w:val="left"/>
        <w:rPr>
          <w:rFonts w:ascii="Arial;sans-serif" w:hAnsi="Arial;sans-serif"/>
          <w:b w:val="false"/>
          <w:i/>
          <w:color w:val="000000"/>
          <w:sz w:val="20"/>
        </w:rPr>
      </w:pPr>
      <w:r>
        <w:rPr>
          <w:rFonts w:ascii="Arial;sans-serif" w:hAnsi="Arial;sans-serif"/>
          <w:b w:val="false"/>
          <w:i/>
          <w:color w:val="000000"/>
          <w:sz w:val="20"/>
        </w:rPr>
        <w:t>Delinquencies - Private Education Loans Held for Investment</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tables provide information regarding the loan status of our Private Education Loans held for investment, by year of origination approval/first disbursement. Loans in repayment include loans on which borrowers are making interest only or fixed payments, as well as loans that have entered full principal and interest repayment status after any applicable grace period (but, for purposes of the following tables, do not include loans in the “loans in forbearance” metric).</w:t>
      </w:r>
    </w:p>
    <w:p>
      <w:pPr>
        <w:pStyle w:val="TextBody"/>
        <w:bidi w:val="0"/>
        <w:spacing w:before="0" w:after="0"/>
        <w:ind w:left="0" w:right="0" w:firstLine="450"/>
        <w:jc w:val="left"/>
        <w:rPr/>
      </w:pPr>
      <w:r>
        <w:rPr/>
      </w:r>
    </w:p>
    <w:tbl>
      <w:tblPr>
        <w:tblW w:w="11671"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841"/>
        <w:gridCol w:w="271"/>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3"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Private Education Loans Held for Investment - Delinquencies by Origination Approval Vintage</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As of September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2021 and 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w:t>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in-school/grace/deferment</w:t>
            </w:r>
            <w:r>
              <w:rPr>
                <w:rFonts w:ascii="Arial;sans-serif" w:hAnsi="Arial;sans-serif"/>
                <w:b w:val="false"/>
                <w:color w:val="000000"/>
                <w:sz w:val="9"/>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1,336,907 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1,877,763 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1,037,590 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458,955 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315,874 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526,055 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5,553,144 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in forbearance</w:t>
            </w:r>
            <w:r>
              <w:rPr>
                <w:rFonts w:ascii="Arial;sans-serif" w:hAnsi="Arial;sans-serif"/>
                <w:b w:val="false"/>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62,470 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81,420 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2,076,858 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3,119,754 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2,263,785 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1,475,033 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1,471,230 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4,962,369 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15,369,029 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delinquent 30-59 days</w:t>
            </w:r>
            <w:r>
              <w:rPr>
                <w:rFonts w:ascii="Arial;sans-serif" w:hAnsi="Arial;sans-serif"/>
                <w:b w:val="false"/>
                <w:color w:val="000000"/>
                <w:sz w:val="9"/>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3,082 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23,998 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46,900 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43,645 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46,944 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186,533 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351,102 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delinquent 60-89 days</w:t>
            </w:r>
            <w:r>
              <w:rPr>
                <w:rFonts w:ascii="Arial;sans-serif" w:hAnsi="Arial;sans-serif"/>
                <w:b w:val="false"/>
                <w:color w:val="000000"/>
                <w:sz w:val="9"/>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88,923 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173,755 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90 days or greater past due</w:t>
            </w:r>
            <w:r>
              <w:rPr>
                <w:rFonts w:ascii="Arial;sans-serif" w:hAnsi="Arial;sans-serif"/>
                <w:b w:val="false"/>
                <w:color w:val="000000"/>
                <w:sz w:val="9"/>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18,676 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18,780 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21,647 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84,412 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149,555 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2,081,093 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3,159,368 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2,352,808 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1,562,664 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1,565,271 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5,322,237 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16,043,441 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3,422,456 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5,099,601 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3,471,818 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2,073,327 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1,928,580 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5,970,235 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21,966,017 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Private Education Loans 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109,767 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3,456,954 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5,128,179 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3,491,635 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2,083,103 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1,934,311 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5,981,602 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22,075,784 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Private Education Loans allowance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(283,596)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(237,228)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(175,879)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(161,762)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(425,195)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(1,449,614)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Private Education Loans,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3,291,000 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4,844,583 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3,254,407 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1,907,224 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1,772,549 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5,556,407 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20,626,170 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Percentage of Private Education 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60.8 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81.2 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89.1 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73.0 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Delinquent Private Education Loans in repayment as a percentage of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05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in forbearance as a percentage of loans in repayment and forbearance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180" w:after="283"/>
        <w:ind w:left="0" w:right="0" w:hanging="180"/>
        <w:jc w:val="left"/>
        <w:rPr/>
      </w:pPr>
      <w:r>
        <w:rPr>
          <w:rFonts w:ascii="Arial;sans-serif" w:hAnsi="Arial;sans-serif"/>
          <w:b w:val="false"/>
          <w:color w:val="000000"/>
          <w:sz w:val="9"/>
        </w:rPr>
        <w:t>(1)</w:t>
      </w:r>
      <w:r>
        <w:rPr>
          <w:rFonts w:ascii="Arial;sans-serif" w:hAnsi="Arial;sans-serif"/>
          <w:b w:val="false"/>
          <w:color w:val="000000"/>
          <w:sz w:val="14"/>
        </w:rPr>
        <w:t>Deferment includes customers who have returned to school or are engaged in other permitted educational activities and are not yet required to make payments on the loans (e.g., residency periods for medical students or a grace period for bar exam preparation).</w:t>
      </w:r>
    </w:p>
    <w:p>
      <w:pPr>
        <w:pStyle w:val="TextBody"/>
        <w:bidi w:val="0"/>
        <w:spacing w:lineRule="auto" w:line="288" w:before="180" w:after="283"/>
        <w:ind w:left="0" w:right="0" w:hanging="180"/>
        <w:jc w:val="left"/>
        <w:rPr/>
      </w:pPr>
      <w:r>
        <w:rPr>
          <w:rFonts w:ascii="Arial;sans-serif" w:hAnsi="Arial;sans-serif"/>
          <w:b w:val="false"/>
          <w:color w:val="000000"/>
          <w:sz w:val="9"/>
        </w:rPr>
        <w:t>(2)</w:t>
      </w:r>
      <w:r>
        <w:rPr>
          <w:rFonts w:ascii="Arial;sans-serif" w:hAnsi="Arial;sans-serif"/>
          <w:b w:val="false"/>
          <w:color w:val="000000"/>
          <w:sz w:val="14"/>
        </w:rPr>
        <w:t>Loans for customers who have requested extension of grace period generally during employment transition or who have temporarily ceased making full payments due to hardship or other factors (other than delinquent loans in disaster forbearance), consistent with established loan program servicing policies and procedures.</w:t>
      </w:r>
    </w:p>
    <w:p>
      <w:pPr>
        <w:pStyle w:val="TextBody"/>
        <w:bidi w:val="0"/>
        <w:spacing w:lineRule="auto" w:line="288" w:before="180" w:after="283"/>
        <w:ind w:left="0" w:right="0" w:hanging="180"/>
        <w:jc w:val="left"/>
        <w:rPr/>
      </w:pPr>
      <w:r>
        <w:rPr>
          <w:rFonts w:ascii="Arial;sans-serif" w:hAnsi="Arial;sans-serif"/>
          <w:b w:val="false"/>
          <w:color w:val="000000"/>
          <w:sz w:val="9"/>
        </w:rPr>
        <w:t>(3)</w:t>
      </w:r>
      <w:r>
        <w:rPr>
          <w:rFonts w:ascii="Arial;sans-serif" w:hAnsi="Arial;sans-serif"/>
          <w:b w:val="false"/>
          <w:color w:val="000000"/>
          <w:sz w:val="14"/>
        </w:rPr>
        <w:t>The period of delinquency is based on the number of days scheduled payments are contractually past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29</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506" w:type="dxa"/>
        <w:jc w:val="center"/>
        <w:tblInd w:w="0" w:type="dxa"/>
        <w:tblLayout w:type="fixed"/>
        <w:tblCellMar>
          <w:top w:w="28" w:type="dxa"/>
          <w:left w:w="28" w:type="dxa"/>
          <w:bottom w:w="28" w:type="dxa"/>
          <w:right w:w="28" w:type="dxa"/>
        </w:tblCellMar>
      </w:tblPr>
      <w:tblGrid>
        <w:gridCol w:w="397"/>
        <w:gridCol w:w="244"/>
        <w:gridCol w:w="245"/>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766"/>
        <w:gridCol w:w="226"/>
        <w:gridCol w:w="109"/>
        <w:gridCol w:w="109"/>
        <w:gridCol w:w="109"/>
        <w:gridCol w:w="181"/>
        <w:gridCol w:w="841"/>
        <w:gridCol w:w="271"/>
      </w:tblGrid>
      <w:tr>
        <w:trPr/>
        <w:tc>
          <w:tcPr>
            <w:tcW w:w="3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3" w:type="dxa"/>
            <w:gridSpan w:val="3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Private Education Loans Held for Investment - Delinquencies by Origination Vintage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As of December 31, 2025</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2020 and 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Total</w:t>
            </w:r>
          </w:p>
        </w:tc>
      </w:tr>
      <w:tr>
        <w:trPr/>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in-school/grace/deferment</w:t>
            </w:r>
            <w:r>
              <w:rPr>
                <w:rFonts w:ascii="Arial;sans-serif" w:hAnsi="Arial;sans-serif"/>
                <w:b w:val="false"/>
                <w:color w:val="000000"/>
                <w:sz w:val="9"/>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1,747,456 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1,855,164 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658,750 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402,546 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215,115 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453,501 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5,332,532 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in forbearance</w:t>
            </w:r>
            <w:r>
              <w:rPr>
                <w:rFonts w:ascii="Arial;sans-serif" w:hAnsi="Arial;sans-serif"/>
                <w:b w:val="false"/>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83,962 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87,534 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2,545,734 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3,404,837 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1,863,481 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1,284,830 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4,436,303 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15,258,723 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delinquent 30-59 days</w:t>
            </w:r>
            <w:r>
              <w:rPr>
                <w:rFonts w:ascii="Arial;sans-serif" w:hAnsi="Arial;sans-serif"/>
                <w:b w:val="false"/>
                <w:color w:val="000000"/>
                <w:sz w:val="9"/>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10,981 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29,336 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41,888 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44,106 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33,983 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170,013 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330,307 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delinquent 60-89 days</w:t>
            </w:r>
            <w:r>
              <w:rPr>
                <w:rFonts w:ascii="Arial;sans-serif" w:hAnsi="Arial;sans-serif"/>
                <w:b w:val="false"/>
                <w:color w:val="000000"/>
                <w:sz w:val="9"/>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76,017 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Loans 90 days or greater past due</w:t>
            </w:r>
            <w:r>
              <w:rPr>
                <w:rFonts w:ascii="Arial;sans-serif" w:hAnsi="Arial;sans-serif"/>
                <w:b w:val="false"/>
                <w:color w:val="000000"/>
                <w:sz w:val="9"/>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1,457 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10,726 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22,652 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22,265 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17,873 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76,141 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151,114 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2,561,439 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3,458,164 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1,950,308 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1,812,638 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1,353,804 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4,758,474 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15,894,827 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4,331,374 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5,440,721 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2,693,020 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2,282,218 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1,613,592 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5,299,509 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21,660,434 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Private Education Loans 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Private Education 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4,368,869 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5,471,283 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2,705,956 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2,289,340 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1,617,980 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5,309,014 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21,762,442 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Private Education Loans allowance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(231,497)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(312,665)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(211,732)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(182,408)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(122,163)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(369,853)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(1,430,318)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Private Education Loans,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4,137,372 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5,158,618 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2,494,224 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2,106,932 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1,495,817 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4,939,161 </w:t>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20,332,124 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Percentage of Private Education 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59.1 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79.4 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83.9 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73.4 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Delinquent Private Education Loans in repayment as a percentage of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in forbearance as a percentage of loans in repayment and forbearance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0"/>
        <w:ind w:left="0" w:right="0" w:firstLine="450"/>
        <w:jc w:val="left"/>
        <w:rPr/>
      </w:pPr>
      <w:r>
        <w:rPr/>
      </w:r>
    </w:p>
    <w:p>
      <w:pPr>
        <w:pStyle w:val="TextBody"/>
        <w:bidi w:val="0"/>
        <w:spacing w:lineRule="auto" w:line="288" w:before="180" w:after="283"/>
        <w:ind w:left="0" w:right="0" w:hanging="180"/>
        <w:jc w:val="left"/>
        <w:rPr/>
      </w:pPr>
      <w:r>
        <w:rPr>
          <w:rFonts w:ascii="Arial;sans-serif" w:hAnsi="Arial;sans-serif"/>
          <w:b w:val="false"/>
          <w:color w:val="000000"/>
          <w:sz w:val="9"/>
        </w:rPr>
        <w:t>(1)</w:t>
      </w:r>
      <w:r>
        <w:rPr>
          <w:rFonts w:ascii="Arial;sans-serif" w:hAnsi="Arial;sans-serif"/>
          <w:b w:val="false"/>
          <w:color w:val="000000"/>
          <w:sz w:val="14"/>
        </w:rPr>
        <w:t>Deferment includes customers who have returned to school or are engaged in other permitted educational activities and are not yet required to make payments on the loans (e.g., residency periods for medical students or a grace period for bar exam preparation).</w:t>
      </w:r>
    </w:p>
    <w:p>
      <w:pPr>
        <w:pStyle w:val="TextBody"/>
        <w:bidi w:val="0"/>
        <w:spacing w:lineRule="auto" w:line="288" w:before="180" w:after="283"/>
        <w:ind w:left="0" w:right="0" w:hanging="180"/>
        <w:jc w:val="left"/>
        <w:rPr/>
      </w:pPr>
      <w:r>
        <w:rPr>
          <w:rFonts w:ascii="Arial;sans-serif" w:hAnsi="Arial;sans-serif"/>
          <w:b w:val="false"/>
          <w:color w:val="000000"/>
          <w:sz w:val="9"/>
        </w:rPr>
        <w:t>(2)</w:t>
      </w:r>
      <w:r>
        <w:rPr>
          <w:rFonts w:ascii="Arial;sans-serif" w:hAnsi="Arial;sans-serif"/>
          <w:b w:val="false"/>
          <w:color w:val="000000"/>
          <w:sz w:val="14"/>
        </w:rPr>
        <w:t>Loans for customers who have requested extension of grace period generally during employment transition or who have temporarily ceased making full payments due to hardship or other factors (other than delinquent loans in disaster forbearance), consistent with established loan program servicing policies and procedures.</w:t>
      </w:r>
    </w:p>
    <w:p>
      <w:pPr>
        <w:pStyle w:val="TextBody"/>
        <w:bidi w:val="0"/>
        <w:spacing w:lineRule="auto" w:line="288" w:before="180" w:after="283"/>
        <w:ind w:left="0" w:right="0" w:hanging="180"/>
        <w:jc w:val="left"/>
        <w:rPr/>
      </w:pPr>
      <w:r>
        <w:rPr>
          <w:rFonts w:ascii="Arial;sans-serif" w:hAnsi="Arial;sans-serif"/>
          <w:b w:val="false"/>
          <w:color w:val="000000"/>
          <w:sz w:val="9"/>
        </w:rPr>
        <w:t>(3)</w:t>
      </w:r>
      <w:r>
        <w:rPr>
          <w:rFonts w:ascii="Arial;sans-serif" w:hAnsi="Arial;sans-serif"/>
          <w:b w:val="false"/>
          <w:color w:val="000000"/>
          <w:sz w:val="14"/>
        </w:rPr>
        <w:t>The period of delinquency is based on the number of days scheduled payments are contractually past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30</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lineRule="auto" w:line="288" w:before="0" w:after="0"/>
        <w:jc w:val="left"/>
        <w:rPr/>
      </w:pPr>
      <w:r>
        <w:rPr>
          <w:color w:val="000000"/>
        </w:rPr>
        <w:t> </w:t>
      </w:r>
      <w:r>
        <w:rPr>
          <w:rFonts w:ascii="Arial;sans-serif" w:hAnsi="Arial;sans-serif"/>
          <w:b w:val="false"/>
          <w:i/>
          <w:color w:val="000000"/>
          <w:sz w:val="20"/>
        </w:rPr>
        <w:t>Accrued Interest Receivable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regarding accrued interest receivable on our Private Education Loans. The table also discloses the amount of accrued interest on loans 90 days or greater past due as compared to our allowance for uncollectible interest. The majority of the total accrued interest receivable represents accrued interest on deferred loans where no payments are due while the borrower is in school and fixed-pay loans where the borrower makes a $25 monthly payment that is smaller than the interest accruing on the loan in that month. The accrued interest on these loans will be capitalized to the balance of the loans when the borrower exits the grace period after separation from school. The allowance for credit losses considers the collectibility of both principal and accrued interest. The allowance for uncollectible interest estimates the additional uncollectible interest that is not captured in the allowance for credit losses. </w:t>
      </w:r>
    </w:p>
    <w:p>
      <w:pPr>
        <w:pStyle w:val="TextBody"/>
        <w:bidi w:val="0"/>
        <w:spacing w:before="0" w:after="0"/>
        <w:ind w:left="0" w:right="0" w:firstLine="495"/>
        <w:jc w:val="left"/>
        <w:rPr/>
      </w:pPr>
      <w:r>
        <w:rPr/>
      </w:r>
    </w:p>
    <w:tbl>
      <w:tblPr>
        <w:tblW w:w="10205" w:type="dxa"/>
        <w:jc w:val="center"/>
        <w:tblInd w:w="0" w:type="dxa"/>
        <w:tblLayout w:type="fixed"/>
        <w:tblCellMar>
          <w:top w:w="28" w:type="dxa"/>
          <w:left w:w="28" w:type="dxa"/>
          <w:bottom w:w="28" w:type="dxa"/>
          <w:right w:w="28" w:type="dxa"/>
        </w:tblCellMar>
      </w:tblPr>
      <w:tblGrid>
        <w:gridCol w:w="644"/>
        <w:gridCol w:w="567"/>
        <w:gridCol w:w="570"/>
        <w:gridCol w:w="109"/>
        <w:gridCol w:w="109"/>
        <w:gridCol w:w="109"/>
        <w:gridCol w:w="333"/>
        <w:gridCol w:w="1546"/>
        <w:gridCol w:w="171"/>
        <w:gridCol w:w="109"/>
        <w:gridCol w:w="109"/>
        <w:gridCol w:w="109"/>
        <w:gridCol w:w="519"/>
        <w:gridCol w:w="1517"/>
        <w:gridCol w:w="268"/>
        <w:gridCol w:w="109"/>
        <w:gridCol w:w="109"/>
        <w:gridCol w:w="109"/>
        <w:gridCol w:w="598"/>
        <w:gridCol w:w="2047"/>
        <w:gridCol w:w="444"/>
      </w:tblGrid>
      <w:tr>
        <w:trPr/>
        <w:tc>
          <w:tcPr>
            <w:tcW w:w="64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 Loans</w:t>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Accrued Interest Receivable</w:t>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 Interest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90 Days or Greater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Allowance for Uncollectible Interest</w:t>
            </w:r>
            <w:r>
              <w:rPr>
                <w:rFonts w:ascii="Arial;sans-serif" w:hAnsi="Arial;sans-serif"/>
                <w:b/>
                <w:color w:val="144F82"/>
                <w:sz w:val="10"/>
              </w:rPr>
              <w:t>(1)</w:t>
            </w:r>
          </w:p>
        </w:tc>
      </w:tr>
      <w:tr>
        <w:trPr/>
        <w:tc>
          <w:tcPr>
            <w:tcW w:w="1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30, 2026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1,674,856 </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6,073 </w:t>
            </w:r>
          </w:p>
        </w:tc>
        <w:tc>
          <w:tcPr>
            <w:tcW w:w="26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13,025 </w:t>
            </w:r>
          </w:p>
        </w:tc>
        <w:tc>
          <w:tcPr>
            <w:tcW w:w="44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14,511 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Arial;sans-serif" w:hAnsi="Arial;sans-serif"/>
          <w:b w:val="false"/>
          <w:color w:val="000000"/>
          <w:sz w:val="9"/>
        </w:rPr>
        <w:t>(1)</w:t>
      </w:r>
      <w:r>
        <w:rPr>
          <w:rFonts w:ascii="Arial;sans-serif" w:hAnsi="Arial;sans-serif"/>
          <w:b w:val="false"/>
          <w:color w:val="000000"/>
          <w:sz w:val="14"/>
        </w:rPr>
        <w:t>At September 30, 2026 and December 31, 2025, $156 million and $164 million, respectively, of accrued interest receivable was not expected to be capitalized and $1.5 billion and $1.4 billion of accrued interest receivable was expected to be capitalized.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31</w:t>
                      </w:r>
                    </w:p>
                  </w:txbxContent>
                </v:textbox>
                <w10:wrap type="none"/>
              </v:rect>
            </w:pict>
          </mc:Fallback>
        </mc:AlternateContent>
      </w:r>
    </w:p>
    <w:p>
      <w:pPr>
        <w:pStyle w:val="TextBody"/>
        <w:bidi w:val="0"/>
        <w:spacing w:before="120" w:after="283"/>
        <w:jc w:val="center"/>
        <w:rPr/>
      </w:pPr>
      <w:r>
        <w:rPr/>
      </w:r>
    </w:p>
    <w:tbl>
      <w:tblPr>
        <w:tblW w:w="7823" w:type="dxa"/>
        <w:jc w:val="center"/>
        <w:tblInd w:w="0" w:type="dxa"/>
        <w:tblLayout w:type="fixed"/>
        <w:tblCellMar>
          <w:top w:w="28" w:type="dxa"/>
          <w:left w:w="28" w:type="dxa"/>
          <w:bottom w:w="28" w:type="dxa"/>
          <w:right w:w="28" w:type="dxa"/>
        </w:tblCellMar>
      </w:tblPr>
      <w:tblGrid>
        <w:gridCol w:w="124"/>
        <w:gridCol w:w="109"/>
        <w:gridCol w:w="109"/>
        <w:gridCol w:w="2368"/>
        <w:gridCol w:w="2368"/>
        <w:gridCol w:w="23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Credit Losses and Unfunded Loan Commitments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Unfunded Loan Commitments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When we approve a Private Education Loan at the beginning of an academic year, that approval may cover the borrowing for the entire academic year. As such, we do not always disburse the full amount of the loan at the time of such approval but, instead, have a commitment to fund a portion of the loan later (usually at the start of the second semester or subsequent trimesters). We estimate expected credit losses over the contractual period in which we are exposed to credit risk via a contractual obligation to extend credit unless that obligation is unconditionally cancellable by us. See Note 2, “Significant Accounting Policies - Allowance for Credit Losses — Off-Balance Sheet Exposure for Contractual Loan Commitments” in our 2025 Form 10-K for additional information.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At September 30, 2026, we had $3.2 billion of outstanding contractual loan commitments that we expect to fund during the remainder of the 2026/2027 academic year, including $672 million of contractual loan commitments associated with loans classified as held for sale. The table below summarizes the activity in the allowance recorded to cover lifetime expected credit losses on the unfunded commitments, which is recorded in “Other Liabilities” on the consolidated balance sheets, as well as the activity in the unfunded commitments balance. </w:t>
      </w:r>
    </w:p>
    <w:tbl>
      <w:tblPr>
        <w:tblW w:w="10205" w:type="dxa"/>
        <w:jc w:val="center"/>
        <w:tblInd w:w="0" w:type="dxa"/>
        <w:tblLayout w:type="fixed"/>
        <w:tblCellMar>
          <w:top w:w="28" w:type="dxa"/>
          <w:left w:w="28" w:type="dxa"/>
          <w:bottom w:w="28" w:type="dxa"/>
          <w:right w:w="28" w:type="dxa"/>
        </w:tblCellMar>
      </w:tblPr>
      <w:tblGrid>
        <w:gridCol w:w="1074"/>
        <w:gridCol w:w="945"/>
        <w:gridCol w:w="948"/>
        <w:gridCol w:w="211"/>
        <w:gridCol w:w="721"/>
        <w:gridCol w:w="109"/>
        <w:gridCol w:w="109"/>
        <w:gridCol w:w="109"/>
        <w:gridCol w:w="109"/>
        <w:gridCol w:w="335"/>
        <w:gridCol w:w="1554"/>
        <w:gridCol w:w="173"/>
        <w:gridCol w:w="109"/>
        <w:gridCol w:w="109"/>
        <w:gridCol w:w="109"/>
        <w:gridCol w:w="211"/>
        <w:gridCol w:w="721"/>
        <w:gridCol w:w="109"/>
        <w:gridCol w:w="109"/>
        <w:gridCol w:w="109"/>
        <w:gridCol w:w="109"/>
        <w:gridCol w:w="331"/>
        <w:gridCol w:w="1535"/>
        <w:gridCol w:w="247"/>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9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Three Months Ended September 30,</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Unfunded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Unfunded Commitments</w:t>
            </w:r>
          </w:p>
        </w:tc>
      </w:tr>
      <w:tr>
        <w:trPr/>
        <w:tc>
          <w:tcPr>
            <w:tcW w:w="296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Beginning Balance</w:t>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1,728,478 </w:t>
            </w:r>
          </w:p>
        </w:tc>
        <w:tc>
          <w:tcPr>
            <w:tcW w:w="17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1,358,163 </w:t>
            </w:r>
          </w:p>
        </w:tc>
        <w:tc>
          <w:tcPr>
            <w:tcW w:w="24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Provision/New commitments - net</w:t>
            </w: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4,850,608 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4,251,598 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Transfer - funded loans</w:t>
            </w:r>
            <w:r>
              <w:rPr>
                <w:rFonts w:ascii="Arial;sans-serif" w:hAnsi="Arial;sans-serif"/>
                <w:b w:val="false"/>
                <w:color w:val="000000"/>
                <w:sz w:val="12"/>
              </w:rPr>
              <w:t>(2)</w:t>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(125,541)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(3,335,053)</w:t>
            </w:r>
          </w:p>
        </w:tc>
        <w:tc>
          <w:tcPr>
            <w:tcW w:w="17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(109,422)</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(2,936,392)</w:t>
            </w:r>
          </w:p>
        </w:tc>
        <w:tc>
          <w:tcPr>
            <w:tcW w:w="24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Unfunded loan commitments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(28,389)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Ending Balance</w:t>
            </w:r>
            <w:r>
              <w:rPr>
                <w:rFonts w:ascii="Arial;sans-serif" w:hAnsi="Arial;sans-serif"/>
                <w:b/>
                <w:color w:val="144F82"/>
                <w:sz w:val="12"/>
              </w:rPr>
              <w:t>(3)</w:t>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93,704 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3,215,644 </w:t>
            </w:r>
          </w:p>
        </w:tc>
        <w:tc>
          <w:tcPr>
            <w:tcW w:w="17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97,877 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2,673,369 </w:t>
            </w:r>
          </w:p>
        </w:tc>
        <w:tc>
          <w:tcPr>
            <w:tcW w:w="24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808" w:type="dxa"/>
            <w:gridSpan w:val="12"/>
            <w:tcBorders/>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tbl>
      <w:tblPr>
        <w:tblW w:w="10205" w:type="dxa"/>
        <w:jc w:val="center"/>
        <w:tblInd w:w="0" w:type="dxa"/>
        <w:tblLayout w:type="fixed"/>
        <w:tblCellMar>
          <w:top w:w="28" w:type="dxa"/>
          <w:left w:w="28" w:type="dxa"/>
          <w:bottom w:w="28" w:type="dxa"/>
          <w:right w:w="28" w:type="dxa"/>
        </w:tblCellMar>
      </w:tblPr>
      <w:tblGrid>
        <w:gridCol w:w="1075"/>
        <w:gridCol w:w="945"/>
        <w:gridCol w:w="948"/>
        <w:gridCol w:w="211"/>
        <w:gridCol w:w="721"/>
        <w:gridCol w:w="109"/>
        <w:gridCol w:w="109"/>
        <w:gridCol w:w="109"/>
        <w:gridCol w:w="109"/>
        <w:gridCol w:w="335"/>
        <w:gridCol w:w="1554"/>
        <w:gridCol w:w="173"/>
        <w:gridCol w:w="109"/>
        <w:gridCol w:w="109"/>
        <w:gridCol w:w="109"/>
        <w:gridCol w:w="211"/>
        <w:gridCol w:w="721"/>
        <w:gridCol w:w="109"/>
        <w:gridCol w:w="109"/>
        <w:gridCol w:w="109"/>
        <w:gridCol w:w="109"/>
        <w:gridCol w:w="330"/>
        <w:gridCol w:w="1535"/>
        <w:gridCol w:w="247"/>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9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Nine Months Ended September 30,</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Unfunded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Unfunded Commitments</w:t>
            </w:r>
          </w:p>
        </w:tc>
      </w:tr>
      <w:tr>
        <w:trPr/>
        <w:tc>
          <w:tcPr>
            <w:tcW w:w="2968"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Beginning Balance</w:t>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77,132 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2,437,035 </w:t>
            </w:r>
          </w:p>
        </w:tc>
        <w:tc>
          <w:tcPr>
            <w:tcW w:w="17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2,311,660 </w:t>
            </w:r>
          </w:p>
        </w:tc>
        <w:tc>
          <w:tcPr>
            <w:tcW w:w="24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Provision/New commitments - net</w:t>
            </w: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7,795,793 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6,755,182 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Transfer - funded loans</w:t>
            </w:r>
            <w:r>
              <w:rPr>
                <w:rFonts w:ascii="Arial;sans-serif" w:hAnsi="Arial;sans-serif"/>
                <w:b w:val="false"/>
                <w:color w:val="000000"/>
                <w:sz w:val="12"/>
              </w:rPr>
              <w:t>(2)</w:t>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(253,044)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(6,431,011)</w:t>
            </w:r>
          </w:p>
        </w:tc>
        <w:tc>
          <w:tcPr>
            <w:tcW w:w="17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(242,434)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(6,393,473)</w:t>
            </w:r>
          </w:p>
        </w:tc>
        <w:tc>
          <w:tcPr>
            <w:tcW w:w="24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Unfunded loan commitments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(586,173)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Ending Balance</w:t>
            </w:r>
            <w:r>
              <w:rPr>
                <w:rFonts w:ascii="Arial;sans-serif" w:hAnsi="Arial;sans-serif"/>
                <w:b/>
                <w:color w:val="144F82"/>
                <w:sz w:val="12"/>
              </w:rPr>
              <w:t>(3)</w:t>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93,704 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3,215,644 </w:t>
            </w:r>
          </w:p>
        </w:tc>
        <w:tc>
          <w:tcPr>
            <w:tcW w:w="17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97,877 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2,673,369 </w:t>
            </w:r>
          </w:p>
        </w:tc>
        <w:tc>
          <w:tcPr>
            <w:tcW w:w="24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807" w:type="dxa"/>
            <w:gridSpan w:val="12"/>
            <w:tcBorders/>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29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left"/>
        <w:rPr/>
      </w:pPr>
      <w:r>
        <w:rPr>
          <w:rFonts w:ascii="Arial;sans-serif" w:hAnsi="Arial;sans-serif"/>
          <w:b w:val="false"/>
          <w:color w:val="000000"/>
          <w:sz w:val="9"/>
        </w:rPr>
        <w:t>(1)</w:t>
      </w:r>
      <w:r>
        <w:rPr>
          <w:color w:val="000000"/>
        </w:rPr>
        <w:t>     </w:t>
      </w:r>
      <w:r>
        <w:rPr>
          <w:rFonts w:ascii="Arial;sans-serif" w:hAnsi="Arial;sans-serif"/>
          <w:b w:val="false"/>
          <w:color w:val="000000"/>
          <w:sz w:val="14"/>
        </w:rPr>
        <w:t xml:space="preserve">Net of expirations of commitments unused. Also includes incremental provision for new commitments and changes to provision for existing commitments. </w:t>
      </w:r>
    </w:p>
    <w:p>
      <w:pPr>
        <w:pStyle w:val="TextBody"/>
        <w:bidi w:val="0"/>
        <w:spacing w:lineRule="auto" w:line="288" w:before="0" w:after="0"/>
        <w:ind w:left="0" w:right="0" w:hanging="180"/>
        <w:jc w:val="left"/>
        <w:rPr/>
      </w:pPr>
      <w:r>
        <w:rPr>
          <w:rFonts w:ascii="Arial;sans-serif" w:hAnsi="Arial;sans-serif"/>
          <w:b w:val="false"/>
          <w:color w:val="000000"/>
          <w:sz w:val="9"/>
        </w:rPr>
        <w:t>(2)</w:t>
      </w:r>
      <w:r>
        <w:rPr>
          <w:color w:val="000000"/>
        </w:rPr>
        <w:t>     </w:t>
      </w:r>
      <w:r>
        <w:rPr>
          <w:rFonts w:ascii="Arial;sans-serif" w:hAnsi="Arial;sans-serif"/>
          <w:b w:val="false"/>
          <w:color w:val="000000"/>
          <w:sz w:val="14"/>
        </w:rPr>
        <w:t>When a loan commitment is funded, its related liability for credit losses (which originally was recorded as a provision for unfunded commitments) is transferred to the allowance for credit losses.</w:t>
      </w:r>
    </w:p>
    <w:p>
      <w:pPr>
        <w:pStyle w:val="TextBody"/>
        <w:bidi w:val="0"/>
        <w:spacing w:lineRule="auto" w:line="288" w:before="0" w:after="0"/>
        <w:ind w:left="0" w:right="0" w:hanging="180"/>
        <w:jc w:val="left"/>
        <w:rPr/>
      </w:pPr>
      <w:r>
        <w:rPr>
          <w:rFonts w:ascii="Arial;sans-serif" w:hAnsi="Arial;sans-serif"/>
          <w:b w:val="false"/>
          <w:color w:val="000000"/>
          <w:sz w:val="9"/>
        </w:rPr>
        <w:t>(3)</w:t>
      </w:r>
      <w:r>
        <w:rPr>
          <w:color w:val="000000"/>
        </w:rPr>
        <w:t>     </w:t>
      </w:r>
      <w:r>
        <w:rPr>
          <w:rFonts w:ascii="Arial;sans-serif" w:hAnsi="Arial;sans-serif"/>
          <w:b w:val="false"/>
          <w:color w:val="000000"/>
          <w:sz w:val="14"/>
        </w:rPr>
        <w:t xml:space="preserve">The ending balance of unfunded loan commitments includes $672 million of unfunded loan commitments associated with the loans classified as held for sale at September 30, 2026. Due to the near-term timing of the loan sale and credit quality of the loans, we believe there is no risk of credit loss and are not recording an allowance for the unfunded loan commitments related to the loans classified as held for sale. </w:t>
      </w:r>
    </w:p>
    <w:p>
      <w:pPr>
        <w:pStyle w:val="TextBody"/>
        <w:bidi w:val="0"/>
        <w:spacing w:before="0" w:after="0"/>
        <w:jc w:val="left"/>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unfunded commitments disclosed above represent the total amount of outstanding unfunded commitments at each period end. However, historically not all of these commitments are funded prior to the expiration of the commitments. We estimate the amount of commitments expected to be funded in calculating the reserve for unfunded commitments. The amount we expect to fund and use in our calculation of the reserve for unfunded commitments will change period to period based upon the loan characteristics of the underlying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6. Goodwill and Acquired Intangible Assets</w:t>
      </w:r>
    </w:p>
    <w:p>
      <w:pPr>
        <w:pStyle w:val="TextBody"/>
        <w:bidi w:val="0"/>
        <w:spacing w:lineRule="auto" w:line="288" w:before="1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120" w:after="283"/>
        <w:ind w:left="0" w:right="0" w:firstLine="495"/>
        <w:jc w:val="left"/>
        <w:rPr/>
      </w:pPr>
      <w:r>
        <w:rPr>
          <w:rFonts w:ascii="Arial;sans-serif" w:hAnsi="Arial;sans-serif"/>
          <w:b w:val="false"/>
          <w:color w:val="000000"/>
          <w:sz w:val="20"/>
        </w:rPr>
        <w:t xml:space="preserve">We recorded as goodwill the excess of the purchase price over the estimated fair values of identifiable assets and liabilities acquired as part of the </w:t>
      </w:r>
      <w:r>
        <w:rPr>
          <w:rFonts w:ascii="Arial;sans-serif" w:hAnsi="Arial;sans-serif"/>
          <w:b w:val="false"/>
          <w:color w:val="000000"/>
          <w:sz w:val="20"/>
          <w:shd w:fill="FFFFFF" w:val="clear"/>
        </w:rPr>
        <w:t>acquisition of the assets primarily used or held for use of Epic Research Education Services, LLC, which did business as Nitro College (“Nitro”),</w:t>
      </w:r>
      <w:r>
        <w:rPr>
          <w:color w:val="000000"/>
        </w:rPr>
        <w:t xml:space="preserve"> </w:t>
      </w:r>
      <w:r>
        <w:rPr>
          <w:rFonts w:ascii="Arial;sans-serif" w:hAnsi="Arial;sans-serif"/>
          <w:b w:val="false"/>
          <w:color w:val="000000"/>
          <w:sz w:val="20"/>
        </w:rPr>
        <w:t>in the first quarter of 2022, and the acquisition of the key assets of Scholly Inc. (“Scholly”) in the third quarter of 2023. Goodwill is not amortized but is tested periodically for impairment. We test goodwill for impairment annually in the fourth quarter of the year, or more frequently if we believe that indicators of impairment exist. At both September 30, 2026 and December 31, 2025,</w:t>
      </w:r>
      <w:r>
        <w:rPr>
          <w:color w:val="000000"/>
        </w:rPr>
        <w:t xml:space="preserve"> </w:t>
      </w:r>
      <w:r>
        <w:rPr>
          <w:rFonts w:ascii="Arial;sans-serif" w:hAnsi="Arial;sans-serif"/>
          <w:b w:val="false"/>
          <w:color w:val="000000"/>
          <w:sz w:val="20"/>
        </w:rPr>
        <w:t xml:space="preserve">we had $56 million in total goodwill. See Note 2, “Significant Accounting Policies — Business Combinations” in our 2025 Form 10-K for additional details on our acquisitions of Nitro and Scholly. </w:t>
      </w:r>
    </w:p>
    <w:p>
      <w:pPr>
        <w:pStyle w:val="TextBody"/>
        <w:bidi w:val="0"/>
        <w:spacing w:lineRule="auto" w:line="288" w:before="1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Acquired Intangible Assets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intangible assets include acquired trade names and trademarks, customer relationships, and developed technologies. We review our long-lived assets for impairment whenever events or changes in circumstances indicate that the carrying amount of such assets may not be recoverable.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Acquired intangible assets include the following: </w:t>
      </w:r>
    </w:p>
    <w:p>
      <w:pPr>
        <w:pStyle w:val="TextBody"/>
        <w:bidi w:val="0"/>
        <w:spacing w:before="100" w:after="283"/>
        <w:ind w:left="0" w:right="0" w:firstLine="495"/>
        <w:jc w:val="center"/>
        <w:rPr/>
      </w:pPr>
      <w:r>
        <w:rPr/>
      </w:r>
    </w:p>
    <w:tbl>
      <w:tblPr>
        <w:tblW w:w="10627" w:type="dxa"/>
        <w:jc w:val="center"/>
        <w:tblInd w:w="0" w:type="dxa"/>
        <w:tblLayout w:type="fixed"/>
        <w:tblCellMar>
          <w:top w:w="28" w:type="dxa"/>
          <w:left w:w="28" w:type="dxa"/>
          <w:bottom w:w="28" w:type="dxa"/>
          <w:right w:w="28" w:type="dxa"/>
        </w:tblCellMar>
      </w:tblPr>
      <w:tblGrid>
        <w:gridCol w:w="548"/>
        <w:gridCol w:w="311"/>
        <w:gridCol w:w="312"/>
        <w:gridCol w:w="109"/>
        <w:gridCol w:w="109"/>
        <w:gridCol w:w="109"/>
        <w:gridCol w:w="285"/>
        <w:gridCol w:w="285"/>
        <w:gridCol w:w="286"/>
        <w:gridCol w:w="109"/>
        <w:gridCol w:w="109"/>
        <w:gridCol w:w="109"/>
        <w:gridCol w:w="211"/>
        <w:gridCol w:w="721"/>
        <w:gridCol w:w="109"/>
        <w:gridCol w:w="109"/>
        <w:gridCol w:w="109"/>
        <w:gridCol w:w="109"/>
        <w:gridCol w:w="230"/>
        <w:gridCol w:w="805"/>
        <w:gridCol w:w="121"/>
        <w:gridCol w:w="109"/>
        <w:gridCol w:w="109"/>
        <w:gridCol w:w="109"/>
        <w:gridCol w:w="211"/>
        <w:gridCol w:w="616"/>
        <w:gridCol w:w="109"/>
        <w:gridCol w:w="109"/>
        <w:gridCol w:w="109"/>
        <w:gridCol w:w="109"/>
        <w:gridCol w:w="211"/>
        <w:gridCol w:w="721"/>
        <w:gridCol w:w="109"/>
        <w:gridCol w:w="109"/>
        <w:gridCol w:w="109"/>
        <w:gridCol w:w="109"/>
        <w:gridCol w:w="230"/>
        <w:gridCol w:w="805"/>
        <w:gridCol w:w="121"/>
        <w:gridCol w:w="109"/>
        <w:gridCol w:w="109"/>
        <w:gridCol w:w="109"/>
        <w:gridCol w:w="211"/>
        <w:gridCol w:w="61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 Average Useful Life</w:t>
            </w:r>
          </w:p>
          <w:p>
            <w:pPr>
              <w:pStyle w:val="TableContents"/>
              <w:bidi w:val="0"/>
              <w:spacing w:lineRule="auto" w:line="240" w:before="0" w:after="0"/>
              <w:jc w:val="center"/>
              <w:rPr/>
            </w:pPr>
            <w:r>
              <w:rPr>
                <w:rFonts w:ascii="Arial;sans-serif" w:hAnsi="Arial;sans-serif"/>
                <w:b/>
                <w:color w:val="144F82"/>
                <w:sz w:val="16"/>
              </w:rPr>
              <w:t>(in years)</w:t>
            </w:r>
            <w:r>
              <w:rPr>
                <w:rFonts w:ascii="Arial;sans-serif" w:hAnsi="Arial;sans-serif"/>
                <w:b/>
                <w:color w:val="144F82"/>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Net</w:t>
            </w:r>
          </w:p>
        </w:tc>
      </w:tr>
      <w:tr>
        <w:trPr/>
        <w:tc>
          <w:tcPr>
            <w:tcW w:w="117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 and trademarks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(4,782)</w:t>
            </w:r>
          </w:p>
        </w:tc>
        <w:tc>
          <w:tcPr>
            <w:tcW w:w="12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(3,649)</w:t>
            </w:r>
          </w:p>
        </w:tc>
        <w:tc>
          <w:tcPr>
            <w:tcW w:w="12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(2,313)</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Sallie.com domain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acquired intangible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17,700 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(15,891)</w:t>
            </w:r>
          </w:p>
        </w:tc>
        <w:tc>
          <w:tcPr>
            <w:tcW w:w="1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17,700 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(13,829)</w:t>
            </w:r>
          </w:p>
        </w:tc>
        <w:tc>
          <w:tcPr>
            <w:tcW w:w="1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180"/>
        <w:jc w:val="left"/>
        <w:rPr/>
      </w:pPr>
      <w:r>
        <w:rPr>
          <w:rFonts w:ascii="Arial;sans-serif" w:hAnsi="Arial;sans-serif"/>
          <w:b w:val="false"/>
          <w:color w:val="000000"/>
          <w:sz w:val="9"/>
        </w:rPr>
        <w:t>(1)</w:t>
      </w:r>
      <w:r>
        <w:rPr>
          <w:color w:val="000000"/>
        </w:rPr>
        <w:t> </w:t>
      </w:r>
      <w:r>
        <w:rPr>
          <w:rFonts w:ascii="Arial;sans-serif" w:hAnsi="Arial;sans-serif"/>
          <w:b w:val="false"/>
          <w:color w:val="000000"/>
          <w:sz w:val="16"/>
        </w:rPr>
        <w:t>The weighted average useful life of acquired intangible assets related to the Nitro acquisition is 4.6 years and the weighted average useful life of the acquired intangible assets related to the Scholly acquisition is 4.0 years.</w:t>
      </w:r>
    </w:p>
    <w:p>
      <w:pPr>
        <w:pStyle w:val="TextBody"/>
        <w:bidi w:val="0"/>
        <w:spacing w:lineRule="auto" w:line="288" w:before="240" w:after="18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recorded amortization of acquired intangible assets totaling approximately $1 million and $2 million in the three and nine months ended September 30, 2026 and approximately $1 million and $3 million in the three and nine months ended September 30, 2025, respectively. We will continue to amortize our intangible assets with definite useful lives over their remaining estimated useful lives. We estimate amortization expense associated with these intangible assets will be approximately $3 million, $1 million, and less than $1 million in 2026, 2027, and 2028,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7. Deposits </w:t>
      </w:r>
    </w:p>
    <w:p>
      <w:pPr>
        <w:pStyle w:val="TextBody"/>
        <w:bidi w:val="0"/>
        <w:spacing w:lineRule="auto" w:line="288" w:before="28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total deposits at September 30, 2026 and December 31, 2025.</w:t>
      </w:r>
    </w:p>
    <w:p>
      <w:pPr>
        <w:pStyle w:val="TextBody"/>
        <w:bidi w:val="0"/>
        <w:spacing w:before="100" w:after="283"/>
        <w:ind w:left="0" w:right="0" w:firstLine="495"/>
        <w:jc w:val="left"/>
        <w:rPr/>
      </w:pPr>
      <w:r>
        <w:rPr/>
      </w:r>
    </w:p>
    <w:tbl>
      <w:tblPr>
        <w:tblW w:w="6156" w:type="dxa"/>
        <w:jc w:val="center"/>
        <w:tblInd w:w="0" w:type="dxa"/>
        <w:tblLayout w:type="fixed"/>
        <w:tblCellMar>
          <w:top w:w="28" w:type="dxa"/>
          <w:left w:w="28" w:type="dxa"/>
          <w:bottom w:w="28" w:type="dxa"/>
          <w:right w:w="28" w:type="dxa"/>
        </w:tblCellMar>
      </w:tblPr>
      <w:tblGrid>
        <w:gridCol w:w="960"/>
        <w:gridCol w:w="846"/>
        <w:gridCol w:w="849"/>
        <w:gridCol w:w="109"/>
        <w:gridCol w:w="109"/>
        <w:gridCol w:w="109"/>
        <w:gridCol w:w="211"/>
        <w:gridCol w:w="1081"/>
        <w:gridCol w:w="109"/>
        <w:gridCol w:w="109"/>
        <w:gridCol w:w="109"/>
        <w:gridCol w:w="109"/>
        <w:gridCol w:w="211"/>
        <w:gridCol w:w="108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65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 interest-bearing</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20,759,720 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21,059,967 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 non-interest-bearing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20,760,905 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21,060,151 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Our total deposits of $20.8 billion were comprised of $9.3 billion in brokered deposits and $11.5 billion in retail and other deposits at September 30, 2026, compared to total deposits of $21.1 billion, which were comprised of $8.8 billion in brokered deposits and $12.3 billion in retail and other deposits, at December 31,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Interest-bearing deposits as of September 30, 2026 and December 31, 2025 consisted of retail and brokered non-maturity savings deposits, retail and brokered non-maturity money market deposits (“MMDAs”), and retail and brokered certificates of deposit (“CDs”). Interest-bearing deposits also include deposits from Educational 529 and Health Savings plans that diversify our funding sources and that we consider to be core. These and other large omnibus accounts, aggregating the deposits of many individual depositors, represented $6.5 billion and $7.6 billion of our deposit total as of September 30, 2026 and December 31, 2025, respectively. The omnibus accounts are structured in such a way that entitles the individual depositor pass-through deposit insurance (subject to Federal Deposit Insurance Corporation (“FDIC”) rules and limitations), and the majority of these deposits have contractual minimum balances and maturity terms.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Some of our deposit products are serviced by third-party providers. Placement fees associated with the brokered CDs are amortized into interest expense using the effective interest rate method. We recognized placement fee expense of $2 million in both the three months ended September 30, 2026 and 2025, and placement fee expense of $6 million in both the nine months ended September 30, 2026 and 2025. There were $9 million fees paid to third-party brokers related to brokered CDs for the three months ended September 30, 2026 and $14 million in fees paid to third-party brokers related to brokered CDs for the nine months ended September 30, 2026. There were $4 million in fees paid to third-party brokers related to brokered CDs for both the three and nine months ended September 30,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 bearing deposits at September 30, 2026 and December 31, 2025 are summarized as follows:</w:t>
      </w:r>
    </w:p>
    <w:p>
      <w:pPr>
        <w:pStyle w:val="TextBody"/>
        <w:bidi w:val="0"/>
        <w:spacing w:lineRule="auto" w:line="288" w:before="180" w:after="283"/>
        <w:jc w:val="center"/>
        <w:rPr>
          <w:color w:val="000000"/>
        </w:rPr>
      </w:pPr>
      <w:r>
        <w:rPr>
          <w:color w:val="000000"/>
        </w:rPr>
        <w:t> </w:t>
      </w:r>
    </w:p>
    <w:tbl>
      <w:tblPr>
        <w:tblW w:w="8854" w:type="dxa"/>
        <w:jc w:val="center"/>
        <w:tblInd w:w="0" w:type="dxa"/>
        <w:tblLayout w:type="fixed"/>
        <w:tblCellMar>
          <w:top w:w="28" w:type="dxa"/>
          <w:left w:w="28" w:type="dxa"/>
          <w:bottom w:w="28" w:type="dxa"/>
          <w:right w:w="28" w:type="dxa"/>
        </w:tblCellMar>
      </w:tblPr>
      <w:tblGrid>
        <w:gridCol w:w="862"/>
        <w:gridCol w:w="760"/>
        <w:gridCol w:w="762"/>
        <w:gridCol w:w="109"/>
        <w:gridCol w:w="109"/>
        <w:gridCol w:w="109"/>
        <w:gridCol w:w="211"/>
        <w:gridCol w:w="1081"/>
        <w:gridCol w:w="109"/>
        <w:gridCol w:w="109"/>
        <w:gridCol w:w="109"/>
        <w:gridCol w:w="109"/>
        <w:gridCol w:w="255"/>
        <w:gridCol w:w="256"/>
        <w:gridCol w:w="634"/>
        <w:gridCol w:w="109"/>
        <w:gridCol w:w="109"/>
        <w:gridCol w:w="109"/>
        <w:gridCol w:w="211"/>
        <w:gridCol w:w="1081"/>
        <w:gridCol w:w="109"/>
        <w:gridCol w:w="109"/>
        <w:gridCol w:w="109"/>
        <w:gridCol w:w="109"/>
        <w:gridCol w:w="255"/>
        <w:gridCol w:w="256"/>
        <w:gridCol w:w="70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Qtr.-End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 xml:space="preserve">Average </w:t>
            </w:r>
          </w:p>
          <w:p>
            <w:pPr>
              <w:pStyle w:val="TableContents"/>
              <w:bidi w:val="0"/>
              <w:spacing w:lineRule="auto" w:line="240" w:before="0" w:after="0"/>
              <w:jc w:val="center"/>
              <w:rPr/>
            </w:pPr>
            <w:r>
              <w:rPr>
                <w:rFonts w:ascii="Arial;sans-serif" w:hAnsi="Arial;sans-serif"/>
                <w:b/>
                <w:color w:val="144F82"/>
                <w:sz w:val="16"/>
              </w:rPr>
              <w:t>Stated Rate</w:t>
            </w:r>
            <w:r>
              <w:rPr>
                <w:rFonts w:ascii="Arial;sans-serif" w:hAnsi="Arial;sans-serif"/>
                <w:b/>
                <w:color w:val="144F82"/>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Year-End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Average</w:t>
            </w:r>
          </w:p>
          <w:p>
            <w:pPr>
              <w:pStyle w:val="TableContents"/>
              <w:bidi w:val="0"/>
              <w:spacing w:lineRule="auto" w:line="240" w:before="0" w:after="0"/>
              <w:jc w:val="center"/>
              <w:rPr/>
            </w:pPr>
            <w:r>
              <w:rPr>
                <w:rFonts w:ascii="Arial;sans-serif" w:hAnsi="Arial;sans-serif"/>
                <w:b/>
                <w:color w:val="144F82"/>
                <w:sz w:val="16"/>
              </w:rPr>
              <w:t>Stated Rate</w:t>
            </w:r>
            <w:r>
              <w:rPr>
                <w:rFonts w:ascii="Arial;sans-serif" w:hAnsi="Arial;sans-serif"/>
                <w:b/>
                <w:color w:val="144F82"/>
                <w:sz w:val="10"/>
              </w:rPr>
              <w:t>(1)</w:t>
            </w:r>
          </w:p>
        </w:tc>
      </w:tr>
      <w:tr>
        <w:trPr/>
        <w:tc>
          <w:tcPr>
            <w:tcW w:w="238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8,676,240 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6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10,004,845 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70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10,413,511 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6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9,877,945 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70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Deposits - interest 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20,759,720 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21,059,967 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left"/>
        <w:rPr/>
      </w:pPr>
      <w:r>
        <w:rPr>
          <w:color w:val="000000"/>
        </w:rPr>
        <w:t>    </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effect of interest rate swaps in effective hedge relationships.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34</w:t>
                      </w:r>
                    </w:p>
                  </w:txbxContent>
                </v:textbox>
                <w10:wrap type="none"/>
              </v:rect>
            </w:pict>
          </mc:Fallback>
        </mc:AlternateContent>
      </w:r>
    </w:p>
    <w:p>
      <w:pPr>
        <w:pStyle w:val="TextBody"/>
        <w:bidi w:val="0"/>
        <w:spacing w:before="0" w:after="0"/>
        <w:jc w:val="left"/>
        <w:rPr/>
      </w:pPr>
      <w:r>
        <w:rPr/>
      </w:r>
    </w:p>
    <w:tbl>
      <w:tblPr>
        <w:tblW w:w="2768" w:type="dxa"/>
        <w:jc w:val="center"/>
        <w:tblInd w:w="0" w:type="dxa"/>
        <w:tblLayout w:type="fixed"/>
        <w:tblCellMar>
          <w:top w:w="28" w:type="dxa"/>
          <w:left w:w="28" w:type="dxa"/>
          <w:bottom w:w="28" w:type="dxa"/>
          <w:right w:w="28" w:type="dxa"/>
        </w:tblCellMar>
      </w:tblPr>
      <w:tblGrid>
        <w:gridCol w:w="124"/>
        <w:gridCol w:w="109"/>
        <w:gridCol w:w="109"/>
        <w:gridCol w:w="684"/>
        <w:gridCol w:w="684"/>
        <w:gridCol w:w="6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7.</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Deposits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Certificates of deposit remaining maturities are summarized as follows:</w:t>
      </w:r>
    </w:p>
    <w:tbl>
      <w:tblPr>
        <w:tblW w:w="5918" w:type="dxa"/>
        <w:jc w:val="center"/>
        <w:tblInd w:w="0" w:type="dxa"/>
        <w:tblLayout w:type="fixed"/>
        <w:tblCellMar>
          <w:top w:w="28" w:type="dxa"/>
          <w:left w:w="28" w:type="dxa"/>
          <w:bottom w:w="28" w:type="dxa"/>
          <w:right w:w="28" w:type="dxa"/>
        </w:tblCellMar>
      </w:tblPr>
      <w:tblGrid>
        <w:gridCol w:w="727"/>
        <w:gridCol w:w="640"/>
        <w:gridCol w:w="642"/>
        <w:gridCol w:w="109"/>
        <w:gridCol w:w="109"/>
        <w:gridCol w:w="109"/>
        <w:gridCol w:w="246"/>
        <w:gridCol w:w="1262"/>
        <w:gridCol w:w="127"/>
        <w:gridCol w:w="109"/>
        <w:gridCol w:w="109"/>
        <w:gridCol w:w="109"/>
        <w:gridCol w:w="255"/>
        <w:gridCol w:w="1179"/>
        <w:gridCol w:w="186"/>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78A1"/>
                <w:sz w:val="16"/>
              </w:rPr>
            </w:pPr>
            <w:r>
              <w:rPr>
                <w:rFonts w:ascii="Arial;sans-serif" w:hAnsi="Arial;sans-serif"/>
                <w:b/>
                <w:color w:val="5078A1"/>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78A1"/>
                <w:sz w:val="16"/>
              </w:rPr>
            </w:pPr>
            <w:r>
              <w:rPr>
                <w:rFonts w:ascii="Arial;sans-serif" w:hAnsi="Arial;sans-serif"/>
                <w:b/>
                <w:color w:val="5078A1"/>
                <w:sz w:val="16"/>
              </w:rPr>
              <w:t>December 31, 2025</w:t>
            </w:r>
          </w:p>
        </w:tc>
      </w:tr>
      <w:tr>
        <w:trPr/>
        <w:tc>
          <w:tcPr>
            <w:tcW w:w="200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 year or less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4,394,579 </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5,709,977 </w:t>
            </w:r>
          </w:p>
        </w:tc>
        <w:tc>
          <w:tcPr>
            <w:tcW w:w="18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1,795,144 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1,841,311 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two to three years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1,556,931 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710,978 </w:t>
            </w:r>
          </w:p>
        </w:tc>
        <w:tc>
          <w:tcPr>
            <w:tcW w:w="1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three to four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717,300 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723,186 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four to five years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1,690,590 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892,492 </w:t>
            </w:r>
          </w:p>
        </w:tc>
        <w:tc>
          <w:tcPr>
            <w:tcW w:w="1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258,967 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10,413,511 </w:t>
            </w:r>
          </w:p>
        </w:tc>
        <w:tc>
          <w:tcPr>
            <w:tcW w:w="12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9,877,945 </w:t>
            </w:r>
          </w:p>
        </w:tc>
        <w:tc>
          <w:tcPr>
            <w:tcW w:w="18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of September 30, 2026 and December 31, 2025, certificates of deposits included $1.3 billion and $1.2 billion, respectively, of those in denominations that met or exceeded FDIC insurance limits. Accrued interest on deposits was $56 million and $71 million at September 30, 2026 and December 31, 2025, respectively.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8. Borrowings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Outstanding borrowings consist of unsecured debt and secured borrowings issued through our term asset-backed securities (“ABS”) program, our Private Education Loan multi-lender secured borrowing facility (the “Secured Borrowing Facility”), and our Private Education Loan multi-lender secured warehouse facility (the “Secured Warehouse Facility”). For additional information regarding our borrowings, see Note 11, “Borrowings” in our 2025 Form 10-K. The following table summarizes our borrowings at September 30, 2026 and December 31, 2025. </w:t>
      </w:r>
    </w:p>
    <w:p>
      <w:pPr>
        <w:pStyle w:val="TextBody"/>
        <w:bidi w:val="0"/>
        <w:spacing w:before="100" w:after="283"/>
        <w:ind w:left="0" w:right="0" w:firstLine="495"/>
        <w:jc w:val="left"/>
        <w:rPr/>
      </w:pPr>
      <w:r>
        <w:rPr/>
      </w:r>
    </w:p>
    <w:tbl>
      <w:tblPr>
        <w:tblW w:w="10774" w:type="dxa"/>
        <w:jc w:val="center"/>
        <w:tblInd w:w="0" w:type="dxa"/>
        <w:tblLayout w:type="fixed"/>
        <w:tblCellMar>
          <w:top w:w="28" w:type="dxa"/>
          <w:left w:w="28" w:type="dxa"/>
          <w:bottom w:w="28" w:type="dxa"/>
          <w:right w:w="28" w:type="dxa"/>
        </w:tblCellMar>
      </w:tblPr>
      <w:tblGrid>
        <w:gridCol w:w="668"/>
        <w:gridCol w:w="311"/>
        <w:gridCol w:w="312"/>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129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Unsecured borrowings: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debt (fixed-rate)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unsecured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988,466 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988,466 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991,830 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Secured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 term securitizations: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599,866 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599,866 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694,566 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 term securitizations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 Facility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Warehouse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secured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4,547,457 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5,446,186 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5,535,923 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6,434,652 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5,860,909 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120" w:after="60"/>
        <w:jc w:val="left"/>
        <w:rPr>
          <w:rFonts w:ascii="Arial;sans-serif" w:hAnsi="Arial;sans-serif"/>
          <w:b/>
          <w:i/>
          <w:color w:val="000000"/>
          <w:sz w:val="20"/>
        </w:rPr>
      </w:pPr>
      <w:r>
        <w:rPr>
          <w:rFonts w:ascii="Arial;sans-serif" w:hAnsi="Arial;sans-serif"/>
          <w:b/>
          <w:i/>
          <w:color w:val="000000"/>
          <w:sz w:val="20"/>
        </w:rPr>
        <w:t>Long-term Borrowings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Unsecured Borrowings Transactions</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January 31, 2025, we issued $500 million of 6.50 percent unsecured Senior Notes due January 31, 2030 (the “2030 Senior Notes”), at a price of 99.78 percent. At September 30, 2026, the outstanding carrying value, net of deferred financing fees, was $494 million.</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February 18, 2025, we redeemed $500 million of the 4.20 percent unsecured Senior Notes due October 29, 2025 (the “2025 Senior Notes”). The 2025 Senior Notes were redeemed at 100 percent of their principal amount, plus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605" cy="14605"/>
                <wp:effectExtent l="0" t="0" r="0" b="0"/>
                <wp:wrapNone/>
                <wp:docPr id="36" name="Frame3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712" w:type="dxa"/>
        <w:jc w:val="center"/>
        <w:tblInd w:w="0" w:type="dxa"/>
        <w:tblLayout w:type="fixed"/>
        <w:tblCellMar>
          <w:top w:w="28" w:type="dxa"/>
          <w:left w:w="28" w:type="dxa"/>
          <w:bottom w:w="28" w:type="dxa"/>
          <w:right w:w="28" w:type="dxa"/>
        </w:tblCellMar>
      </w:tblPr>
      <w:tblGrid>
        <w:gridCol w:w="124"/>
        <w:gridCol w:w="109"/>
        <w:gridCol w:w="109"/>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Borrowings (Continued)</w:t>
            </w:r>
          </w:p>
        </w:tc>
      </w:tr>
    </w:tbl>
    <w:p>
      <w:pPr>
        <w:pStyle w:val="TextBody"/>
        <w:bidi w:val="0"/>
        <w:spacing w:lineRule="auto" w:line="288" w:before="100" w:after="120"/>
        <w:jc w:val="left"/>
        <w:rPr>
          <w:rFonts w:ascii="Arial;sans-serif" w:hAnsi="Arial;sans-serif"/>
          <w:b w:val="false"/>
          <w:color w:val="000000"/>
          <w:sz w:val="20"/>
        </w:rPr>
      </w:pPr>
      <w:r>
        <w:rPr>
          <w:rFonts w:ascii="Arial;sans-serif" w:hAnsi="Arial;sans-serif"/>
          <w:b w:val="false"/>
          <w:color w:val="000000"/>
          <w:sz w:val="20"/>
        </w:rPr>
        <w:t>accrued and unpaid interest thereon through the redemption date. As a result of the redemption, we recognized a $1 million loss on the transaction.</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May 15, 2026, we issued $500 million of 6.495 percent unsecured Senior Notes due May 15, 2032 (the “2032 Senior Notes”), at a price of 100 percent. At September 30, 2026, the outstanding carrying value, net of deferred financing fees, was $494 million.</w:t>
      </w:r>
    </w:p>
    <w:p>
      <w:pPr>
        <w:pStyle w:val="TextBody"/>
        <w:bidi w:val="0"/>
        <w:spacing w:lineRule="auto" w:line="288" w:before="120" w:after="283"/>
        <w:ind w:left="0" w:right="0" w:firstLine="495"/>
        <w:jc w:val="left"/>
        <w:rPr>
          <w:rFonts w:ascii="Arial;sans-serif" w:hAnsi="Arial;sans-serif"/>
          <w:b w:val="false"/>
          <w:i/>
          <w:color w:val="000000"/>
          <w:sz w:val="20"/>
        </w:rPr>
      </w:pPr>
      <w:r>
        <w:rPr>
          <w:rFonts w:ascii="Arial;sans-serif" w:hAnsi="Arial;sans-serif"/>
          <w:b w:val="false"/>
          <w:i/>
          <w:color w:val="000000"/>
          <w:sz w:val="20"/>
        </w:rPr>
        <w:t xml:space="preserve">Tender Offer </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May 12, 2026, we completed a cash tender offer for any and all of the $500 million of 3.125 percent unsecured Senior Notes due November 2, 2026 (the “2026 Senior Notes”), which was made concurrently with the offerings of the 2032 Senior Notes (the “Tender Offer”). We paid an aggregate consideration of $447 million in the Tender Offer to repurchase $448 million principal amount of the 2026 Senior Notes at a repurchase price equal to 99.58 percent of the principal amount plus accrued and unpaid interest. The repurchase of the 2026 Senior Notes accepted for purchase in the Tender Offer was accounted as a debt extinguishment.</w:t>
      </w:r>
    </w:p>
    <w:p>
      <w:pPr>
        <w:pStyle w:val="TextBody"/>
        <w:bidi w:val="0"/>
        <w:spacing w:lineRule="auto" w:line="288" w:before="120" w:after="120"/>
        <w:ind w:left="0" w:right="0" w:firstLine="495"/>
        <w:jc w:val="left"/>
        <w:rPr>
          <w:rFonts w:ascii="Arial;sans-serif" w:hAnsi="Arial;sans-serif"/>
          <w:b w:val="false"/>
          <w:i/>
          <w:color w:val="000000"/>
          <w:sz w:val="20"/>
        </w:rPr>
      </w:pPr>
      <w:r>
        <w:rPr>
          <w:rFonts w:ascii="Arial;sans-serif" w:hAnsi="Arial;sans-serif"/>
          <w:b w:val="false"/>
          <w:i/>
          <w:color w:val="000000"/>
          <w:sz w:val="20"/>
        </w:rPr>
        <w:t>Satisfaction and Discharge of 2026 Senior Notes</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May 15, 2026, we irrevocably deposited funds with the 2026 Senior Notes’ trustee that were used to purchase a sufficient amount of U.S. government obligations to satisfy and discharge the indenture governing the 2026 Senior Notes, fund the payment of accrued and unpaid interest on the remaining $52 million principal amount of the 2026 Senior Notes as it becomes due, and fund the principal amount of those 2026 Senior Notes on their November 2, 2026 maturity date. The U.S. government obligations were purchased using a portion of the net proceeds from the offering of the 2032 Senior Notes. After the deposit of such funds with the trustee, our obligations under the 2026 Senior Notes indenture were satisfied and discharged and the transaction was accounted for as a debt extinguishment. </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a result of the debt extinguishment of the 2026 Senior Notes, we recognized a gain of less than $1 million on the transactions described above. </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Secured Borrowings Transactions</w:t>
      </w:r>
    </w:p>
    <w:p>
      <w:pPr>
        <w:pStyle w:val="TextBody"/>
        <w:bidi w:val="0"/>
        <w:spacing w:lineRule="auto" w:line="276"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term ABS fundings issued in the year ended December 31, 2025 and in the nine months ended September 30, 2026, in which we retained 100 percent of the residual class certificates and which are collateralized by pools of Private Education Loans. The transfer of these loans did not qualify for sale treatment and thus remain encumbered on our consolidated balance sheet.</w:t>
      </w:r>
    </w:p>
    <w:tbl>
      <w:tblPr>
        <w:tblW w:w="10205" w:type="dxa"/>
        <w:jc w:val="center"/>
        <w:tblInd w:w="0" w:type="dxa"/>
        <w:tblLayout w:type="fixed"/>
        <w:tblCellMar>
          <w:top w:w="28" w:type="dxa"/>
          <w:left w:w="28" w:type="dxa"/>
          <w:bottom w:w="28" w:type="dxa"/>
          <w:right w:w="28" w:type="dxa"/>
        </w:tblCellMar>
      </w:tblPr>
      <w:tblGrid>
        <w:gridCol w:w="620"/>
        <w:gridCol w:w="434"/>
        <w:gridCol w:w="437"/>
        <w:gridCol w:w="121"/>
        <w:gridCol w:w="121"/>
        <w:gridCol w:w="121"/>
        <w:gridCol w:w="285"/>
        <w:gridCol w:w="285"/>
        <w:gridCol w:w="287"/>
        <w:gridCol w:w="109"/>
        <w:gridCol w:w="109"/>
        <w:gridCol w:w="109"/>
        <w:gridCol w:w="213"/>
        <w:gridCol w:w="835"/>
        <w:gridCol w:w="110"/>
        <w:gridCol w:w="109"/>
        <w:gridCol w:w="109"/>
        <w:gridCol w:w="109"/>
        <w:gridCol w:w="211"/>
        <w:gridCol w:w="826"/>
        <w:gridCol w:w="109"/>
        <w:gridCol w:w="109"/>
        <w:gridCol w:w="109"/>
        <w:gridCol w:w="109"/>
        <w:gridCol w:w="217"/>
        <w:gridCol w:w="851"/>
        <w:gridCol w:w="112"/>
        <w:gridCol w:w="109"/>
        <w:gridCol w:w="109"/>
        <w:gridCol w:w="109"/>
        <w:gridCol w:w="393"/>
        <w:gridCol w:w="393"/>
        <w:gridCol w:w="394"/>
        <w:gridCol w:w="109"/>
        <w:gridCol w:w="109"/>
        <w:gridCol w:w="109"/>
        <w:gridCol w:w="347"/>
        <w:gridCol w:w="347"/>
        <w:gridCol w:w="501"/>
      </w:tblGrid>
      <w:tr>
        <w:trPr/>
        <w:tc>
          <w:tcPr>
            <w:tcW w:w="62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SMB Private Education</w:t>
              <w:br/>
              <w:t>Loan Trust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Date Closed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Loans</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Transferred to</w:t>
            </w:r>
          </w:p>
          <w:p>
            <w:pPr>
              <w:pStyle w:val="TableContents"/>
              <w:bidi w:val="0"/>
              <w:spacing w:lineRule="auto" w:line="240" w:before="0" w:after="0"/>
              <w:jc w:val="center"/>
              <w:rPr/>
            </w:pPr>
            <w:r>
              <w:rPr>
                <w:rFonts w:ascii="Arial;sans-serif" w:hAnsi="Arial;sans-serif"/>
                <w:b/>
                <w:color w:val="144F82"/>
                <w:sz w:val="16"/>
              </w:rPr>
              <w:t>the Trust</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Notes</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Gross Proceeds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Weighted Average Cost of Funds</w:t>
            </w:r>
            <w:r>
              <w:rPr>
                <w:rFonts w:ascii="Arial;sans-serif" w:hAnsi="Arial;sans-serif"/>
                <w:b/>
                <w:color w:val="144F82"/>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Weighted Average Life of Notes</w:t>
              <w:br/>
              <w:t> (in years)</w:t>
            </w:r>
          </w:p>
        </w:tc>
      </w:tr>
      <w:tr>
        <w:trPr/>
        <w:tc>
          <w:tcPr>
            <w:tcW w:w="1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2025-A ABS Transaction</w:t>
            </w:r>
          </w:p>
        </w:tc>
        <w:tc>
          <w:tcPr>
            <w:tcW w:w="3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7, 2025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576,908 </w:t>
            </w:r>
          </w:p>
        </w:tc>
        <w:tc>
          <w:tcPr>
            <w:tcW w:w="1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539,000 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538,889 </w:t>
            </w:r>
          </w:p>
        </w:tc>
        <w:tc>
          <w:tcPr>
            <w:tcW w:w="11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SOFR plus 1.49%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5.46</w:t>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2025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576,908 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538,889 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Loans encumbered at September 30, 2026, related to 2025 term ABS: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495,007 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2026-A ABS Transaction</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649,813 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617,781 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SOFR plus 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5.64</w:t>
            </w:r>
          </w:p>
        </w:tc>
      </w:tr>
      <w:tr>
        <w:trPr/>
        <w:tc>
          <w:tcPr>
            <w:tcW w:w="14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2026</w:t>
            </w:r>
          </w:p>
        </w:tc>
        <w:tc>
          <w:tcPr>
            <w:tcW w:w="3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649,813 </w:t>
            </w:r>
          </w:p>
        </w:tc>
        <w:tc>
          <w:tcPr>
            <w:tcW w:w="11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618,000 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617,781 </w:t>
            </w:r>
          </w:p>
        </w:tc>
        <w:tc>
          <w:tcPr>
            <w:tcW w:w="11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9"/>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Loans encumbered at September 30, 2026, related to 2026 term ABS: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617,085 </w:t>
            </w:r>
          </w:p>
        </w:tc>
        <w:tc>
          <w:tcPr>
            <w:tcW w:w="11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ind w:left="0" w:right="0" w:firstLine="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Represents principal and capitalized interest. </w:t>
      </w:r>
    </w:p>
    <w:p>
      <w:pPr>
        <w:pStyle w:val="TextBody"/>
        <w:bidi w:val="0"/>
        <w:spacing w:lineRule="auto" w:line="288" w:before="0" w:after="60"/>
        <w:ind w:left="0" w:right="0" w:firstLine="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Represents SOFR equivalent cost of funds for variable and fixed-rate bonds, excluding issuance costs.</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712" w:type="dxa"/>
        <w:jc w:val="center"/>
        <w:tblInd w:w="0" w:type="dxa"/>
        <w:tblLayout w:type="fixed"/>
        <w:tblCellMar>
          <w:top w:w="28" w:type="dxa"/>
          <w:left w:w="28" w:type="dxa"/>
          <w:bottom w:w="28" w:type="dxa"/>
          <w:right w:w="28" w:type="dxa"/>
        </w:tblCellMar>
      </w:tblPr>
      <w:tblGrid>
        <w:gridCol w:w="124"/>
        <w:gridCol w:w="109"/>
        <w:gridCol w:w="109"/>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Borrowings (Continued)</w:t>
            </w:r>
          </w:p>
        </w:tc>
      </w:tr>
    </w:tbl>
    <w:p>
      <w:pPr>
        <w:pStyle w:val="TextBody"/>
        <w:bidi w:val="0"/>
        <w:spacing w:before="180" w:after="283"/>
        <w:jc w:val="left"/>
        <w:rPr/>
      </w:pPr>
      <w:r>
        <w:rPr/>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Secured Borrowing Facility</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On July 27, 2026, we amended our Secured Borrowing Facility to decrease the amount to be borrowed under the facility from $2.5 billion to $2 billion and extended the maturity. We hold 100 percent of the residual interest in the Secured Borrowing Facility Trust. The amendment extended the revolving period, during which we may borrow, repay, and reborrow funds, until July 26, 2027. The scheduled amortization period, during which amounts outstanding under the Secured Borrowing Facility must be repaid, ends on July 26, 2028 (or earlier, if certain material adverse events occur). The one-year revolving period plus the one-year amortization period results in a contractual maturity that is two years from the date of inception or renewal. At both September 30, 2026 and December 31, 2025, there were no outstanding borrowings under the Secured Borrowing Facility.</w:t>
      </w:r>
    </w:p>
    <w:p>
      <w:pPr>
        <w:pStyle w:val="TextBody"/>
        <w:bidi w:val="0"/>
        <w:spacing w:lineRule="auto" w:line="288" w:before="180" w:after="60"/>
        <w:jc w:val="left"/>
        <w:rPr>
          <w:rFonts w:ascii="Arial;sans-serif" w:hAnsi="Arial;sans-serif"/>
          <w:b w:val="false"/>
          <w:i/>
          <w:color w:val="000000"/>
          <w:sz w:val="20"/>
        </w:rPr>
      </w:pPr>
      <w:r>
        <w:rPr>
          <w:rFonts w:ascii="Arial;sans-serif" w:hAnsi="Arial;sans-serif"/>
          <w:b w:val="false"/>
          <w:i/>
          <w:color w:val="000000"/>
          <w:sz w:val="20"/>
        </w:rPr>
        <w:t>Secured Warehouse Facility</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August 31, 2026, we entered into the Secured Warehouse Facility with a consortium of financial institutions, including the Bank. The Secured Warehouse Facility is intended to provide financing for the acquisition and holding of eligible Private Education Loans prior to their disposition through sale or other financing transactions, including sale to strategic partners.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Under the Secured Warehouse Facility, we may borrow up to an aggregate principal amount of $1.5 billion for the period between August 31, 2026 and February 28, 2027 and $500 million between March 1, 2027 and August 31, 2027, subject to borrowing base requirements, eligibility criteria, concentration limits, and other customary conditions. Borrowings under the Secured Warehouse Facility are secured by substantially all of the assets held by the warehouse vehicle, including the financed Private Education Loan portfolio and related collections.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Secured Warehouse Facility matures with respect to the third-party financial institutions on August 30, 2027. Until such date, we may make borrowings and repayments under the facility, subject to the terms of the Secured Warehouse Facility agreement. All outstanding borrowings become due and payable on the applicable maturity date, unless repaid earlier in accordance with the terms of the Secured Warehouse Facility.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Borrowings under the Secured Warehouse Facility bear interest at rates based on either a commercial paper rate or daily compounded SOFR plus a spread of 1.10 percent. The benchmark rate applicable to a particular borrowing is determined by the funding source of the lender providing such advance, as specified in the Secured Warehouse Facility agreement. As of September 30, 2026, outstanding borrowings under the Secured Warehouse Facility accrued interest at a weighted-average rate of 4.75 percent. We are also subject to certain unused commitment fees and other customary fees.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September 30, 2026, we had $900 million of borrowings outstanding and $600 million of additional borrowing capacity available under the Secured Warehouse Facility. The pledged loans continue to be recognized on our consolidated balance sheet because the transaction did not qualify for sale treatment.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Secured Warehouse Facility contains customary representations and warranties, affirmative and negative covenants, eligibility requirements, and events of default. Upon the occurrence of certain events of default, the lenders may accelerate repayment obligations and exercise remedies against the pledged collateral.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712" w:type="dxa"/>
        <w:jc w:val="center"/>
        <w:tblInd w:w="0" w:type="dxa"/>
        <w:tblLayout w:type="fixed"/>
        <w:tblCellMar>
          <w:top w:w="28" w:type="dxa"/>
          <w:left w:w="28" w:type="dxa"/>
          <w:bottom w:w="28" w:type="dxa"/>
          <w:right w:w="28" w:type="dxa"/>
        </w:tblCellMar>
      </w:tblPr>
      <w:tblGrid>
        <w:gridCol w:w="124"/>
        <w:gridCol w:w="109"/>
        <w:gridCol w:w="109"/>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Borrowings (Continued)</w:t>
            </w:r>
          </w:p>
        </w:tc>
      </w:tr>
    </w:tbl>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Funding Vehicles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consolidate our financing entities that are VIEs as a result of our being the entities’ primary beneficiary. As a result, these financing VIEs are accounted for as secured borrowings. </w:t>
      </w:r>
    </w:p>
    <w:tbl>
      <w:tblPr>
        <w:tblW w:w="12247" w:type="dxa"/>
        <w:jc w:val="left"/>
        <w:tblInd w:w="0" w:type="dxa"/>
        <w:tblLayout w:type="fixed"/>
        <w:tblCellMar>
          <w:top w:w="28" w:type="dxa"/>
          <w:left w:w="28" w:type="dxa"/>
          <w:bottom w:w="28" w:type="dxa"/>
          <w:right w:w="28" w:type="dxa"/>
        </w:tblCellMar>
      </w:tblPr>
      <w:tblGrid>
        <w:gridCol w:w="496"/>
        <w:gridCol w:w="397"/>
        <w:gridCol w:w="398"/>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4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September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Carrying Amount of Net Assets Securing Debt Outstanding</w:t>
            </w:r>
          </w:p>
        </w:tc>
      </w:tr>
      <w:tr>
        <w:trPr/>
        <w:tc>
          <w:tcPr>
            <w:tcW w:w="12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Restricted 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Other Assets,</w:t>
            </w:r>
          </w:p>
          <w:p>
            <w:pPr>
              <w:pStyle w:val="TableContents"/>
              <w:bidi w:val="0"/>
              <w:spacing w:lineRule="auto" w:line="240" w:before="0" w:after="0"/>
              <w:jc w:val="center"/>
              <w:rPr/>
            </w:pPr>
            <w:r>
              <w:rPr>
                <w:rFonts w:ascii="Arial;sans-serif" w:hAnsi="Arial;sans-serif"/>
                <w:b/>
                <w:color w:val="144F82"/>
                <w:sz w:val="16"/>
              </w:rPr>
              <w:t>Net</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w:t>
              <w:br/>
              <w:t>term securitizations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4,547,457 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4,547,457 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5,908,168 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166,348 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394,125 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6,468,641 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w:t>
              <w:br/>
              <w:t>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Warehouse Facility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972,103 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23,909 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1,044,998 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4,547,457 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5,446,186 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6,880,271 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7,515,386 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2107" w:type="dxa"/>
        <w:jc w:val="left"/>
        <w:tblInd w:w="0" w:type="dxa"/>
        <w:tblLayout w:type="fixed"/>
        <w:tblCellMar>
          <w:top w:w="28" w:type="dxa"/>
          <w:left w:w="28" w:type="dxa"/>
          <w:bottom w:w="28" w:type="dxa"/>
          <w:right w:w="28" w:type="dxa"/>
        </w:tblCellMar>
      </w:tblPr>
      <w:tblGrid>
        <w:gridCol w:w="535"/>
        <w:gridCol w:w="377"/>
        <w:gridCol w:w="379"/>
        <w:gridCol w:w="109"/>
        <w:gridCol w:w="109"/>
        <w:gridCol w:w="109"/>
        <w:gridCol w:w="292"/>
        <w:gridCol w:w="562"/>
        <w:gridCol w:w="152"/>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December 31, 2025</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Carrying Amount of Net Assets Securing Debt Outstanding</w:t>
            </w:r>
          </w:p>
        </w:tc>
      </w:tr>
      <w:tr>
        <w:trPr/>
        <w:tc>
          <w:tcPr>
            <w:tcW w:w="12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Restricted 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Other Assets,</w:t>
            </w:r>
          </w:p>
          <w:p>
            <w:pPr>
              <w:pStyle w:val="TableContents"/>
              <w:bidi w:val="0"/>
              <w:spacing w:lineRule="auto" w:line="240" w:before="0" w:after="0"/>
              <w:jc w:val="center"/>
              <w:rPr/>
            </w:pPr>
            <w:r>
              <w:rPr>
                <w:rFonts w:ascii="Arial;sans-serif" w:hAnsi="Arial;sans-serif"/>
                <w:b/>
                <w:color w:val="144F82"/>
                <w:sz w:val="16"/>
              </w:rPr>
              <w:t>Net</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w:t>
              <w:br/>
              <w:t>term securitizations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6,249,064 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377,673 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6,803,997 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w:t>
              <w:br/>
              <w:t>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6,249,064 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177,260 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378,997 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6,805,321 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Other assets, net primarily represents accrued interest receivable and payable. </w:t>
      </w:r>
    </w:p>
    <w:p>
      <w:pPr>
        <w:pStyle w:val="TextBody"/>
        <w:bidi w:val="0"/>
        <w:spacing w:before="0" w:after="0"/>
        <w:ind w:left="0" w:right="0" w:hanging="180"/>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Unconsolidated Funding Vehicles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Private Education Loan Securitizations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Unconsolidated VIEs include variable interests that we hold in certain securitization trusts created by the sale of our Private Education Loans to unaffiliated third parties. We remained the servicer of these loans pursuant to applicable servicing agreements executed in connection with the sales, and we are also the administrator of these trusts. Additionally, we own five percent of the securities issued by the trusts, as a vertical interest, to meet risk retention requirements. We were not required to consolidate these entities because the fees we receive as the servicer/administrator are commensurate with our responsibility, so the fees are not considered a variable interest. Additionally, the five percent vertical interest we maintain does not absorb more than an insignificant amount of the VIE’s expected losses, nor do we receive more than an insignificant amount of the VIE’s expected residual returns. We classified those vertical risk retention interests related to securitization transactions as available-for-sale investments, except for the interest in the residual class, which we classified as trading investments recorded at fair value with changes recorded through earnings. The following summarizes our Private Education Loan ABS transactions closed in the nine months ended September 30, 2026 where the respective VIEs were not consolidated. </w:t>
      </w:r>
    </w:p>
    <w:tbl>
      <w:tblPr>
        <w:tblW w:w="10205" w:type="dxa"/>
        <w:jc w:val="center"/>
        <w:tblInd w:w="0" w:type="dxa"/>
        <w:tblLayout w:type="fixed"/>
        <w:tblCellMar>
          <w:top w:w="28" w:type="dxa"/>
          <w:left w:w="28" w:type="dxa"/>
          <w:bottom w:w="28" w:type="dxa"/>
          <w:right w:w="28" w:type="dxa"/>
        </w:tblCellMar>
      </w:tblPr>
      <w:tblGrid>
        <w:gridCol w:w="611"/>
        <w:gridCol w:w="448"/>
        <w:gridCol w:w="451"/>
        <w:gridCol w:w="268"/>
        <w:gridCol w:w="268"/>
        <w:gridCol w:w="270"/>
        <w:gridCol w:w="329"/>
        <w:gridCol w:w="1523"/>
        <w:gridCol w:w="170"/>
        <w:gridCol w:w="694"/>
        <w:gridCol w:w="694"/>
        <w:gridCol w:w="696"/>
        <w:gridCol w:w="375"/>
        <w:gridCol w:w="1284"/>
        <w:gridCol w:w="194"/>
        <w:gridCol w:w="413"/>
        <w:gridCol w:w="1208"/>
        <w:gridCol w:w="309"/>
      </w:tblGrid>
      <w:tr>
        <w:trPr/>
        <w:tc>
          <w:tcPr>
            <w:tcW w:w="6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SMB Private Education Loan Trust</w:t>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Date Closed</w:t>
            </w:r>
          </w:p>
        </w:tc>
        <w:tc>
          <w:tcPr>
            <w:tcW w:w="2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Loans Transferred to the Trust by Third-Party Seller</w:t>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Date Third-Party Seller Previously Purchased Loans from the Bank</w:t>
            </w:r>
          </w:p>
        </w:tc>
        <w:tc>
          <w:tcPr>
            <w:tcW w:w="1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34F82"/>
                <w:sz w:val="16"/>
              </w:rPr>
              <w:t>Additional Loans the Bank Transferred to the Trust</w:t>
            </w:r>
            <w:r>
              <w:rPr>
                <w:rFonts w:ascii="Arial;sans-serif" w:hAnsi="Arial;sans-serif"/>
                <w:b/>
                <w:color w:val="134F82"/>
                <w:sz w:val="10"/>
              </w:rPr>
              <w:t>(1)</w:t>
            </w:r>
          </w:p>
        </w:tc>
        <w:tc>
          <w:tcPr>
            <w:tcW w:w="1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Gain on Sale for Additional Loans Transferred by Bank</w:t>
            </w:r>
          </w:p>
        </w:tc>
      </w:tr>
      <w:tr>
        <w:trPr/>
        <w:tc>
          <w:tcPr>
            <w:tcW w:w="15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4"/>
              </w:rPr>
            </w:pPr>
            <w:r>
              <w:rPr>
                <w:rFonts w:ascii="Arial;sans-serif" w:hAnsi="Arial;sans-serif"/>
                <w:b/>
                <w:color w:val="134F82"/>
                <w:sz w:val="14"/>
              </w:rPr>
              <w:t>(Dollars in thousands)</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2026-B ABS transaction</w:t>
            </w:r>
            <w:r>
              <w:rPr>
                <w:rFonts w:ascii="Arial;sans-serif" w:hAnsi="Arial;sans-serif"/>
                <w:b w:val="false"/>
                <w:color w:val="000000"/>
                <w:sz w:val="12"/>
              </w:rPr>
              <w:t>(2)</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2, 2026</w:t>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1,364,421 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6, 2025</w:t>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72,413 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6,031 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2026-C ABS transaction</w:t>
            </w:r>
            <w:r>
              <w:rPr>
                <w:rFonts w:ascii="Arial;sans-serif" w:hAnsi="Arial;sans-serif"/>
                <w:b w:val="false"/>
                <w:color w:val="000000"/>
                <w:sz w:val="12"/>
              </w:rPr>
              <w:t>(2)</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15, 2026</w:t>
            </w:r>
          </w:p>
        </w:tc>
        <w:tc>
          <w:tcPr>
            <w:tcW w:w="1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2,037,435 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25, 2026</w:t>
            </w:r>
          </w:p>
        </w:tc>
        <w:tc>
          <w:tcPr>
            <w:tcW w:w="16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108,313 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Arial;sans-serif" w:hAnsi="Arial;sans-serif"/>
          <w:b w:val="false"/>
          <w:color w:val="000000"/>
          <w:sz w:val="10"/>
        </w:rPr>
        <w:t>(1)</w:t>
      </w:r>
      <w:r>
        <w:rPr>
          <w:rFonts w:ascii="Arial;sans-serif" w:hAnsi="Arial;sans-serif"/>
          <w:b w:val="false"/>
          <w:color w:val="000000"/>
          <w:sz w:val="16"/>
        </w:rPr>
        <w:t>The transfer of such additional loans qualified for sale treatment and removed these loans from our balance sheet on the settlement date of the transaction.</w:t>
      </w:r>
    </w:p>
    <w:p>
      <w:pPr>
        <w:pStyle w:val="TextBody"/>
        <w:bidi w:val="0"/>
        <w:spacing w:lineRule="auto" w:line="288" w:before="18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Sallie Mae Bank sponsored the transaction and is the servicer and administrator.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712" w:type="dxa"/>
        <w:jc w:val="center"/>
        <w:tblInd w:w="0" w:type="dxa"/>
        <w:tblLayout w:type="fixed"/>
        <w:tblCellMar>
          <w:top w:w="28" w:type="dxa"/>
          <w:left w:w="28" w:type="dxa"/>
          <w:bottom w:w="28" w:type="dxa"/>
          <w:right w:w="28" w:type="dxa"/>
        </w:tblCellMar>
      </w:tblPr>
      <w:tblGrid>
        <w:gridCol w:w="124"/>
        <w:gridCol w:w="109"/>
        <w:gridCol w:w="109"/>
        <w:gridCol w:w="693"/>
        <w:gridCol w:w="693"/>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8.</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Borrowings (Continued)</w:t>
            </w:r>
          </w:p>
        </w:tc>
      </w:tr>
    </w:tbl>
    <w:p>
      <w:pPr>
        <w:pStyle w:val="TextBody"/>
        <w:bidi w:val="0"/>
        <w:spacing w:before="100" w:after="283"/>
        <w:ind w:left="0" w:right="0" w:firstLine="495"/>
        <w:jc w:val="left"/>
        <w:rPr/>
      </w:pPr>
      <w:r>
        <w:rPr/>
      </w:r>
    </w:p>
    <w:p>
      <w:pPr>
        <w:pStyle w:val="TextBody"/>
        <w:bidi w:val="0"/>
        <w:spacing w:lineRule="auto" w:line="276" w:before="160" w:after="180"/>
        <w:ind w:left="0" w:right="0" w:firstLine="495"/>
        <w:jc w:val="left"/>
        <w:rPr>
          <w:rFonts w:ascii="Arial;sans-serif" w:hAnsi="Arial;sans-serif"/>
          <w:b w:val="false"/>
          <w:color w:val="000000"/>
          <w:sz w:val="20"/>
        </w:rPr>
      </w:pPr>
      <w:r>
        <w:rPr>
          <w:rFonts w:ascii="Arial;sans-serif" w:hAnsi="Arial;sans-serif"/>
          <w:b w:val="false"/>
          <w:color w:val="000000"/>
          <w:sz w:val="20"/>
        </w:rPr>
        <w:t>The table below provides a summary of our exposure related to our unconsolidated VIEs.</w:t>
      </w:r>
    </w:p>
    <w:tbl>
      <w:tblPr>
        <w:tblW w:w="10205" w:type="dxa"/>
        <w:jc w:val="center"/>
        <w:tblInd w:w="0" w:type="dxa"/>
        <w:tblLayout w:type="fixed"/>
        <w:tblCellMar>
          <w:top w:w="28" w:type="dxa"/>
          <w:left w:w="28" w:type="dxa"/>
          <w:bottom w:w="28" w:type="dxa"/>
          <w:right w:w="28" w:type="dxa"/>
        </w:tblCellMar>
      </w:tblPr>
      <w:tblGrid>
        <w:gridCol w:w="667"/>
        <w:gridCol w:w="430"/>
        <w:gridCol w:w="337"/>
        <w:gridCol w:w="109"/>
        <w:gridCol w:w="109"/>
        <w:gridCol w:w="109"/>
        <w:gridCol w:w="213"/>
        <w:gridCol w:w="834"/>
        <w:gridCol w:w="110"/>
        <w:gridCol w:w="109"/>
        <w:gridCol w:w="109"/>
        <w:gridCol w:w="109"/>
        <w:gridCol w:w="216"/>
        <w:gridCol w:w="739"/>
        <w:gridCol w:w="111"/>
        <w:gridCol w:w="109"/>
        <w:gridCol w:w="109"/>
        <w:gridCol w:w="109"/>
        <w:gridCol w:w="212"/>
        <w:gridCol w:w="833"/>
        <w:gridCol w:w="109"/>
        <w:gridCol w:w="109"/>
        <w:gridCol w:w="109"/>
        <w:gridCol w:w="109"/>
        <w:gridCol w:w="213"/>
        <w:gridCol w:w="834"/>
        <w:gridCol w:w="110"/>
        <w:gridCol w:w="109"/>
        <w:gridCol w:w="109"/>
        <w:gridCol w:w="109"/>
        <w:gridCol w:w="216"/>
        <w:gridCol w:w="739"/>
        <w:gridCol w:w="111"/>
        <w:gridCol w:w="109"/>
        <w:gridCol w:w="109"/>
        <w:gridCol w:w="109"/>
        <w:gridCol w:w="212"/>
        <w:gridCol w:w="832"/>
        <w:gridCol w:w="165"/>
      </w:tblGrid>
      <w:tr>
        <w:trPr/>
        <w:tc>
          <w:tcPr>
            <w:tcW w:w="66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Debt Interests</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Equity Interests</w:t>
            </w:r>
            <w:r>
              <w:rPr>
                <w:rFonts w:ascii="Arial;sans-serif" w:hAnsi="Arial;sans-serif"/>
                <w:b/>
                <w:color w:val="144F82"/>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Debt Interests</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Equity Interests</w:t>
            </w:r>
            <w:r>
              <w:rPr>
                <w:rFonts w:ascii="Arial;sans-serif" w:hAnsi="Arial;sans-serif"/>
                <w:b/>
                <w:color w:val="144F82"/>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 Exposure</w:t>
            </w:r>
          </w:p>
        </w:tc>
      </w:tr>
      <w:tr>
        <w:trPr/>
        <w:tc>
          <w:tcPr>
            <w:tcW w:w="1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 term securitizations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708,289 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41,308 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749,597 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622,184 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671,434 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Vertical risk retention interest classified as available-for-sale investment.</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xml:space="preserve">Vertical risk retention interest classified as trading investment.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 Borrowing Sources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maintain discretionary uncommitted Federal Funds lines of credit with various correspondent banks, which totaled $125 million at September 30, 2026. The interest rate we are charged on these lines of credit is priced at Fed Funds plus a spread at the time of borrowing and is payable daily. We did not utilize these lines of credit in the nine months ended September 30, 2026, nor in the year ended December 31,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established an account at the FRB to meet eligibility requirements for access to the Primary Credit borrowing facility at the FRB’s Discount Window (the “Window”). The Primary Credit borrowing facility is a lending program available to depository institutions that are in generally sound financial condition. All borrowings at the Window must be fully collateralized. We can pledge asset-backed and mortgage-backed securities, as well as Private Education Loans, to the FRB as collateral for borrowings at the Window. Generally, collateral value is assigned based on the estimated fair value of the pledged assets. At September 30, 2026 and December 31, 2025, the value of our pledged collateral at the FRB totaled $3.3 billion and $2.5 billion, respectively. The interest rate charged to us is the discount rate set by the FRB. We did not utilize this facility in the nine months ended September 30, 2026, nor in the year ended December 31, 2025.</w:t>
      </w:r>
    </w:p>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9. Derivative Financial Instruments</w:t>
      </w:r>
    </w:p>
    <w:p>
      <w:pPr>
        <w:pStyle w:val="TextBody"/>
        <w:bidi w:val="0"/>
        <w:spacing w:lineRule="auto" w:line="288" w:before="0" w:after="60"/>
        <w:ind w:left="0" w:right="0" w:firstLine="225"/>
        <w:jc w:val="left"/>
        <w:rPr>
          <w:rFonts w:ascii="Arial;sans-serif" w:hAnsi="Arial;sans-serif"/>
          <w:b/>
          <w:i/>
          <w:color w:val="000000"/>
          <w:sz w:val="20"/>
        </w:rPr>
      </w:pPr>
      <w:r>
        <w:rPr>
          <w:rFonts w:ascii="Arial;sans-serif" w:hAnsi="Arial;sans-serif"/>
          <w:b/>
          <w:i/>
          <w:color w:val="000000"/>
          <w:sz w:val="20"/>
        </w:rPr>
        <w:t>Risk Management Strategy</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We maintain an overall interest rate risk management strategy that incorporates the use of derivative instruments to reduce the economic effect of interest rate changes. Our goal is to manage interest rate sensitivity by modifying the repricing frequency and underlying index characteristics of certain balance sheet assets or liabilities so any adverse impacts related to movements in interest rates are managed within low to moderate limits. As a result of interest rate fluctuations, hedged balance sheet positions will appreciate or depreciate in market value or create variability in cash flows. Income or loss on the derivative instruments linked to the hedged item will generally offset the effect of this unrealized appreciation or depreciation or volatility in cash flows for the period the item is being hedged. We view this strategy as a prudent management of interest rate risk. Please refer to Note 12, “Derivative Financial Instruments” in our 2025 Form 10-K for a full discussion of our risk management strategy.</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Title VII of the Dodd-Frank Wall Street Reform and Consumer Protection Act of 2010 (the “Dodd-Frank Act”) requires all standardized derivatives, including most interest rate swaps, to be submitted for clearing to central counterparties to reduce counterparty risk. Two of the central counterparties we use are the Chicago Mercantile Exchange (“CME”) and the London Clearing House (“LCH”). All variation margin payments on derivatives cleared through the CME and LCH are accounted for as legal settlement. As of September 30, 2026, $9 million notional of our derivative contracts were cleared on the CME and $2 million were cleared on the LCH. The derivative contracts cleared through the CME and LCH represent 86.0 percent and 14.0 percent, respectively, of our total notional derivative contracts of $11 million at September 30, 2026.</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derivatives cleared through the CME and LCH, the net gain (loss) position includes the variation margin amounts as settlement of the derivative and not collateral against the fair value of the derivative. The amount of variation margin included as settlement as of September 30, 2026 was immaterial for both the CME and LCH. Changes in fair value for derivatives not designated as hedging instruments are presented as realized gains (losses).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exposure to the counterparty is limited to the value of the derivative contracts in a gain position less any collateral held and plus any collateral posted. When there is a net negative exposure, we consider our exposure to the counterparty to be zero. At both September 30, 2026 and December 31, 2025, we had a net positive exposure (derivative gain/loss positions to us, less collateral held by us and plus collateral posted with counterparties) related to derivatives of $0.1 million.</w:t>
      </w:r>
    </w:p>
    <w:p>
      <w:pPr>
        <w:pStyle w:val="TextBody"/>
        <w:bidi w:val="0"/>
        <w:spacing w:before="120" w:after="283"/>
        <w:ind w:left="0" w:right="0" w:firstLine="495"/>
        <w:jc w:val="left"/>
        <w:rPr/>
      </w:pPr>
      <w:r>
        <w:rPr/>
      </w:r>
    </w:p>
    <w:p>
      <w:pPr>
        <w:pStyle w:val="TextBody"/>
        <w:bidi w:val="0"/>
        <w:spacing w:before="0" w:after="0"/>
        <w:ind w:left="0" w:right="0" w:firstLine="22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40</w:t>
                      </w:r>
                    </w:p>
                  </w:txbxContent>
                </v:textbox>
                <w10:wrap type="none"/>
              </v:rect>
            </w:pict>
          </mc:Fallback>
        </mc:AlternateContent>
      </w:r>
    </w:p>
    <w:p>
      <w:pPr>
        <w:pStyle w:val="TextBody"/>
        <w:bidi w:val="0"/>
        <w:spacing w:before="0" w:after="0"/>
        <w:jc w:val="left"/>
        <w:rPr/>
      </w:pPr>
      <w:r>
        <w:rPr/>
      </w:r>
    </w:p>
    <w:tbl>
      <w:tblPr>
        <w:tblW w:w="4959" w:type="dxa"/>
        <w:jc w:val="center"/>
        <w:tblInd w:w="0" w:type="dxa"/>
        <w:tblLayout w:type="fixed"/>
        <w:tblCellMar>
          <w:top w:w="28" w:type="dxa"/>
          <w:left w:w="28" w:type="dxa"/>
          <w:bottom w:w="28" w:type="dxa"/>
          <w:right w:w="28" w:type="dxa"/>
        </w:tblCellMar>
      </w:tblPr>
      <w:tblGrid>
        <w:gridCol w:w="124"/>
        <w:gridCol w:w="109"/>
        <w:gridCol w:w="109"/>
        <w:gridCol w:w="1414"/>
        <w:gridCol w:w="1414"/>
        <w:gridCol w:w="14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9.</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 Financial Instruments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25"/>
        <w:jc w:val="left"/>
        <w:rPr>
          <w:rFonts w:ascii="Arial;sans-serif" w:hAnsi="Arial;sans-serif"/>
          <w:b/>
          <w:i/>
          <w:color w:val="000000"/>
          <w:sz w:val="20"/>
        </w:rPr>
      </w:pPr>
      <w:r>
        <w:rPr>
          <w:rFonts w:ascii="Arial;sans-serif" w:hAnsi="Arial;sans-serif"/>
          <w:b/>
          <w:i/>
          <w:color w:val="000000"/>
          <w:sz w:val="20"/>
        </w:rPr>
        <w:t>Summary of Derivative Financial Statement Impact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tables summarize the fair values and notional amounts of all derivative instruments at September 30, 2026 and December 31, 2025, and their impact on earnings and other comprehensive income for the nine months ended September 30, 2026 and September 30, 2025. Please refer to Note 12, “Derivative Financial Instruments” in our 2025 Form 10-K for a full discussion of fair value hedges and cash flow hedges.</w:t>
      </w:r>
    </w:p>
    <w:p>
      <w:pPr>
        <w:pStyle w:val="TextBody"/>
        <w:bidi w:val="0"/>
        <w:spacing w:before="120" w:after="283"/>
        <w:ind w:left="0" w:right="0" w:firstLine="495"/>
        <w:jc w:val="left"/>
        <w:rPr/>
      </w:pPr>
      <w:r>
        <w:rPr/>
      </w:r>
    </w:p>
    <w:tbl>
      <w:tblPr>
        <w:tblW w:w="10205" w:type="dxa"/>
        <w:jc w:val="center"/>
        <w:tblInd w:w="0" w:type="dxa"/>
        <w:tblLayout w:type="fixed"/>
        <w:tblCellMar>
          <w:top w:w="28" w:type="dxa"/>
          <w:left w:w="28" w:type="dxa"/>
          <w:bottom w:w="28" w:type="dxa"/>
          <w:right w:w="28" w:type="dxa"/>
        </w:tblCellMar>
      </w:tblPr>
      <w:tblGrid>
        <w:gridCol w:w="376"/>
        <w:gridCol w:w="331"/>
        <w:gridCol w:w="265"/>
        <w:gridCol w:w="333"/>
        <w:gridCol w:w="333"/>
        <w:gridCol w:w="317"/>
        <w:gridCol w:w="109"/>
        <w:gridCol w:w="109"/>
        <w:gridCol w:w="109"/>
        <w:gridCol w:w="272"/>
        <w:gridCol w:w="565"/>
        <w:gridCol w:w="152"/>
        <w:gridCol w:w="109"/>
        <w:gridCol w:w="109"/>
        <w:gridCol w:w="109"/>
        <w:gridCol w:w="259"/>
        <w:gridCol w:w="538"/>
        <w:gridCol w:w="146"/>
        <w:gridCol w:w="109"/>
        <w:gridCol w:w="109"/>
        <w:gridCol w:w="109"/>
        <w:gridCol w:w="354"/>
        <w:gridCol w:w="436"/>
        <w:gridCol w:w="198"/>
        <w:gridCol w:w="109"/>
        <w:gridCol w:w="109"/>
        <w:gridCol w:w="109"/>
        <w:gridCol w:w="259"/>
        <w:gridCol w:w="538"/>
        <w:gridCol w:w="146"/>
        <w:gridCol w:w="109"/>
        <w:gridCol w:w="109"/>
        <w:gridCol w:w="109"/>
        <w:gridCol w:w="109"/>
        <w:gridCol w:w="109"/>
        <w:gridCol w:w="109"/>
        <w:gridCol w:w="109"/>
        <w:gridCol w:w="354"/>
        <w:gridCol w:w="436"/>
        <w:gridCol w:w="198"/>
        <w:gridCol w:w="109"/>
        <w:gridCol w:w="109"/>
        <w:gridCol w:w="109"/>
        <w:gridCol w:w="255"/>
        <w:gridCol w:w="530"/>
        <w:gridCol w:w="216"/>
      </w:tblGrid>
      <w:tr>
        <w:trPr/>
        <w:tc>
          <w:tcPr>
            <w:tcW w:w="3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780"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144F82"/>
                <w:sz w:val="18"/>
              </w:rPr>
            </w:pPr>
            <w:r>
              <w:rPr>
                <w:rFonts w:ascii="Arial;sans-serif" w:hAnsi="Arial;sans-serif"/>
                <w:b/>
                <w:i/>
                <w:color w:val="144F82"/>
                <w:sz w:val="18"/>
              </w:rPr>
              <w:t>Impact of Derivatives on the Consolidated Balance Sheets</w:t>
            </w:r>
          </w:p>
        </w:tc>
        <w:tc>
          <w:tcPr>
            <w:tcW w:w="2425" w:type="dxa"/>
            <w:gridSpan w:val="10"/>
            <w:tcBorders/>
          </w:tcPr>
          <w:p>
            <w:pPr>
              <w:pStyle w:val="TableContents"/>
              <w:bidi w:val="0"/>
              <w:spacing w:before="0" w:after="283"/>
              <w:jc w:val="left"/>
              <w:rPr>
                <w:sz w:val="4"/>
                <w:szCs w:val="4"/>
              </w:rPr>
            </w:pPr>
            <w:r>
              <w:rPr>
                <w:sz w:val="4"/>
                <w:szCs w:val="4"/>
              </w:rPr>
            </w:r>
          </w:p>
        </w:tc>
      </w:tr>
      <w:tr>
        <w:trPr/>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Fair Value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Total</w:t>
            </w:r>
          </w:p>
        </w:tc>
        <w:tc>
          <w:tcPr>
            <w:tcW w:w="1328" w:type="dxa"/>
            <w:gridSpan w:val="6"/>
            <w:tcBorders/>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December 31,</w:t>
            </w:r>
          </w:p>
        </w:tc>
      </w:tr>
      <w:tr>
        <w:trPr/>
        <w:tc>
          <w:tcPr>
            <w:tcW w:w="19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r>
      <w:tr>
        <w:trPr/>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6"/>
              </w:rPr>
              <w:t>Fair Values</w:t>
            </w:r>
            <w:r>
              <w:rPr>
                <w:rFonts w:ascii="Arial;sans-serif" w:hAnsi="Arial;sans-serif"/>
                <w:b/>
                <w:color w:val="144F82"/>
                <w:sz w:val="10"/>
              </w:rPr>
              <w:t>(1)</w:t>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Hedged Risk Exposure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144F82"/>
                <w:sz w:val="17"/>
              </w:rPr>
              <w:t>Derivative Assets:</w:t>
            </w:r>
            <w:r>
              <w:rPr>
                <w:rFonts w:ascii="Arial;sans-serif" w:hAnsi="Arial;sans-serif"/>
                <w:b/>
                <w:i/>
                <w:color w:val="144F82"/>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swaps</w:t>
            </w:r>
          </w:p>
        </w:tc>
        <w:tc>
          <w:tcPr>
            <w:tcW w:w="98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Interest 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6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3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9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3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3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9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3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144F82"/>
                <w:sz w:val="17"/>
              </w:rPr>
              <w:t>Derivative Liabilities:</w:t>
            </w:r>
            <w:r>
              <w:rPr>
                <w:rFonts w:ascii="Arial;sans-serif" w:hAnsi="Arial;sans-serif"/>
                <w:b/>
                <w:i/>
                <w:color w:val="144F82"/>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Interest rate swaps </w:t>
            </w:r>
          </w:p>
        </w:tc>
        <w:tc>
          <w:tcPr>
            <w:tcW w:w="98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Interest 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4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2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Total net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center"/>
        <w:rPr>
          <w:color w:val="000000"/>
        </w:rPr>
      </w:pPr>
      <w:r>
        <w:rPr>
          <w:color w:val="000000"/>
        </w:rPr>
        <w:t> </w:t>
      </w:r>
    </w:p>
    <w:p>
      <w:pPr>
        <w:pStyle w:val="TextBody"/>
        <w:bidi w:val="0"/>
        <w:spacing w:lineRule="auto" w:line="288" w:before="0" w:after="0"/>
        <w:ind w:left="0" w:right="0" w:hanging="27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5"/>
        </w:rPr>
        <w:t xml:space="preserve">Fair values reported include variation margin as legal settlement of the derivative contract. Assets and liabilities are presented without consideration of master netting agreements. Derivatives are carried on the balance sheet based on net position by counterparty under master netting agreements and classified in other assets or other liabilities depending on whether in a net positive or negative position. </w:t>
      </w:r>
    </w:p>
    <w:p>
      <w:pPr>
        <w:pStyle w:val="TextBody"/>
        <w:bidi w:val="0"/>
        <w:spacing w:lineRule="auto" w:line="288" w:before="60" w:after="283"/>
        <w:ind w:left="0" w:right="0" w:hanging="27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5"/>
        </w:rPr>
        <w:t>The following table reconciles gross positions with the impact of master netting agreements to the balance sheet classification:</w:t>
      </w:r>
    </w:p>
    <w:p>
      <w:pPr>
        <w:pStyle w:val="TextBody"/>
        <w:bidi w:val="0"/>
        <w:spacing w:lineRule="auto" w:line="288" w:before="0" w:after="0"/>
        <w:ind w:left="0" w:right="0" w:hanging="54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68"/>
        <w:gridCol w:w="1394"/>
        <w:gridCol w:w="1399"/>
        <w:gridCol w:w="109"/>
        <w:gridCol w:w="109"/>
        <w:gridCol w:w="109"/>
        <w:gridCol w:w="347"/>
        <w:gridCol w:w="586"/>
        <w:gridCol w:w="193"/>
        <w:gridCol w:w="109"/>
        <w:gridCol w:w="109"/>
        <w:gridCol w:w="109"/>
        <w:gridCol w:w="287"/>
        <w:gridCol w:w="618"/>
        <w:gridCol w:w="160"/>
        <w:gridCol w:w="109"/>
        <w:gridCol w:w="109"/>
        <w:gridCol w:w="109"/>
        <w:gridCol w:w="309"/>
        <w:gridCol w:w="642"/>
        <w:gridCol w:w="174"/>
        <w:gridCol w:w="109"/>
        <w:gridCol w:w="109"/>
        <w:gridCol w:w="109"/>
        <w:gridCol w:w="358"/>
        <w:gridCol w:w="468"/>
        <w:gridCol w:w="294"/>
      </w:tblGrid>
      <w:tr>
        <w:trPr/>
        <w:tc>
          <w:tcPr>
            <w:tcW w:w="166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Other Liabilities</w:t>
            </w:r>
          </w:p>
        </w:tc>
      </w:tr>
      <w:tr>
        <w:trPr/>
        <w:tc>
          <w:tcPr>
            <w:tcW w:w="4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4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5"/>
              </w:rPr>
            </w:pPr>
            <w:r>
              <w:rPr>
                <w:rFonts w:ascii="Arial;sans-serif" w:hAnsi="Arial;sans-serif"/>
                <w:b/>
                <w:color w:val="144F82"/>
                <w:sz w:val="15"/>
              </w:rPr>
              <w:t>2025</w:t>
            </w:r>
          </w:p>
        </w:tc>
      </w:tr>
      <w:tr>
        <w:trPr/>
        <w:tc>
          <w:tcPr>
            <w:tcW w:w="44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Gross position</w:t>
            </w:r>
            <w:r>
              <w:rPr>
                <w:rFonts w:ascii="Arial;sans-serif" w:hAnsi="Arial;sans-serif"/>
                <w:b w:val="false"/>
                <w:color w:val="000000"/>
                <w:sz w:val="10"/>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9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of master netting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values with impact of master netting agreements (as carried on balance sheet)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9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collateral pledged</w:t>
            </w:r>
            <w:r>
              <w:rPr>
                <w:rFonts w:ascii="Arial;sans-serif" w:hAnsi="Arial;sans-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position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9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60"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9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(1)</w:t>
      </w:r>
      <w:r>
        <w:rPr>
          <w:rFonts w:ascii="Arial;sans-serif" w:hAnsi="Arial;sans-serif"/>
          <w:b w:val="false"/>
          <w:color w:val="000000"/>
          <w:sz w:val="15"/>
        </w:rPr>
        <w:t xml:space="preserve">Gross position amounts include accrued interest and variation margin as legal settlement of the derivative contract. </w:t>
      </w:r>
    </w:p>
    <w:p>
      <w:pPr>
        <w:pStyle w:val="TextBody"/>
        <w:bidi w:val="0"/>
        <w:spacing w:lineRule="auto" w:line="288" w:before="0" w:after="0"/>
        <w:ind w:left="0" w:right="0" w:hanging="180"/>
        <w:jc w:val="left"/>
        <w:rPr/>
      </w:pPr>
      <w:r>
        <w:rPr>
          <w:rFonts w:ascii="Arial;sans-serif" w:hAnsi="Arial;sans-serif"/>
          <w:b w:val="false"/>
          <w:color w:val="000000"/>
          <w:sz w:val="10"/>
        </w:rPr>
        <w:t>(2)</w:t>
      </w:r>
      <w:r>
        <w:rPr>
          <w:rFonts w:ascii="Arial;sans-serif" w:hAnsi="Arial;sans-serif"/>
          <w:b w:val="false"/>
          <w:color w:val="000000"/>
          <w:sz w:val="15"/>
        </w:rPr>
        <w:t xml:space="preserve">Cash collateral pledged excludes amounts that represent legal settlement of the derivative contracts. </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31"/>
        <w:gridCol w:w="374"/>
        <w:gridCol w:w="375"/>
        <w:gridCol w:w="109"/>
        <w:gridCol w:w="109"/>
        <w:gridCol w:w="109"/>
        <w:gridCol w:w="250"/>
        <w:gridCol w:w="713"/>
        <w:gridCol w:w="141"/>
        <w:gridCol w:w="109"/>
        <w:gridCol w:w="109"/>
        <w:gridCol w:w="109"/>
        <w:gridCol w:w="208"/>
        <w:gridCol w:w="784"/>
        <w:gridCol w:w="115"/>
        <w:gridCol w:w="109"/>
        <w:gridCol w:w="109"/>
        <w:gridCol w:w="109"/>
        <w:gridCol w:w="250"/>
        <w:gridCol w:w="713"/>
        <w:gridCol w:w="141"/>
        <w:gridCol w:w="109"/>
        <w:gridCol w:w="109"/>
        <w:gridCol w:w="109"/>
        <w:gridCol w:w="237"/>
        <w:gridCol w:w="674"/>
        <w:gridCol w:w="133"/>
        <w:gridCol w:w="109"/>
        <w:gridCol w:w="109"/>
        <w:gridCol w:w="109"/>
        <w:gridCol w:w="109"/>
        <w:gridCol w:w="109"/>
        <w:gridCol w:w="109"/>
        <w:gridCol w:w="109"/>
        <w:gridCol w:w="227"/>
        <w:gridCol w:w="750"/>
        <w:gridCol w:w="127"/>
        <w:gridCol w:w="109"/>
        <w:gridCol w:w="109"/>
        <w:gridCol w:w="109"/>
        <w:gridCol w:w="208"/>
        <w:gridCol w:w="783"/>
        <w:gridCol w:w="173"/>
      </w:tblGrid>
      <w:tr>
        <w:trPr/>
        <w:tc>
          <w:tcPr>
            <w:tcW w:w="43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144F82"/>
                <w:sz w:val="18"/>
              </w:rPr>
            </w:pPr>
            <w:r>
              <w:rPr>
                <w:rFonts w:ascii="Arial;sans-serif" w:hAnsi="Arial;sans-serif"/>
                <w:b/>
                <w:i/>
                <w:color w:val="144F82"/>
                <w:sz w:val="18"/>
              </w:rPr>
              <w:t>Notional Values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Cash Flow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1491" w:type="dxa"/>
            <w:gridSpan w:val="6"/>
            <w:tcBorders/>
          </w:tcPr>
          <w:p>
            <w:pPr>
              <w:pStyle w:val="TableContents"/>
              <w:bidi w:val="0"/>
              <w:spacing w:before="0" w:after="283"/>
              <w:jc w:val="left"/>
              <w:rPr>
                <w:sz w:val="4"/>
                <w:szCs w:val="4"/>
              </w:rPr>
            </w:pPr>
            <w:r>
              <w:rPr>
                <w:sz w:val="4"/>
                <w:szCs w:val="4"/>
              </w:rPr>
            </w:r>
          </w:p>
        </w:tc>
      </w:tr>
      <w:tr>
        <w:trPr/>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1180"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4,013 </w:t>
            </w:r>
          </w:p>
        </w:tc>
        <w:tc>
          <w:tcPr>
            <w:tcW w:w="14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566,592 </w:t>
            </w:r>
          </w:p>
        </w:tc>
        <w:tc>
          <w:tcPr>
            <w:tcW w:w="11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6,520 </w:t>
            </w:r>
          </w:p>
        </w:tc>
        <w:tc>
          <w:tcPr>
            <w:tcW w:w="14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6,520 </w:t>
            </w:r>
          </w:p>
        </w:tc>
        <w:tc>
          <w:tcPr>
            <w:tcW w:w="13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10,533 </w:t>
            </w:r>
          </w:p>
        </w:tc>
        <w:tc>
          <w:tcPr>
            <w:tcW w:w="12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573,112 </w:t>
            </w:r>
          </w:p>
        </w:tc>
        <w:tc>
          <w:tcPr>
            <w:tcW w:w="173"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Net total notional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4,013 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566,592 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10,533 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573,112 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41</w:t>
                      </w:r>
                    </w:p>
                  </w:txbxContent>
                </v:textbox>
                <w10:wrap type="none"/>
              </v:rect>
            </w:pict>
          </mc:Fallback>
        </mc:AlternateContent>
      </w:r>
    </w:p>
    <w:p>
      <w:pPr>
        <w:pStyle w:val="TextBody"/>
        <w:bidi w:val="0"/>
        <w:spacing w:before="0" w:after="0"/>
        <w:jc w:val="left"/>
        <w:rPr/>
      </w:pPr>
      <w:r>
        <w:rPr/>
      </w:r>
    </w:p>
    <w:tbl>
      <w:tblPr>
        <w:tblW w:w="4959" w:type="dxa"/>
        <w:jc w:val="center"/>
        <w:tblInd w:w="0" w:type="dxa"/>
        <w:tblLayout w:type="fixed"/>
        <w:tblCellMar>
          <w:top w:w="28" w:type="dxa"/>
          <w:left w:w="28" w:type="dxa"/>
          <w:bottom w:w="28" w:type="dxa"/>
          <w:right w:w="28" w:type="dxa"/>
        </w:tblCellMar>
      </w:tblPr>
      <w:tblGrid>
        <w:gridCol w:w="124"/>
        <w:gridCol w:w="109"/>
        <w:gridCol w:w="109"/>
        <w:gridCol w:w="1414"/>
        <w:gridCol w:w="1414"/>
        <w:gridCol w:w="14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9.</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 Financial Instruments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225"/>
        <w:jc w:val="left"/>
        <w:rPr>
          <w:rFonts w:ascii="Arial;sans-serif" w:hAnsi="Arial;sans-serif"/>
          <w:b w:val="false"/>
          <w:color w:val="000000"/>
          <w:sz w:val="20"/>
        </w:rPr>
      </w:pPr>
      <w:r>
        <w:rPr>
          <w:rFonts w:ascii="Arial;sans-serif" w:hAnsi="Arial;sans-serif"/>
          <w:b w:val="false"/>
          <w:color w:val="000000"/>
          <w:sz w:val="20"/>
        </w:rPr>
        <w:t>As of September 30, 2026 and December 31, 2025, the following amounts were recorded on the consolidated balance sheet related to cumulative basis adjustments for fair value hedges:</w:t>
      </w:r>
    </w:p>
    <w:tbl>
      <w:tblPr>
        <w:tblW w:w="10205" w:type="dxa"/>
        <w:jc w:val="center"/>
        <w:tblInd w:w="0" w:type="dxa"/>
        <w:tblLayout w:type="fixed"/>
        <w:tblCellMar>
          <w:top w:w="28" w:type="dxa"/>
          <w:left w:w="28" w:type="dxa"/>
          <w:bottom w:w="28" w:type="dxa"/>
          <w:right w:w="28" w:type="dxa"/>
        </w:tblCellMar>
      </w:tblPr>
      <w:tblGrid>
        <w:gridCol w:w="848"/>
        <w:gridCol w:w="701"/>
        <w:gridCol w:w="704"/>
        <w:gridCol w:w="109"/>
        <w:gridCol w:w="109"/>
        <w:gridCol w:w="109"/>
        <w:gridCol w:w="266"/>
        <w:gridCol w:w="807"/>
        <w:gridCol w:w="133"/>
        <w:gridCol w:w="133"/>
        <w:gridCol w:w="133"/>
        <w:gridCol w:w="133"/>
        <w:gridCol w:w="259"/>
        <w:gridCol w:w="807"/>
        <w:gridCol w:w="133"/>
        <w:gridCol w:w="109"/>
        <w:gridCol w:w="109"/>
        <w:gridCol w:w="109"/>
        <w:gridCol w:w="605"/>
        <w:gridCol w:w="1067"/>
        <w:gridCol w:w="249"/>
        <w:gridCol w:w="249"/>
        <w:gridCol w:w="249"/>
        <w:gridCol w:w="249"/>
        <w:gridCol w:w="637"/>
        <w:gridCol w:w="826"/>
        <w:gridCol w:w="363"/>
      </w:tblGrid>
      <w:tr>
        <w:trPr/>
        <w:tc>
          <w:tcPr>
            <w:tcW w:w="84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Carrying Amount of the Hedged Assets/(Liabilities)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Cumulative Amount of Fair Value Hedging Adjustment Included in the Carrying Amount of the Hedged Assets/(Liabilities)</w:t>
            </w:r>
          </w:p>
        </w:tc>
      </w:tr>
      <w:tr>
        <w:trPr/>
        <w:tc>
          <w:tcPr>
            <w:tcW w:w="225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Line Item in the Balance Sheet in Which the Hedged Item is Included: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225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(6,167)</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(6,255)</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37"/>
        <w:gridCol w:w="1533"/>
        <w:gridCol w:w="1538"/>
        <w:gridCol w:w="116"/>
        <w:gridCol w:w="116"/>
        <w:gridCol w:w="116"/>
        <w:gridCol w:w="226"/>
        <w:gridCol w:w="438"/>
        <w:gridCol w:w="116"/>
        <w:gridCol w:w="116"/>
        <w:gridCol w:w="116"/>
        <w:gridCol w:w="116"/>
        <w:gridCol w:w="226"/>
        <w:gridCol w:w="661"/>
        <w:gridCol w:w="116"/>
        <w:gridCol w:w="116"/>
        <w:gridCol w:w="116"/>
        <w:gridCol w:w="116"/>
        <w:gridCol w:w="226"/>
        <w:gridCol w:w="500"/>
        <w:gridCol w:w="116"/>
        <w:gridCol w:w="116"/>
        <w:gridCol w:w="116"/>
        <w:gridCol w:w="116"/>
        <w:gridCol w:w="226"/>
        <w:gridCol w:w="774"/>
        <w:gridCol w:w="180"/>
      </w:tblGrid>
      <w:tr>
        <w:trPr/>
        <w:tc>
          <w:tcPr>
            <w:tcW w:w="1937"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144F82"/>
                <w:sz w:val="18"/>
              </w:rPr>
            </w:pPr>
            <w:r>
              <w:rPr>
                <w:rFonts w:ascii="Arial;sans-serif" w:hAnsi="Arial;sans-serif"/>
                <w:b/>
                <w:i/>
                <w:color w:val="144F82"/>
                <w:sz w:val="18"/>
              </w:rPr>
              <w:t>Impact of Derivatives on the Consolidated Statements of Operations</w:t>
            </w:r>
          </w:p>
        </w:tc>
      </w:tr>
      <w:tr>
        <w:trPr/>
        <w:tc>
          <w:tcPr>
            <w:tcW w:w="5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September 30,</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Nine Months Ended </w:t>
              <w:br/>
              <w:t> September 30,</w:t>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r>
      <w:tr>
        <w:trPr/>
        <w:tc>
          <w:tcPr>
            <w:tcW w:w="5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u w:val="single"/>
              </w:rPr>
            </w:pPr>
            <w:r>
              <w:rPr>
                <w:rFonts w:ascii="Arial;sans-serif" w:hAnsi="Arial;sans-serif"/>
                <w:b/>
                <w:color w:val="144F82"/>
                <w:sz w:val="18"/>
                <w:u w:val="single"/>
              </w:rPr>
              <w:t>Fair Value Hedges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recognized on derivatives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Hedged items recorded in interest expense</w:t>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w:t>
            </w:r>
          </w:p>
        </w:tc>
        <w:tc>
          <w:tcPr>
            <w:tcW w:w="18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recorded in interest expense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w:t>
            </w:r>
          </w:p>
        </w:tc>
        <w:tc>
          <w:tcPr>
            <w:tcW w:w="18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u w:val="single"/>
              </w:rPr>
            </w:pPr>
            <w:r>
              <w:rPr>
                <w:rFonts w:ascii="Arial;sans-serif" w:hAnsi="Arial;sans-serif"/>
                <w:b/>
                <w:color w:val="144F82"/>
                <w:sz w:val="18"/>
                <w:u w:val="single"/>
              </w:rPr>
              <w:t>Cash Flow Hedges</w:t>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of gain (loss) reclassified from accumulated other comprehensive income into interest expense</w:t>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17,569 </w:t>
            </w:r>
          </w:p>
        </w:tc>
        <w:tc>
          <w:tcPr>
            <w:tcW w:w="18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4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5,672 </w:t>
            </w:r>
          </w:p>
        </w:tc>
        <w:tc>
          <w:tcPr>
            <w:tcW w:w="1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15,849 </w:t>
            </w:r>
          </w:p>
        </w:tc>
        <w:tc>
          <w:tcPr>
            <w:tcW w:w="18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42</w:t>
                      </w:r>
                    </w:p>
                  </w:txbxContent>
                </v:textbox>
                <w10:wrap type="none"/>
              </v:rect>
            </w:pict>
          </mc:Fallback>
        </mc:AlternateContent>
      </w:r>
    </w:p>
    <w:p>
      <w:pPr>
        <w:pStyle w:val="TextBody"/>
        <w:bidi w:val="0"/>
        <w:spacing w:before="0" w:after="0"/>
        <w:jc w:val="left"/>
        <w:rPr/>
      </w:pPr>
      <w:r>
        <w:rPr/>
      </w:r>
    </w:p>
    <w:tbl>
      <w:tblPr>
        <w:tblW w:w="4959" w:type="dxa"/>
        <w:jc w:val="center"/>
        <w:tblInd w:w="0" w:type="dxa"/>
        <w:tblLayout w:type="fixed"/>
        <w:tblCellMar>
          <w:top w:w="28" w:type="dxa"/>
          <w:left w:w="28" w:type="dxa"/>
          <w:bottom w:w="28" w:type="dxa"/>
          <w:right w:w="28" w:type="dxa"/>
        </w:tblCellMar>
      </w:tblPr>
      <w:tblGrid>
        <w:gridCol w:w="124"/>
        <w:gridCol w:w="109"/>
        <w:gridCol w:w="109"/>
        <w:gridCol w:w="1414"/>
        <w:gridCol w:w="1414"/>
        <w:gridCol w:w="14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9.</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 Financial Instruments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22"/>
        <w:gridCol w:w="1316"/>
        <w:gridCol w:w="1267"/>
        <w:gridCol w:w="152"/>
        <w:gridCol w:w="152"/>
        <w:gridCol w:w="152"/>
        <w:gridCol w:w="295"/>
        <w:gridCol w:w="568"/>
        <w:gridCol w:w="152"/>
        <w:gridCol w:w="152"/>
        <w:gridCol w:w="152"/>
        <w:gridCol w:w="152"/>
        <w:gridCol w:w="295"/>
        <w:gridCol w:w="926"/>
        <w:gridCol w:w="152"/>
        <w:gridCol w:w="109"/>
        <w:gridCol w:w="109"/>
        <w:gridCol w:w="109"/>
        <w:gridCol w:w="211"/>
        <w:gridCol w:w="498"/>
        <w:gridCol w:w="109"/>
        <w:gridCol w:w="109"/>
        <w:gridCol w:w="109"/>
        <w:gridCol w:w="109"/>
        <w:gridCol w:w="211"/>
        <w:gridCol w:w="753"/>
        <w:gridCol w:w="164"/>
      </w:tblGrid>
      <w:tr>
        <w:trPr/>
        <w:tc>
          <w:tcPr>
            <w:tcW w:w="172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144F82"/>
                <w:sz w:val="18"/>
              </w:rPr>
            </w:pPr>
            <w:r>
              <w:rPr>
                <w:rFonts w:ascii="Arial;sans-serif" w:hAnsi="Arial;sans-serif"/>
                <w:b/>
                <w:i/>
                <w:color w:val="144F82"/>
                <w:sz w:val="18"/>
              </w:rPr>
              <w:t xml:space="preserve">Impact of Derivatives on the Statements of Changes in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of gain (loss) recognized in other comprehensive income (loss)</w:t>
            </w:r>
          </w:p>
        </w:tc>
        <w:tc>
          <w:tcPr>
            <w:tcW w:w="4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5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16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amount of gain (loss) reclassified in interest expense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change in other comprehensive income (loss) for unrealized gains (losses) on derivatives, before income tax (expense) benefit</w:t>
            </w:r>
          </w:p>
        </w:tc>
        <w:tc>
          <w:tcPr>
            <w:tcW w:w="4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(5,543)</w:t>
            </w:r>
          </w:p>
        </w:tc>
        <w:tc>
          <w:tcPr>
            <w:tcW w:w="152"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(16,296)</w:t>
            </w:r>
          </w:p>
        </w:tc>
        <w:tc>
          <w:tcPr>
            <w:tcW w:w="16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80" w:after="283"/>
        <w:ind w:left="0" w:right="0" w:firstLine="225"/>
        <w:jc w:val="left"/>
        <w:rPr>
          <w:rFonts w:ascii="Arial;sans-serif" w:hAnsi="Arial;sans-serif"/>
          <w:b w:val="false"/>
          <w:color w:val="000000"/>
          <w:sz w:val="20"/>
        </w:rPr>
      </w:pPr>
      <w:r>
        <w:rPr>
          <w:rFonts w:ascii="Arial;sans-serif" w:hAnsi="Arial;sans-serif"/>
          <w:b w:val="false"/>
          <w:color w:val="000000"/>
          <w:sz w:val="20"/>
        </w:rPr>
        <w:t>Amounts reported in accumulated other comprehensive income related to derivatives will be reclassified to interest expense as interest payments are made on our variable-rate deposits. During the next twelve months, we estimate less than $1.0 million will be reclassified as a decrease to interest expense.</w:t>
      </w:r>
    </w:p>
    <w:p>
      <w:pPr>
        <w:pStyle w:val="TextBody"/>
        <w:bidi w:val="0"/>
        <w:spacing w:lineRule="auto" w:line="288" w:before="280" w:after="283"/>
        <w:ind w:left="0" w:right="0" w:firstLine="225"/>
        <w:jc w:val="left"/>
        <w:rPr>
          <w:rFonts w:ascii="Arial;sans-serif" w:hAnsi="Arial;sans-serif"/>
          <w:b/>
          <w:i/>
          <w:color w:val="000000"/>
          <w:sz w:val="20"/>
        </w:rPr>
      </w:pPr>
      <w:r>
        <w:rPr>
          <w:rFonts w:ascii="Arial;sans-serif" w:hAnsi="Arial;sans-serif"/>
          <w:b/>
          <w:i/>
          <w:color w:val="000000"/>
          <w:sz w:val="20"/>
        </w:rPr>
        <w:t>Cash Collateral</w:t>
      </w:r>
    </w:p>
    <w:p>
      <w:pPr>
        <w:pStyle w:val="TextBody"/>
        <w:bidi w:val="0"/>
        <w:spacing w:lineRule="auto" w:line="288" w:before="280" w:after="283"/>
        <w:ind w:left="0" w:right="0" w:firstLine="225"/>
        <w:jc w:val="left"/>
        <w:rPr>
          <w:rFonts w:ascii="Arial;sans-serif" w:hAnsi="Arial;sans-serif"/>
          <w:b w:val="false"/>
          <w:color w:val="000000"/>
          <w:sz w:val="20"/>
        </w:rPr>
      </w:pPr>
      <w:r>
        <w:rPr>
          <w:rFonts w:ascii="Arial;sans-serif" w:hAnsi="Arial;sans-serif"/>
          <w:b w:val="false"/>
          <w:color w:val="000000"/>
          <w:sz w:val="20"/>
        </w:rPr>
        <w:t>As of September 30, 2026, cash collateral held and pledged excludes amounts that represent legal settlement of the derivative contracts held with the CME and LCH. There was no cash collateral held by us related to derivative exposure between us and our derivatives counterparties at September 30, 2026 and December 31, 2025, respectively. Collateral held is recorded in “Other Liabilities” on the consolidated balance sheets. Cash collateral pledged by us related to derivative exposure between us and our derivatives counterparties was $0.1 million at both September 30, 2026 and December 31, 2025. Collateral pledged is recorded in “Other interest-earning assets” on the consolidated balance sheets.</w:t>
      </w:r>
    </w:p>
    <w:p>
      <w:pPr>
        <w:pStyle w:val="TextBody"/>
        <w:bidi w:val="0"/>
        <w:spacing w:before="280" w:after="283"/>
        <w:ind w:left="0" w:right="0" w:firstLine="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10. Stockholders’ Equity</w:t>
      </w:r>
    </w:p>
    <w:p>
      <w:pPr>
        <w:pStyle w:val="TextBody"/>
        <w:bidi w:val="0"/>
        <w:spacing w:before="0" w:after="0"/>
        <w:ind w:left="0" w:right="0" w:firstLine="450"/>
        <w:jc w:val="left"/>
        <w:rPr/>
      </w:pPr>
      <w:r>
        <w:rPr/>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common share repurchases and issuances.</w:t>
      </w:r>
    </w:p>
    <w:p>
      <w:pPr>
        <w:pStyle w:val="TextBody"/>
        <w:bidi w:val="0"/>
        <w:spacing w:before="90" w:after="283"/>
        <w:ind w:left="0" w:right="0" w:firstLine="495"/>
        <w:jc w:val="left"/>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04"/>
        <w:gridCol w:w="1349"/>
        <w:gridCol w:w="1353"/>
        <w:gridCol w:w="109"/>
        <w:gridCol w:w="109"/>
        <w:gridCol w:w="109"/>
        <w:gridCol w:w="249"/>
        <w:gridCol w:w="727"/>
        <w:gridCol w:w="109"/>
        <w:gridCol w:w="109"/>
        <w:gridCol w:w="109"/>
        <w:gridCol w:w="109"/>
        <w:gridCol w:w="249"/>
        <w:gridCol w:w="727"/>
        <w:gridCol w:w="109"/>
        <w:gridCol w:w="109"/>
        <w:gridCol w:w="109"/>
        <w:gridCol w:w="109"/>
        <w:gridCol w:w="275"/>
        <w:gridCol w:w="806"/>
        <w:gridCol w:w="109"/>
        <w:gridCol w:w="109"/>
        <w:gridCol w:w="109"/>
        <w:gridCol w:w="109"/>
        <w:gridCol w:w="249"/>
        <w:gridCol w:w="727"/>
        <w:gridCol w:w="155"/>
      </w:tblGrid>
      <w:tr>
        <w:trPr/>
        <w:tc>
          <w:tcPr>
            <w:tcW w:w="170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w:t>
              <w:br/>
              <w:t> September 30,</w:t>
            </w:r>
          </w:p>
        </w:tc>
      </w:tr>
      <w:tr>
        <w:trPr/>
        <w:tc>
          <w:tcPr>
            <w:tcW w:w="440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(Shares and per share amounts in actuals)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40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Common stock repurchased under repurchase programs</w:t>
            </w:r>
            <w:r>
              <w:rPr>
                <w:rFonts w:ascii="Arial;sans-serif" w:hAnsi="Arial;sans-serif"/>
                <w:b w:val="false"/>
                <w:color w:val="000000"/>
                <w:sz w:val="12"/>
              </w:rPr>
              <w:t>(1)(2)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5,146,111 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5,631,834 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18,058,061 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9,035,581 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purchase price per share</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Shares repurchased related to employee stock-based compensation plans</w:t>
            </w:r>
            <w:r>
              <w:rPr>
                <w:rFonts w:ascii="Arial;sans-serif" w:hAnsi="Arial;sans-serif"/>
                <w:b w:val="false"/>
                <w:color w:val="000000"/>
                <w:sz w:val="12"/>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33,562 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848,842 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884,300 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purchase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Common shares issued</w:t>
            </w:r>
            <w:r>
              <w:rPr>
                <w:rFonts w:ascii="Arial;sans-serif" w:hAnsi="Arial;sans-serif"/>
                <w:b w:val="false"/>
                <w:color w:val="000000"/>
                <w:sz w:val="12"/>
              </w:rPr>
              <w:t>(5)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222,665 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2,459,758 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2,576,236 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90" w:after="283"/>
        <w:ind w:left="0" w:right="0" w:hanging="27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Common shares purchased under our share repurchase programs. There was $111 million of capacity remaining under the 2026 Share Repurchase Program at September 30, 2026. </w:t>
      </w:r>
    </w:p>
    <w:p>
      <w:pPr>
        <w:pStyle w:val="TextBody"/>
        <w:bidi w:val="0"/>
        <w:spacing w:lineRule="auto" w:line="288" w:before="90" w:after="283"/>
        <w:ind w:left="0" w:right="0" w:hanging="270"/>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For the nine months ended September 30, 2026, the amount includes 9.3 million shares related to the ASR, defined below. </w:t>
      </w:r>
    </w:p>
    <w:p>
      <w:pPr>
        <w:pStyle w:val="TextBody"/>
        <w:bidi w:val="0"/>
        <w:spacing w:lineRule="auto" w:line="288" w:before="90" w:after="283"/>
        <w:ind w:left="0" w:right="0" w:hanging="270"/>
        <w:jc w:val="left"/>
        <w:rPr/>
      </w:pPr>
      <w:r>
        <w:rPr>
          <w:rFonts w:ascii="Arial;sans-serif" w:hAnsi="Arial;sans-serif"/>
          <w:b w:val="false"/>
          <w:color w:val="000000"/>
          <w:sz w:val="10"/>
        </w:rPr>
        <w:t xml:space="preserve">(3) </w:t>
      </w:r>
      <w:r>
        <w:rPr>
          <w:rFonts w:ascii="Arial;sans-serif" w:hAnsi="Arial;sans-serif"/>
          <w:b w:val="false"/>
          <w:color w:val="000000"/>
          <w:sz w:val="16"/>
        </w:rPr>
        <w:t xml:space="preserve">Average purchase price per share includes purchase commission costs and excise taxes. The average purchase price of the 9.3 million shares repurchased under the ASR, defined below, was $21.59 per share, excluding excise taxes. </w:t>
      </w:r>
    </w:p>
    <w:p>
      <w:pPr>
        <w:pStyle w:val="TextBody"/>
        <w:bidi w:val="0"/>
        <w:spacing w:lineRule="auto" w:line="288" w:before="90" w:after="283"/>
        <w:ind w:left="0" w:right="0" w:hanging="270"/>
        <w:jc w:val="left"/>
        <w:rPr/>
      </w:pPr>
      <w:r>
        <w:rPr>
          <w:rFonts w:ascii="Arial;sans-serif" w:hAnsi="Arial;sans-serif"/>
          <w:b w:val="false"/>
          <w:color w:val="000000"/>
          <w:sz w:val="10"/>
        </w:rPr>
        <w:t xml:space="preserve">(4) </w:t>
      </w:r>
      <w:r>
        <w:rPr>
          <w:rFonts w:ascii="Arial;sans-serif" w:hAnsi="Arial;sans-serif"/>
          <w:b w:val="false"/>
          <w:color w:val="000000"/>
          <w:sz w:val="16"/>
        </w:rPr>
        <w:t xml:space="preserve">Comprised of shares withheld from stock option exercises and the vesting of restricted stock, restricted stock units, performance stock units, and dividend equivalent units for employees’ tax withholding obligations and shares tendered by employees to satisfy option exercise costs. </w:t>
      </w:r>
    </w:p>
    <w:p>
      <w:pPr>
        <w:pStyle w:val="TextBody"/>
        <w:bidi w:val="0"/>
        <w:spacing w:lineRule="auto" w:line="288" w:before="90" w:after="283"/>
        <w:ind w:left="0" w:right="0" w:hanging="27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Common shares issued under our various compensation and benefit plans.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The closing price of our common stock on the NASDAQ Global Select Market on September 30, 2026 was $22.63.</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Arial;sans-serif" w:hAnsi="Arial;sans-serif"/>
          <w:b/>
          <w:i/>
          <w:color w:val="000000"/>
          <w:sz w:val="20"/>
        </w:rPr>
      </w:pPr>
      <w:r>
        <w:rPr>
          <w:rFonts w:ascii="Arial;sans-serif" w:hAnsi="Arial;sans-serif"/>
          <w:b/>
          <w:i/>
          <w:color w:val="000000"/>
          <w:sz w:val="20"/>
        </w:rPr>
        <w:t>Common Stock Dividend</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both September 2026 and September 2025, we paid a common stock dividend of $0.13 per common share.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Arial;sans-serif" w:hAnsi="Arial;sans-serif"/>
          <w:b/>
          <w:i/>
          <w:color w:val="000000"/>
          <w:sz w:val="20"/>
        </w:rPr>
      </w:pPr>
      <w:r>
        <w:rPr>
          <w:rFonts w:ascii="Arial;sans-serif" w:hAnsi="Arial;sans-serif"/>
          <w:b/>
          <w:i/>
          <w:color w:val="000000"/>
          <w:sz w:val="20"/>
        </w:rPr>
        <w:t xml:space="preserve">Share Repurchases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In January 2024, we announced a share repurchase program of up to $650 million of common stock (the “2024 Share Repurchase Program”), which expired on February 6, 2026. Under the 2024 Share Repurchase Program, we repurchased 1.0 million shares of common stock for $33 million during the three months ended March 31, 2026, prior to the February 6, 2026 expiration. Under the 2024 Share Repurchase Program, we repurchased 5.6 million shares of common stock for $166 million during the three months ended September 30, 2025, and 9.0 million shares of common stock for $266 million during the nine months ended September 30, 2025.</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On January 22, 2026, we announced a new share repurchase program (the “2026 Share Repurchase Program”), which became effective on January 22, 2026 and will expire, if not earlier exhausted, on February 4, 2028. The 2026 Share Repurchase Program permits us to repurchase shares of our common stock from time to time up to an aggregate repurchase price not to exceed $500 million. Under the 2026 Share Repurchase Program, we repurchased 5.1 million shares of common stock for $132 million in the three months ended September 30, 2026, and 16.9 million shares of common stock for $383 million in the nine months ended September 30, 2026. We had $111 million of capacity remaining under the 2026 Share Repurchase Program at September 30, 2026.</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March 9, 2026, we entered into an accelerated share repurchase agreement (“ASR”) with a third-party financial institution under which we purchased $200 million of our outstanding common stock. On March 11, 2026, the third-party financial institution initially delivered to us approximately 8.4 million shares. The final total actual number of shares of common stock delivered to us was based generally upon a discount to the Rule 10b-18 volume-weighted average price at which the shares of our common stock traded during the regular trading sessions on the NASDAQ Global Select Market during the term of the ASR. The transactions were accounted for as equity transactions and were included in treasury stock, at which time there was an immediate reduction in the weighted average common shares calculation for basic and diluted earnings per share. On June 30, 2026, we completed the ASR and upon final settlement on July 1, 2026, we received an additional 0.9 million shares of common stock. In total, we repurchased 9.3 million shares of common stock under the ASR at an average price of $21.59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44</w:t>
                      </w:r>
                    </w:p>
                  </w:txbxContent>
                </v:textbox>
                <w10:wrap type="none"/>
              </v:rect>
            </w:pict>
          </mc:Fallback>
        </mc:AlternateContent>
      </w:r>
    </w:p>
    <w:p>
      <w:pPr>
        <w:pStyle w:val="TextBody"/>
        <w:bidi w:val="0"/>
        <w:spacing w:before="0" w:after="0"/>
        <w:jc w:val="left"/>
        <w:rPr/>
      </w:pPr>
      <w:r>
        <w:rPr/>
      </w:r>
    </w:p>
    <w:tbl>
      <w:tblPr>
        <w:tblW w:w="3955" w:type="dxa"/>
        <w:jc w:val="center"/>
        <w:tblInd w:w="0" w:type="dxa"/>
        <w:tblLayout w:type="fixed"/>
        <w:tblCellMar>
          <w:top w:w="28" w:type="dxa"/>
          <w:left w:w="28" w:type="dxa"/>
          <w:bottom w:w="28" w:type="dxa"/>
          <w:right w:w="28" w:type="dxa"/>
        </w:tblCellMar>
      </w:tblPr>
      <w:tblGrid>
        <w:gridCol w:w="141"/>
        <w:gridCol w:w="124"/>
        <w:gridCol w:w="124"/>
        <w:gridCol w:w="1064"/>
        <w:gridCol w:w="1064"/>
        <w:gridCol w:w="1066"/>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10.</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Under the 2026 Share Repurchase Program, repurchases may continue to occur from time to time and through a variety of methods, including open market repurchases, repurchases effected through Rule 10b5-1 trading plans, negotiated or block purchases, accelerated share repurchase programs, tender offers, or other similar transactions. The timing and volume of any repurchases are subject to market conditions, and there can be no guarantee that the Company will repurchase up to the limit of the 2026 Share Repurchase Program. </w:t>
      </w:r>
    </w:p>
    <w:p>
      <w:pPr>
        <w:pStyle w:val="TextBody"/>
        <w:bidi w:val="0"/>
        <w:spacing w:lineRule="auto" w:line="256" w:before="120" w:after="283"/>
        <w:ind w:left="0" w:right="0" w:firstLine="495"/>
        <w:jc w:val="left"/>
        <w:rPr>
          <w:rFonts w:ascii="Arial;sans-serif" w:hAnsi="Arial;sans-serif"/>
          <w:b w:val="false"/>
          <w:i/>
          <w:color w:val="000000"/>
          <w:sz w:val="20"/>
        </w:rPr>
      </w:pPr>
      <w:r>
        <w:rPr>
          <w:rFonts w:ascii="Arial;sans-serif" w:hAnsi="Arial;sans-serif"/>
          <w:b w:val="false"/>
          <w:i/>
          <w:color w:val="000000"/>
          <w:sz w:val="20"/>
        </w:rPr>
        <w:t>Share Repurchases under Rule 10b5-1 Trading Plans</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three months ended September 30, 2026 and 2025, we repurchased 5.1 million and 5.6 million shares, respectively, of our common stock at a total cost of $132 million and $166 million, respectively, and during the nine months ended September 30, 2026 and 2025, we repurchased 8.8 million and 9.0 million shares, respectively, of our common stock at a total cost of $223 million and $266 million, respectively, under Rule 10b5-1 trading plans authorized under our share repurchase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11. Earnings (Loss) per Common Share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Basic earnings (loss) per common share (“EPS”) are calculated using the weighted average number of shares of common stock outstanding during each period. A reconciliation of the numerators and denominators of the basic and diluted EPS calculations follows. </w:t>
      </w:r>
    </w:p>
    <w:p>
      <w:pPr>
        <w:pStyle w:val="TextBody"/>
        <w:bidi w:val="0"/>
        <w:spacing w:before="90" w:after="283"/>
        <w:ind w:left="0" w:right="0" w:firstLine="495"/>
        <w:jc w:val="left"/>
        <w:rPr/>
      </w:pPr>
      <w:r>
        <w:rPr/>
      </w:r>
    </w:p>
    <w:tbl>
      <w:tblPr>
        <w:tblW w:w="10205" w:type="dxa"/>
        <w:jc w:val="center"/>
        <w:tblInd w:w="0" w:type="dxa"/>
        <w:tblLayout w:type="fixed"/>
        <w:tblCellMar>
          <w:top w:w="28" w:type="dxa"/>
          <w:left w:w="28" w:type="dxa"/>
          <w:bottom w:w="28" w:type="dxa"/>
          <w:right w:w="28" w:type="dxa"/>
        </w:tblCellMar>
      </w:tblPr>
      <w:tblGrid>
        <w:gridCol w:w="1675"/>
        <w:gridCol w:w="1332"/>
        <w:gridCol w:w="1335"/>
        <w:gridCol w:w="109"/>
        <w:gridCol w:w="109"/>
        <w:gridCol w:w="109"/>
        <w:gridCol w:w="211"/>
        <w:gridCol w:w="750"/>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7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w:t>
              <w:br/>
              <w:t> September 30,</w:t>
            </w:r>
          </w:p>
        </w:tc>
      </w:tr>
      <w:tr>
        <w:trPr/>
        <w:tc>
          <w:tcPr>
            <w:tcW w:w="434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44F82"/>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Numerator: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334,218 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511,662 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SLM Corporation common stock</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(35,904)</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131,856 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323,439 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499,740 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used to compute basic EPS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207,144 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189,831 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209,023 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Dilutive effect of stock options, restricted stock, restricted stock units, performance stock units, dividend equivalent units, and Employee Stock Purchase Plan (“ESPP”) </w:t>
            </w:r>
            <w:r>
              <w:rPr>
                <w:rFonts w:ascii="Arial;sans-serif" w:hAnsi="Arial;sans-serif"/>
                <w:b w:val="false"/>
                <w:color w:val="000000"/>
                <w:sz w:val="12"/>
              </w:rPr>
              <w:t>(1)(2)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used to compute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Basic earnings (loss) per common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495"/>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 xml:space="preserve">Includes the potential dilutive effect of additional common shares that are issuable upon exercise of outstanding stock options, restricted stock, restricted stock units, performance stock units, dividend equivalent units, and the outstanding commitment to issue shares under the ESPP, determined by the treasury stock method. </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(2)</w:t>
      </w:r>
      <w:r>
        <w:rPr>
          <w:color w:val="000000"/>
        </w:rPr>
        <w:t> </w:t>
      </w:r>
      <w:r>
        <w:rPr>
          <w:rFonts w:ascii="Arial;sans-serif" w:hAnsi="Arial;sans-serif"/>
          <w:b w:val="false"/>
          <w:color w:val="000000"/>
          <w:sz w:val="16"/>
        </w:rPr>
        <w:t xml:space="preserve">For the three months ended September 30, 2026 and 2025, securities covering approximately 5 million shares and less than 1 million shares, respectively, and for both the nine months ended September 30, 2026 and 2025, securities covering less than 1 million shares were outstanding but not included in the computation of diluted earnings per share because they were anti-dilutive. </w:t>
      </w:r>
    </w:p>
    <w:p>
      <w:pPr>
        <w:pStyle w:val="TextBody"/>
        <w:bidi w:val="0"/>
        <w:spacing w:lineRule="auto" w:line="288" w:before="0" w:after="0"/>
        <w:ind w:left="0" w:right="0" w:hanging="18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12. Fair Value Measurements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use estimates of fair value in applying various accounting standards for our consolidated financial statements.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 xml:space="preserve">We categorize our fair value estimates based on a hierarchical framework associated with three levels of price transparency utilized in measuring financial instruments at fair value. For additional information regarding our policies for determining fair value and the hierarchical framework, see Note 2, “Significant Accounting Policies - Fair Value Measurement” in our 2025 Form 10-K.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During the nine months ended September 30, 2026, there were no significant transfers of financial instruments between levels or changes in our methodology or assumptions used to value our financial instruments.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summarizes the valuation of our financial instruments that are marked-to-fair value on a recurring basis.</w:t>
      </w:r>
    </w:p>
    <w:p>
      <w:pPr>
        <w:pStyle w:val="TextBody"/>
        <w:bidi w:val="0"/>
        <w:spacing w:before="0" w:after="0"/>
        <w:ind w:left="0" w:right="0" w:firstLine="450"/>
        <w:jc w:val="left"/>
        <w:rPr/>
      </w:pPr>
      <w:r>
        <w:rPr/>
      </w:r>
    </w:p>
    <w:tbl>
      <w:tblPr>
        <w:tblW w:w="13020" w:type="dxa"/>
        <w:jc w:val="center"/>
        <w:tblInd w:w="0" w:type="dxa"/>
        <w:tblLayout w:type="fixed"/>
        <w:tblCellMar>
          <w:top w:w="28" w:type="dxa"/>
          <w:left w:w="28" w:type="dxa"/>
          <w:bottom w:w="28" w:type="dxa"/>
          <w:right w:w="28" w:type="dxa"/>
        </w:tblCellMar>
      </w:tblPr>
      <w:tblGrid>
        <w:gridCol w:w="683"/>
        <w:gridCol w:w="566"/>
        <w:gridCol w:w="312"/>
        <w:gridCol w:w="109"/>
        <w:gridCol w:w="109"/>
        <w:gridCol w:w="109"/>
        <w:gridCol w:w="222"/>
        <w:gridCol w:w="428"/>
        <w:gridCol w:w="116"/>
        <w:gridCol w:w="109"/>
        <w:gridCol w:w="109"/>
        <w:gridCol w:w="109"/>
        <w:gridCol w:w="211"/>
        <w:gridCol w:w="976"/>
        <w:gridCol w:w="109"/>
        <w:gridCol w:w="109"/>
        <w:gridCol w:w="109"/>
        <w:gridCol w:w="109"/>
        <w:gridCol w:w="211"/>
        <w:gridCol w:w="721"/>
        <w:gridCol w:w="109"/>
        <w:gridCol w:w="109"/>
        <w:gridCol w:w="109"/>
        <w:gridCol w:w="109"/>
        <w:gridCol w:w="211"/>
        <w:gridCol w:w="976"/>
        <w:gridCol w:w="109"/>
        <w:gridCol w:w="109"/>
        <w:gridCol w:w="109"/>
        <w:gridCol w:w="109"/>
        <w:gridCol w:w="222"/>
        <w:gridCol w:w="428"/>
        <w:gridCol w:w="116"/>
        <w:gridCol w:w="109"/>
        <w:gridCol w:w="109"/>
        <w:gridCol w:w="109"/>
        <w:gridCol w:w="211"/>
        <w:gridCol w:w="976"/>
        <w:gridCol w:w="109"/>
        <w:gridCol w:w="109"/>
        <w:gridCol w:w="109"/>
        <w:gridCol w:w="109"/>
        <w:gridCol w:w="211"/>
        <w:gridCol w:w="721"/>
        <w:gridCol w:w="109"/>
        <w:gridCol w:w="109"/>
        <w:gridCol w:w="109"/>
        <w:gridCol w:w="109"/>
        <w:gridCol w:w="211"/>
        <w:gridCol w:w="97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2" w:type="dxa"/>
            <w:gridSpan w:val="4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Fair Value Measurements on a Recurring Basis</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December 31, 2025</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Total </w:t>
            </w:r>
          </w:p>
        </w:tc>
      </w:tr>
      <w:tr>
        <w:trPr/>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Trading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2,845,846 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1,807,320 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495"/>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46</w:t>
                      </w:r>
                    </w:p>
                  </w:txbxContent>
                </v:textbox>
                <w10:wrap type="none"/>
              </v:rect>
            </w:pict>
          </mc:Fallback>
        </mc:AlternateContent>
      </w:r>
    </w:p>
    <w:p>
      <w:pPr>
        <w:pStyle w:val="TextBody"/>
        <w:bidi w:val="0"/>
        <w:spacing w:before="0" w:after="0"/>
        <w:jc w:val="center"/>
        <w:rPr/>
      </w:pPr>
      <w:r>
        <w:rPr/>
      </w:r>
    </w:p>
    <w:tbl>
      <w:tblPr>
        <w:tblW w:w="4360" w:type="dxa"/>
        <w:jc w:val="center"/>
        <w:tblInd w:w="0" w:type="dxa"/>
        <w:tblLayout w:type="fixed"/>
        <w:tblCellMar>
          <w:top w:w="28" w:type="dxa"/>
          <w:left w:w="28" w:type="dxa"/>
          <w:bottom w:w="28" w:type="dxa"/>
          <w:right w:w="28" w:type="dxa"/>
        </w:tblCellMar>
      </w:tblPr>
      <w:tblGrid>
        <w:gridCol w:w="141"/>
        <w:gridCol w:w="124"/>
        <w:gridCol w:w="124"/>
        <w:gridCol w:w="1199"/>
        <w:gridCol w:w="1199"/>
        <w:gridCol w:w="1201"/>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12.</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Fair Value Measurements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summarizes the change in balance sheet carrying value associated with Level 3 financial instruments carried at fair value on a recurring basis.</w:t>
      </w:r>
    </w:p>
    <w:p>
      <w:pPr>
        <w:pStyle w:val="TextBody"/>
        <w:bidi w:val="0"/>
        <w:spacing w:before="0" w:after="0"/>
        <w:ind w:left="0" w:right="0" w:firstLine="450"/>
        <w:jc w:val="left"/>
        <w:rPr/>
      </w:pPr>
      <w:r>
        <w:rPr/>
      </w:r>
    </w:p>
    <w:tbl>
      <w:tblPr>
        <w:tblW w:w="10644" w:type="dxa"/>
        <w:jc w:val="left"/>
        <w:tblInd w:w="0" w:type="dxa"/>
        <w:tblLayout w:type="fixed"/>
        <w:tblCellMar>
          <w:top w:w="28" w:type="dxa"/>
          <w:left w:w="28" w:type="dxa"/>
          <w:bottom w:w="28" w:type="dxa"/>
          <w:right w:w="28" w:type="dxa"/>
        </w:tblCellMar>
      </w:tblPr>
      <w:tblGrid>
        <w:gridCol w:w="758"/>
        <w:gridCol w:w="311"/>
        <w:gridCol w:w="312"/>
        <w:gridCol w:w="109"/>
        <w:gridCol w:w="109"/>
        <w:gridCol w:w="109"/>
        <w:gridCol w:w="348"/>
        <w:gridCol w:w="1017"/>
        <w:gridCol w:w="181"/>
        <w:gridCol w:w="109"/>
        <w:gridCol w:w="109"/>
        <w:gridCol w:w="109"/>
        <w:gridCol w:w="211"/>
        <w:gridCol w:w="721"/>
        <w:gridCol w:w="109"/>
        <w:gridCol w:w="109"/>
        <w:gridCol w:w="109"/>
        <w:gridCol w:w="109"/>
        <w:gridCol w:w="211"/>
        <w:gridCol w:w="721"/>
        <w:gridCol w:w="109"/>
        <w:gridCol w:w="109"/>
        <w:gridCol w:w="109"/>
        <w:gridCol w:w="109"/>
        <w:gridCol w:w="348"/>
        <w:gridCol w:w="1017"/>
        <w:gridCol w:w="181"/>
        <w:gridCol w:w="109"/>
        <w:gridCol w:w="109"/>
        <w:gridCol w:w="109"/>
        <w:gridCol w:w="211"/>
        <w:gridCol w:w="721"/>
        <w:gridCol w:w="109"/>
        <w:gridCol w:w="109"/>
        <w:gridCol w:w="109"/>
        <w:gridCol w:w="109"/>
        <w:gridCol w:w="211"/>
        <w:gridCol w:w="721"/>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Nine Months Ended September 30,</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Investments</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 xml:space="preserve">Available-For-Sale - </w:t>
              <w:br/>
              <w:t>Debt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 xml:space="preserve">Trading - </w:t>
              <w:br/>
              <w:t>Residual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Available-For-Sale -</w:t>
              <w:br/>
              <w:t>Debt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 xml:space="preserve">Trading - </w:t>
              <w:br/>
              <w:t>Residual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w:t>
            </w:r>
          </w:p>
        </w:tc>
      </w:tr>
      <w:tr>
        <w:trPr/>
        <w:tc>
          <w:tcPr>
            <w:tcW w:w="1381" w:type="dxa"/>
            <w:gridSpan w:val="3"/>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Balance, beginning of period</w:t>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181"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09"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51,142 </w:t>
            </w:r>
          </w:p>
        </w:tc>
        <w:tc>
          <w:tcPr>
            <w:tcW w:w="109"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2,689 </w:t>
            </w:r>
          </w:p>
        </w:tc>
        <w:tc>
          <w:tcPr>
            <w:tcW w:w="181"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53,262 </w:t>
            </w:r>
          </w:p>
        </w:tc>
        <w:tc>
          <w:tcPr>
            <w:tcW w:w="109"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55,951 </w:t>
            </w:r>
          </w:p>
        </w:tc>
        <w:tc>
          <w:tcPr>
            <w:tcW w:w="154"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gains/(losses):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DEDE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Included in earnings (or changes in net assets)</w:t>
            </w:r>
            <w:r>
              <w:rPr>
                <w:rFonts w:ascii="Arial;sans-serif" w:hAnsi="Arial;sans-serif"/>
                <w:b w:val="false"/>
                <w:color w:val="000000"/>
                <w:sz w:val="12"/>
              </w:rPr>
              <w:t>(1)</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8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(7,662)</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(7,677)</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8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1,748 </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1,764 </w:t>
            </w:r>
          </w:p>
        </w:tc>
        <w:tc>
          <w:tcPr>
            <w:tcW w:w="154"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w:t>
            </w:r>
          </w:p>
        </w:tc>
        <w:tc>
          <w:tcPr>
            <w:tcW w:w="18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w:t>
            </w:r>
          </w:p>
        </w:tc>
        <w:tc>
          <w:tcPr>
            <w:tcW w:w="18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(3,047)</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(3,685)</w:t>
            </w:r>
          </w:p>
        </w:tc>
        <w:tc>
          <w:tcPr>
            <w:tcW w:w="154"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into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out of Level 3</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gains or losses for the period included in other comprehensive income for assets held at the end of the reporting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EDEDE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unrealized gains or losses for the period included in earnings (or changes in net assets) for assets held at the end of the reporting period</w:t>
            </w:r>
            <w:r>
              <w:rPr>
                <w:rFonts w:ascii="Arial;sans-serif" w:hAnsi="Arial;sans-serif"/>
                <w:b w:val="false"/>
                <w:color w:val="000000"/>
                <w:sz w:val="12"/>
              </w:rPr>
              <w:t>(2)</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(7,662)</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(7,662)</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1,748 </w:t>
            </w:r>
          </w:p>
        </w:tc>
        <w:tc>
          <w:tcPr>
            <w:tcW w:w="109"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EDEDE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1,748 </w:t>
            </w:r>
          </w:p>
        </w:tc>
        <w:tc>
          <w:tcPr>
            <w:tcW w:w="154" w:type="dxa"/>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10"/>
        </w:rPr>
        <w:t xml:space="preserve">(1) </w:t>
      </w:r>
      <w:r>
        <w:rPr>
          <w:rFonts w:ascii="Arial;sans-serif" w:hAnsi="Arial;sans-serif"/>
          <w:b w:val="false"/>
          <w:color w:val="000000"/>
          <w:sz w:val="16"/>
        </w:rPr>
        <w:t>Included in earnings (or changes in net assets) is comprised of the amounts recorded in the specified line item in the consolidated statements of operations:</w:t>
      </w:r>
    </w:p>
    <w:p>
      <w:pPr>
        <w:pStyle w:val="TextBody"/>
        <w:bidi w:val="0"/>
        <w:spacing w:before="0" w:after="0"/>
        <w:ind w:left="0" w:right="0" w:hanging="270"/>
        <w:jc w:val="left"/>
        <w:rPr/>
      </w:pPr>
      <w:r>
        <w:rPr/>
      </w:r>
    </w:p>
    <w:tbl>
      <w:tblPr>
        <w:tblW w:w="5512" w:type="dxa"/>
        <w:jc w:val="left"/>
        <w:tblInd w:w="0" w:type="dxa"/>
        <w:tblLayout w:type="fixed"/>
        <w:tblCellMar>
          <w:top w:w="28" w:type="dxa"/>
          <w:left w:w="28" w:type="dxa"/>
          <w:bottom w:w="28" w:type="dxa"/>
          <w:right w:w="28" w:type="dxa"/>
        </w:tblCellMar>
      </w:tblPr>
      <w:tblGrid>
        <w:gridCol w:w="835"/>
        <w:gridCol w:w="736"/>
        <w:gridCol w:w="738"/>
        <w:gridCol w:w="109"/>
        <w:gridCol w:w="109"/>
        <w:gridCol w:w="109"/>
        <w:gridCol w:w="260"/>
        <w:gridCol w:w="838"/>
        <w:gridCol w:w="144"/>
        <w:gridCol w:w="144"/>
        <w:gridCol w:w="144"/>
        <w:gridCol w:w="144"/>
        <w:gridCol w:w="260"/>
        <w:gridCol w:w="738"/>
        <w:gridCol w:w="20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Nine Months Ended September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309" w:type="dxa"/>
            <w:gridSpan w:val="3"/>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 Investments</w:t>
            </w:r>
          </w:p>
        </w:tc>
        <w:tc>
          <w:tcPr>
            <w:tcW w:w="327"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44"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ED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EDEDE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04" w:type="dxa"/>
            <w:tcBorders>
              <w:top w:val="single" w:sz="8" w:space="0" w:color="000000"/>
            </w:tcBorders>
            <w:shd w:fill="EDEDE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EDEDE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w:t>
            </w:r>
          </w:p>
        </w:tc>
        <w:tc>
          <w:tcPr>
            <w:tcW w:w="327" w:type="dxa"/>
            <w:gridSpan w:val="3"/>
            <w:tcBorders/>
            <w:shd w:fill="ED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(7,677)</w:t>
            </w:r>
          </w:p>
        </w:tc>
        <w:tc>
          <w:tcPr>
            <w:tcW w:w="144"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double" w:sz="8" w:space="0" w:color="000000"/>
            </w:tcBorders>
            <w:shd w:fill="EDEDED" w:val="clear"/>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1,764 </w:t>
            </w:r>
          </w:p>
        </w:tc>
        <w:tc>
          <w:tcPr>
            <w:tcW w:w="204" w:type="dxa"/>
            <w:tcBorders>
              <w:top w:val="single" w:sz="8" w:space="0" w:color="000000"/>
              <w:bottom w:val="double" w:sz="8" w:space="0" w:color="000000"/>
            </w:tcBorders>
            <w:shd w:fill="EDEDE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315"/>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Recorded in "losses on securities, net" in the consolidated statements of operations.</w:t>
      </w:r>
    </w:p>
    <w:p>
      <w:pPr>
        <w:pStyle w:val="TextBody"/>
        <w:bidi w:val="0"/>
        <w:spacing w:before="0" w:after="0"/>
        <w:ind w:left="0" w:right="0" w:hanging="315"/>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significant unobservable inputs used in the recurring valuations of the Level 3 financial instruments detailed above.</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08"/>
        <w:gridCol w:w="624"/>
        <w:gridCol w:w="625"/>
        <w:gridCol w:w="109"/>
        <w:gridCol w:w="109"/>
        <w:gridCol w:w="109"/>
        <w:gridCol w:w="211"/>
        <w:gridCol w:w="721"/>
        <w:gridCol w:w="109"/>
        <w:gridCol w:w="109"/>
        <w:gridCol w:w="109"/>
        <w:gridCol w:w="109"/>
        <w:gridCol w:w="585"/>
        <w:gridCol w:w="572"/>
        <w:gridCol w:w="574"/>
        <w:gridCol w:w="109"/>
        <w:gridCol w:w="109"/>
        <w:gridCol w:w="109"/>
        <w:gridCol w:w="718"/>
        <w:gridCol w:w="718"/>
        <w:gridCol w:w="720"/>
        <w:gridCol w:w="109"/>
        <w:gridCol w:w="109"/>
        <w:gridCol w:w="109"/>
        <w:gridCol w:w="587"/>
        <w:gridCol w:w="585"/>
        <w:gridCol w:w="840"/>
      </w:tblGrid>
      <w:tr>
        <w:trPr/>
        <w:tc>
          <w:tcPr>
            <w:tcW w:w="7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As of September 30, 2026</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Range (Average)</w:t>
            </w:r>
          </w:p>
        </w:tc>
      </w:tr>
      <w:tr>
        <w:trPr/>
        <w:tc>
          <w:tcPr>
            <w:tcW w:w="195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Discounted cash flow</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Constant Prepayment Rate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 xml:space="preserve">7.0%-10.9% (8.3%) </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Probability of default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 xml:space="preserve">2.9%-17.9% (10.3%) </w:t>
            </w:r>
          </w:p>
        </w:tc>
      </w:tr>
      <w:tr>
        <w:trPr/>
        <w:tc>
          <w:tcPr>
            <w:tcW w:w="195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Residual Interests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Discounted cash flow</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Constant Prepayment 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7.0%-10.9% (8.3%)</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Probability of default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18"/>
              </w:rPr>
              <w:t xml:space="preserve">2.9%-17.9% (10.3%) </w:t>
            </w:r>
          </w:p>
        </w:tc>
      </w:tr>
      <w:tr>
        <w:trPr/>
        <w:tc>
          <w:tcPr>
            <w:tcW w:w="195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42,572 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47</w:t>
                      </w:r>
                    </w:p>
                  </w:txbxContent>
                </v:textbox>
                <w10:wrap type="none"/>
              </v:rect>
            </w:pict>
          </mc:Fallback>
        </mc:AlternateContent>
      </w:r>
    </w:p>
    <w:p>
      <w:pPr>
        <w:pStyle w:val="TextBody"/>
        <w:bidi w:val="0"/>
        <w:spacing w:before="0" w:after="0"/>
        <w:jc w:val="center"/>
        <w:rPr/>
      </w:pPr>
      <w:r>
        <w:rPr/>
      </w:r>
    </w:p>
    <w:tbl>
      <w:tblPr>
        <w:tblW w:w="4360" w:type="dxa"/>
        <w:jc w:val="center"/>
        <w:tblInd w:w="0" w:type="dxa"/>
        <w:tblLayout w:type="fixed"/>
        <w:tblCellMar>
          <w:top w:w="28" w:type="dxa"/>
          <w:left w:w="28" w:type="dxa"/>
          <w:bottom w:w="28" w:type="dxa"/>
          <w:right w:w="28" w:type="dxa"/>
        </w:tblCellMar>
      </w:tblPr>
      <w:tblGrid>
        <w:gridCol w:w="141"/>
        <w:gridCol w:w="124"/>
        <w:gridCol w:w="124"/>
        <w:gridCol w:w="1199"/>
        <w:gridCol w:w="1199"/>
        <w:gridCol w:w="1201"/>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12.</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Fair Value Measurements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significant inputs detailed in the above table would be expected to have the following impacts to the valuations: </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 xml:space="preserve">A decrease in constant prepayment rate (“CPR”) would result in a longer weighted average life of the trust, resulting in a decrease to the valuation due to the delay in residual cash flows with the increased term. The opposite is true for an increase in the CPR. </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 xml:space="preserve">A decrease in the probability of defaults means increased principal receipts, resulting in an increase to the valuation due to the increase in residual cash flow. </w:t>
      </w:r>
    </w:p>
    <w:p>
      <w:pPr>
        <w:pStyle w:val="TextBody"/>
        <w:bidi w:val="0"/>
        <w:spacing w:lineRule="auto" w:line="288" w:before="120" w:after="283"/>
        <w:ind w:left="0" w:right="0" w:hanging="180"/>
        <w:jc w:val="left"/>
        <w:rPr/>
      </w:pPr>
      <w:r>
        <w:rPr>
          <w:color w:val="000000"/>
        </w:rPr>
        <w:t>•</w:t>
      </w:r>
      <w:r>
        <w:rPr>
          <w:rFonts w:ascii="Arial;sans-serif" w:hAnsi="Arial;sans-serif"/>
          <w:b w:val="false"/>
          <w:color w:val="000000"/>
          <w:sz w:val="20"/>
        </w:rPr>
        <w:t>Conversely, an increase in the probability of defaults means decreased principal receipts, resulting in a decrease to the valuation due to the decrease in residual cash flow.</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fair values of our financial assets and liabilities, including derivative financial instruments.</w:t>
      </w:r>
    </w:p>
    <w:p>
      <w:pPr>
        <w:pStyle w:val="TextBody"/>
        <w:bidi w:val="0"/>
        <w:spacing w:before="0" w:after="0"/>
        <w:ind w:left="0" w:right="0" w:firstLine="720"/>
        <w:jc w:val="left"/>
        <w:rPr/>
      </w:pPr>
      <w:r>
        <w:rPr/>
      </w:r>
    </w:p>
    <w:tbl>
      <w:tblPr>
        <w:tblW w:w="11764" w:type="dxa"/>
        <w:jc w:val="center"/>
        <w:tblInd w:w="0" w:type="dxa"/>
        <w:tblLayout w:type="fixed"/>
        <w:tblCellMar>
          <w:top w:w="28" w:type="dxa"/>
          <w:left w:w="28" w:type="dxa"/>
          <w:bottom w:w="28" w:type="dxa"/>
          <w:right w:w="28" w:type="dxa"/>
        </w:tblCellMar>
      </w:tblPr>
      <w:tblGrid>
        <w:gridCol w:w="944"/>
        <w:gridCol w:w="372"/>
        <w:gridCol w:w="245"/>
        <w:gridCol w:w="109"/>
        <w:gridCol w:w="109"/>
        <w:gridCol w:w="109"/>
        <w:gridCol w:w="211"/>
        <w:gridCol w:w="1081"/>
        <w:gridCol w:w="109"/>
        <w:gridCol w:w="109"/>
        <w:gridCol w:w="109"/>
        <w:gridCol w:w="109"/>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09"/>
        <w:gridCol w:w="109"/>
        <w:gridCol w:w="109"/>
        <w:gridCol w:w="109"/>
        <w:gridCol w:w="211"/>
        <w:gridCol w:w="976"/>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December 31, 2025</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Difference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Difference</w:t>
            </w:r>
          </w:p>
        </w:tc>
      </w:tr>
      <w:tr>
        <w:trPr/>
        <w:tc>
          <w:tcPr>
            <w:tcW w:w="15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sale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1,455,605 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1,442,105 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947,078 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933,256 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13,822 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Trading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1,733,869 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1,680,595 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53,274 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1,662,640 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1,562,811 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99,829 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earning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30,979,536 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28,802,463 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2,177,073 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31,856,437 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28,876,776 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2,979,661 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Money-market and savings accounts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10,290,813 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10,346,208 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55,395 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11,187,471 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11,182,022 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9,830,811 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489,802 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8,613 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97,524 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97,524 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liabilities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27,003,149 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27,279,730 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276,581 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26,982,525 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27,018,408 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35,883 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Excess of net asset fair value over carrying value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2,453,654 </w:t>
            </w:r>
          </w:p>
        </w:tc>
        <w:tc>
          <w:tcPr>
            <w:tcW w:w="109"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EDEDEE"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3,015,544 </w:t>
            </w:r>
          </w:p>
        </w:tc>
        <w:tc>
          <w:tcPr>
            <w:tcW w:w="154" w:type="dxa"/>
            <w:tcBorders>
              <w:bottom w:val="double" w:sz="8" w:space="0" w:color="000000"/>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Please refer to Note 16, “Fair Value Measurements” in our 2025 Form 10-K for a full discussion of the methods and assumptions used to estimate the fair value of each class of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13. Regulatory Capital</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Sallie Mae Bank (the “Bank”) is subject to various regulatory capital requirements administered by the FDIC and the Utah Department of Financial Institutions. Failure to meet minimum capital requirements can initiate certain mandatory and possibly additional discretionary actions by regulators that, if undertaken, could have a direct material adverse effect on our business, results of operations, and financial position. Under the FDIC’s regulations implementing the Basel III capital framework (“U.S. Basel III”) and the regulatory framework for prompt corrective action, the Bank must meet specific capital standards that involve quantitative measures of its assets, liabilities, and certain off-balance sheet items as calculated under regulatory accounting practices. The Bank’s capital amounts and its classification under the prompt corrective action framework are also subject to qualitative judgments by the regulators about components of capital, risk weightings, and other factors.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Bank is subject to the following minimum capital ratios under U.S. Basel III: a Common Equity Tier 1 risk-based capital ratio of 4.5 percent, a Tier 1 risk-based capital ratio of 6.0 percent, a Total risk-based capital ratio of 8.0 percent, and a Tier 1 leverage ratio of 4.0 percent. In addition, the Bank is subject to a Common Equity Tier 1 capital conservation buffer of greater than 2.5 percent. Failure to maintain the buffer will result in restrictions on the Bank’s ability to make capital distributions, including the payment of dividends, and to pay discretionary bonuses to executive officers. Including the buffer, the Bank is required to maintain the following capital ratios under U.S. Basel III in order to avoid such restrictions: a Common Equity Tier 1 risk-based capital ratio of greater than 7.0 percent, a Tier 1 risk-based capital ratio of greater than 8.5 percent, and a Total risk-based capital ratio of greater than 10.5 percent.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To qualify as “well capitalized” under the prompt corrective action framework for insured depository institutions, the Bank must maintain a Common Equity Tier 1 risk-based capital ratio of at least 6.5 percent, a Tier 1 risk-based capital ratio of at least 8.0 percent, a Total risk-based capital ratio of at least 10.0 percent, and a Tier 1 leverage ratio of at least 5.0 percent.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See Note 17, “Regulatory Capital” in our 2025 Form 10-K for additional information regarding the adjusted transition amounts.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Bank’s required and actual regulatory capital amounts and ratios, including applicable capital conservation buffers, under U.S. Basel III are shown in the following table. The following capital amounts and ratios are based upon the Bank’s average assets and risk-weighted assets, as indicated. The Bank has elected to exclude accumulated other comprehensive income related to both available-for-sale investments and swap valuations from Common Equity Tier 1 Capital.</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3"/>
        <w:gridCol w:w="1446"/>
        <w:gridCol w:w="1447"/>
        <w:gridCol w:w="109"/>
        <w:gridCol w:w="109"/>
        <w:gridCol w:w="109"/>
        <w:gridCol w:w="211"/>
        <w:gridCol w:w="976"/>
        <w:gridCol w:w="109"/>
        <w:gridCol w:w="255"/>
        <w:gridCol w:w="256"/>
        <w:gridCol w:w="310"/>
        <w:gridCol w:w="109"/>
        <w:gridCol w:w="109"/>
        <w:gridCol w:w="109"/>
        <w:gridCol w:w="258"/>
        <w:gridCol w:w="1196"/>
        <w:gridCol w:w="132"/>
        <w:gridCol w:w="132"/>
        <w:gridCol w:w="132"/>
        <w:gridCol w:w="132"/>
        <w:gridCol w:w="255"/>
        <w:gridCol w:w="256"/>
        <w:gridCol w:w="395"/>
      </w:tblGrid>
      <w:tr>
        <w:trPr/>
        <w:tc>
          <w:tcPr>
            <w:tcW w:w="165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54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8"/>
              </w:rPr>
            </w:pPr>
            <w:r>
              <w:rPr>
                <w:rFonts w:ascii="Arial;sans-serif" w:hAnsi="Arial;sans-serif"/>
                <w:b/>
                <w:color w:val="144F82"/>
                <w:sz w:val="18"/>
              </w:rPr>
              <w:t>U.S. Basel III Minimum</w:t>
            </w:r>
          </w:p>
          <w:p>
            <w:pPr>
              <w:pStyle w:val="TableContents"/>
              <w:bidi w:val="0"/>
              <w:spacing w:lineRule="auto" w:line="240" w:before="0" w:after="0"/>
              <w:jc w:val="center"/>
              <w:rPr/>
            </w:pPr>
            <w:r>
              <w:rPr>
                <w:rFonts w:ascii="Arial;sans-serif" w:hAnsi="Arial;sans-serif"/>
                <w:b/>
                <w:color w:val="144F82"/>
                <w:sz w:val="18"/>
              </w:rPr>
              <w:t>Requirements Plus Buffer</w:t>
            </w:r>
            <w:r>
              <w:rPr>
                <w:rFonts w:ascii="Arial;sans-serif" w:hAnsi="Arial;sans-serif"/>
                <w:b/>
                <w:color w:val="144F82"/>
                <w:sz w:val="12"/>
              </w:rPr>
              <w:t>(1)(2)</w:t>
            </w:r>
          </w:p>
        </w:tc>
      </w:tr>
      <w:tr>
        <w:trPr/>
        <w:tc>
          <w:tcPr>
            <w:tcW w:w="454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Amount</w:t>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Amount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Ratio</w:t>
            </w:r>
          </w:p>
        </w:tc>
      </w:tr>
      <w:tr>
        <w:trPr/>
        <w:tc>
          <w:tcPr>
            <w:tcW w:w="4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As of 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2,958,577 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1,855,452 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2,253,049 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3,304,955 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2,783,178 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1,147,761 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1,849,590 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2,245,930 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3,274,883 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2,774,384 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1,186,335 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20" w:after="283"/>
        <w:ind w:left="0" w:right="0" w:firstLine="45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80"/>
        <w:jc w:val="left"/>
        <w:rPr/>
      </w:pPr>
      <w:r>
        <w:rPr>
          <w:rFonts w:ascii="Arial;sans-serif" w:hAnsi="Arial;sans-serif"/>
          <w:b w:val="false"/>
          <w:color w:val="000000"/>
          <w:sz w:val="9"/>
        </w:rPr>
        <w:t>(1)</w:t>
      </w:r>
      <w:r>
        <w:rPr>
          <w:color w:val="000000"/>
        </w:rPr>
        <w:t>    </w:t>
      </w:r>
      <w:r>
        <w:rPr>
          <w:rFonts w:ascii="Arial;sans-serif" w:hAnsi="Arial;sans-serif"/>
          <w:b w:val="false"/>
          <w:color w:val="000000"/>
          <w:sz w:val="16"/>
        </w:rPr>
        <w:t xml:space="preserve">Reflects the U.S. Basel III minimum required ratio plus the applicable capital conservation buffer. </w:t>
      </w:r>
    </w:p>
    <w:p>
      <w:pPr>
        <w:pStyle w:val="TextBody"/>
        <w:bidi w:val="0"/>
        <w:spacing w:lineRule="auto" w:line="288" w:before="0" w:after="0"/>
        <w:ind w:left="0" w:right="0" w:hanging="180"/>
        <w:jc w:val="left"/>
        <w:rPr/>
      </w:pPr>
      <w:r>
        <w:rPr>
          <w:rFonts w:ascii="Arial;sans-serif" w:hAnsi="Arial;sans-serif"/>
          <w:b w:val="false"/>
          <w:color w:val="000000"/>
          <w:sz w:val="9"/>
        </w:rPr>
        <w:t>(2)</w:t>
      </w:r>
      <w:r>
        <w:rPr>
          <w:color w:val="000000"/>
        </w:rPr>
        <w:t>    </w:t>
      </w:r>
      <w:r>
        <w:rPr>
          <w:rFonts w:ascii="Arial;sans-serif" w:hAnsi="Arial;sans-serif"/>
          <w:b w:val="false"/>
          <w:color w:val="000000"/>
          <w:sz w:val="16"/>
        </w:rPr>
        <w:t xml:space="preserve">The Bank’s regulatory capital ratios also exceeded all applicable standards for the Bank to qualify as “well capitalized” under the prompt corrective action framework. </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49</w:t>
                      </w:r>
                    </w:p>
                  </w:txbxContent>
                </v:textbox>
                <w10:wrap type="none"/>
              </v:rect>
            </w:pict>
          </mc:Fallback>
        </mc:AlternateContent>
      </w:r>
    </w:p>
    <w:p>
      <w:pPr>
        <w:pStyle w:val="TextBody"/>
        <w:bidi w:val="0"/>
        <w:spacing w:before="0" w:after="0"/>
        <w:jc w:val="left"/>
        <w:rPr/>
      </w:pPr>
      <w:r>
        <w:rPr/>
      </w:r>
    </w:p>
    <w:tbl>
      <w:tblPr>
        <w:tblW w:w="3716" w:type="dxa"/>
        <w:jc w:val="center"/>
        <w:tblInd w:w="0" w:type="dxa"/>
        <w:tblLayout w:type="fixed"/>
        <w:tblCellMar>
          <w:top w:w="28" w:type="dxa"/>
          <w:left w:w="28" w:type="dxa"/>
          <w:bottom w:w="28" w:type="dxa"/>
          <w:right w:w="28" w:type="dxa"/>
        </w:tblCellMar>
      </w:tblPr>
      <w:tblGrid>
        <w:gridCol w:w="141"/>
        <w:gridCol w:w="124"/>
        <w:gridCol w:w="124"/>
        <w:gridCol w:w="984"/>
        <w:gridCol w:w="984"/>
        <w:gridCol w:w="987"/>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13.</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Regulatory Capital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left"/>
        <w:rPr>
          <w:rFonts w:ascii="Arial;sans-serif" w:hAnsi="Arial;sans-serif"/>
          <w:b w:val="false"/>
          <w:i/>
          <w:color w:val="000000"/>
          <w:sz w:val="20"/>
        </w:rPr>
      </w:pPr>
      <w:r>
        <w:rPr>
          <w:rFonts w:ascii="Arial;sans-serif" w:hAnsi="Arial;sans-serif"/>
          <w:b w:val="false"/>
          <w:i/>
          <w:color w:val="000000"/>
          <w:sz w:val="20"/>
        </w:rPr>
        <w:t>Bank Dividends</w:t>
      </w:r>
    </w:p>
    <w:p>
      <w:pPr>
        <w:pStyle w:val="TextBody"/>
        <w:bidi w:val="0"/>
        <w:spacing w:before="0" w:after="0"/>
        <w:jc w:val="left"/>
        <w:rPr/>
      </w:pPr>
      <w:r>
        <w:rPr/>
      </w:r>
    </w:p>
    <w:p>
      <w:pPr>
        <w:pStyle w:val="TextBody"/>
        <w:bidi w:val="0"/>
        <w:spacing w:lineRule="auto" w:line="28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The Bank is chartered under the laws of the State of Utah, and its deposits are insured by the FDIC. The Bank’s ability to pay dividends is subject to the laws of Utah and the regulations of the FDIC. Generally, under Utah’s industrial bank laws and regulations as well as FDIC regulations, the Bank may pay dividends from its net profits without regulatory approval if, following the payment of the dividend, the Bank’s capital and surplus would not be impaired. The Company relies on dividends from the Bank, as necessary, to enable the Company to pay any declared dividends and other payments and consummate share repurchases, as necessary. The Bank declared $50 million and $450 million in dividends to the Company for the three and nine months ended September 30, 2026, respectively, and $100 million and $294 million in dividends to the Company for the three and nine months ended September 30, 2025, respectively, with the proceeds primarily used to fund share repurchase programs and stock dividends.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14. Commitments, Contingencies and Guarantees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Commitments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When we approve a Private Education Loan at the beginning of an academic year, that approval may cover the borrowing for the entire academic year. As such, we do not always disburse the full amount of the loan at the time of such approval but, instead, have a commitment to fund a portion of the loan later (usually at the start of the second semester or subsequent trimesters). We estimate expected credit losses over the contractual period that we are exposed to credit risk via a contractual obligation to extend credit, unless that obligation is unconditionally cancellable by us. At September 30, 2026, we had $3.2 billion of outstanding contractual loan commitments that we expect to fund during the remainder of the 2026/2027 academic year, including $672 million of contractual loan commitments associated with loans classified as held for sale. At September 30, 2026, we had a $94 million reserve recorded in “Other Liabilities” to cover lifetime expected credit losses on the unfunded commitments. See Note 2, “Significant Accounting Policies - Allowance for Credit Losses — Off-Balance Sheet Exposure for Contractual Loan Commitments” in our 2025 Form 10-K and Note 5, “Allowance for Credit Losses and Unfunded Loan Commitments” in this Form 10-Q for additional information.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Contingencies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In the ordinary course of business, we and our subsidiaries are routinely defendants in or parties to pending and threatened legal actions and proceedings, including actions brought on behalf of various classes of claimants. These actions and proceedings may be based on alleged violations of consumer protection, securities, employment, and other laws. In certain of these actions and proceedings, claims for substantial monetary damage may be asserted against us and our subsidiaries.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It is common for the Company, our subsidiaries, and affiliates to receive information and document requests and investigative demands from state attorneys general, legislative committees, and administrative agencies. These requests may be for informational or regulatory purposes and may relate to our business practices, the industries in which we operate, or other companies with whom we conduct business. Our practice has been and continues to be to cooperate with these bodies and be responsive to any such requests.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We are required to establish reserves for litigation and regulatory matters where those matters present loss contingencies that are both probable and estimable. When loss contingencies are not both probable and estimable, we do not establish reserves.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Securities Class Action Litigation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December 19, 2025, a putative securities class action lawsuit was filed against SLM Corporation and certain of its officers in the United States District Court for the District of New Jersey, captioned Zappia v. SLM Corporation, et al. The complaint asserts claims under Section 10(b) and Section 20(a) of the Securities and Exchange Act of 1934, on behalf of a putative class of persons and entities who purchased (or otherwise acquired) the Company’s securities. The complaint contends that certain statements made by the Company and certain of its officers were allegedly false or misleading, and seeks unspecified damages on behalf of the putative class. The Company intends to defend itself vigorously. Plaintiff filed a Motion to Appoint Lead Plaintiff on February 17, 2026; the Court granted that motion on April 1, 2026. On June 8, 2026, Plaintiff filed his First Amended Class Action Complaint. On August 7, 2026, the Company filed a Motion to Dismiss. On October 6, 2026, Plaintiff filed an opposition brief in response to the Company’s Motion to Dismiss.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6281" w:type="dxa"/>
        <w:jc w:val="center"/>
        <w:tblInd w:w="0" w:type="dxa"/>
        <w:tblLayout w:type="fixed"/>
        <w:tblCellMar>
          <w:top w:w="28" w:type="dxa"/>
          <w:left w:w="28" w:type="dxa"/>
          <w:bottom w:w="28" w:type="dxa"/>
          <w:right w:w="28" w:type="dxa"/>
        </w:tblCellMar>
      </w:tblPr>
      <w:tblGrid>
        <w:gridCol w:w="141"/>
        <w:gridCol w:w="124"/>
        <w:gridCol w:w="124"/>
        <w:gridCol w:w="1839"/>
        <w:gridCol w:w="1839"/>
        <w:gridCol w:w="1842"/>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14.</w:t>
            </w:r>
          </w:p>
        </w:tc>
        <w:tc>
          <w:tcPr>
            <w:tcW w:w="552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0"/>
              </w:rPr>
            </w:pPr>
            <w:r>
              <w:rPr>
                <w:rFonts w:ascii="Arial;sans-serif" w:hAnsi="Arial;sans-serif"/>
                <w:b/>
                <w:color w:val="000000"/>
                <w:sz w:val="20"/>
              </w:rPr>
              <w:t>Commitments, Contingencies and Guarantees (Continued)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At this time, the Company is unable to predict the outcome of this matter or estimate the possible loss or range of loss, if any, that may result from this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15. Segment Reporting</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is managed as a single line of business with a single reportable segment originating and servicing high-quality Private Education Loans and providing other education-related services to customers. Our consolidated financial results are regularly reviewed by the Company’s Chief Executive Officer (the “CEO”) to allocate resources and evaluate financial performance.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CEO evaluates the performance of the Company and decides how to allocate resources based on net income and total consolidated assets. The CEO uses net income to assess financial performance and to decide whether to re-invest profits into the Company or to return capital to stockholders in the form of dividends or the repurchase of common stock. Net income is also used to compare budget versus actual results, and the budget versus actual analysis is part of the segment financial performance review.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illustrates the significant expense categories and amounts regularly provided to the CEO.</w:t>
      </w:r>
    </w:p>
    <w:tbl>
      <w:tblPr>
        <w:tblW w:w="10205" w:type="dxa"/>
        <w:jc w:val="center"/>
        <w:tblInd w:w="0" w:type="dxa"/>
        <w:tblLayout w:type="fixed"/>
        <w:tblCellMar>
          <w:top w:w="28" w:type="dxa"/>
          <w:left w:w="28" w:type="dxa"/>
          <w:bottom w:w="28" w:type="dxa"/>
          <w:right w:w="28" w:type="dxa"/>
        </w:tblCellMar>
      </w:tblPr>
      <w:tblGrid>
        <w:gridCol w:w="1604"/>
        <w:gridCol w:w="1328"/>
        <w:gridCol w:w="133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0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w:t>
              <w:br/>
              <w:t> September 30,</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26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expenses: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83,227 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168,439 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120,557 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 assessment fees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28,696 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220,067 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179,558 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584,724 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499,492 </w:t>
            </w:r>
          </w:p>
        </w:tc>
        <w:tc>
          <w:tcPr>
            <w:tcW w:w="15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assets impairment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non-interest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220,702 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180,404 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586,786 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502,257 </w:t>
            </w:r>
          </w:p>
        </w:tc>
        <w:tc>
          <w:tcPr>
            <w:tcW w:w="15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16. Subsequent Events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Restructuring Activities</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In October 2026, we initiated a restructuring program to better align the Company’s workforce and resources with its strategic priorities, reduce costs, and improve operational efficiency. The restructuring program involves a reduction of our workforce by less than 5 percent, contract termination costs, and certain other exit costs to improve our cost structure prospectively. In connection with these actions, we estimate total restructuring expenses to be between $16 million and $18 million, most of which are cash charges related to employee severance and other termination benefits. We expect to substantially complete execution of the restructuring program, and to incur substantially all of the associated charges, by the end of the second quarter of 2027.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2026 Loan Sale</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On October 21, 2026, we sold Private Education Loans to our existing strategic partner including $113 million in principal, $3 million in capitalized interest and $0.1 million in accrued interest. The loan sales included the amounts that were classified as held for sale as of September 30, 2026, which consist of newly originated loans, some of which were not fully-disbursed.</w:t>
      </w:r>
    </w:p>
    <w:p>
      <w:pPr>
        <w:pStyle w:val="TextBody"/>
        <w:bidi w:val="0"/>
        <w:spacing w:lineRule="auto" w:line="288" w:before="100" w:after="283"/>
        <w:ind w:left="0" w:right="0" w:firstLine="450"/>
        <w:jc w:val="left"/>
        <w:rPr>
          <w:rFonts w:ascii="Arial;sans-serif" w:hAnsi="Arial;sans-serif"/>
          <w:b w:val="false"/>
          <w:color w:val="000000"/>
          <w:sz w:val="20"/>
        </w:rPr>
      </w:pPr>
      <w:r>
        <w:rPr>
          <w:rFonts w:ascii="Arial;sans-serif" w:hAnsi="Arial;sans-serif"/>
          <w:b w:val="false"/>
          <w:color w:val="000000"/>
          <w:sz w:val="20"/>
        </w:rPr>
        <w:t>As the loan sale included newly originated loans that were not fully-disbursed, the resulting gain on sale expressed as a percentage was in the low single-digits. The gain will be recognized in the fourth quarter 2026 consolidated statements of income. The transaction qualified for sale treatment and removed the balance of the loans from our balance sheet on the settlement date. We will continue to service these loans and provide loan program management pursuant to the terms of the applicable transaction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51</w:t>
                      </w:r>
                    </w:p>
                  </w:txbxContent>
                </v:textbox>
                <w10:wrap type="none"/>
              </v:rect>
            </w:pict>
          </mc:Fallback>
        </mc:AlternateContent>
      </w:r>
    </w:p>
    <w:p>
      <w:pPr>
        <w:pStyle w:val="TextBody"/>
        <w:bidi w:val="0"/>
        <w:spacing w:before="90" w:after="283"/>
        <w:jc w:val="left"/>
        <w:rPr/>
      </w:pPr>
      <w:r>
        <w:rPr/>
      </w:r>
    </w:p>
    <w:p>
      <w:pPr>
        <w:pStyle w:val="TextBody"/>
        <w:bidi w:val="0"/>
        <w:spacing w:before="0" w:after="0"/>
        <w:ind w:left="0" w:right="0" w:hanging="1215"/>
        <w:jc w:val="left"/>
        <w:rPr/>
      </w:pPr>
      <w:r>
        <w:rPr/>
      </w:r>
    </w:p>
    <w:p>
      <w:pPr>
        <w:pStyle w:val="TextBody"/>
        <w:bidi w:val="0"/>
        <w:spacing w:lineRule="auto" w:line="288" w:before="0" w:after="0"/>
        <w:ind w:left="0" w:right="0" w:hanging="1215"/>
        <w:jc w:val="left"/>
        <w:rPr/>
      </w:pPr>
      <w:r>
        <w:rPr>
          <w:rFonts w:ascii="Arial;sans-serif" w:hAnsi="Arial;sans-serif"/>
          <w:b/>
          <w:color w:val="144F82"/>
          <w:sz w:val="20"/>
        </w:rPr>
        <w:t xml:space="preserve">Item 2. </w:t>
      </w:r>
      <w:r>
        <w:rPr>
          <w:color w:val="144F82"/>
        </w:rPr>
        <w:t>    </w:t>
      </w:r>
      <w:r>
        <w:rPr>
          <w:rFonts w:ascii="Arial;sans-serif" w:hAnsi="Arial;sans-serif"/>
          <w:b/>
          <w:color w:val="144F82"/>
          <w:sz w:val="20"/>
        </w:rPr>
        <w:t xml:space="preserve">Management’s Discussion and Analysis of Financial Condition and Results of Operations </w:t>
      </w:r>
    </w:p>
    <w:p>
      <w:pPr>
        <w:pStyle w:val="TextBody"/>
        <w:bidi w:val="0"/>
        <w:spacing w:lineRule="auto" w:line="276"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Through this discussion and analysis, we intend to provide the reader with some narrative context for how our management views our consolidated financial statements, additional context within which to assess our operating results, and information on the quality and variability of our earnings, liquidity, and cash flows.</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information should be read in connection with SLM Corporation’s Annual Report on Form 10-K for the year ended December 31, 2025 (filed with the Securities and Exchange Commission (the “SEC”) on February 19, 2026) (the “2025 Form 10-K”), and subsequent reports filed with the SEC. Definitions for capitalized terms used in this report not defined herein can be found in the 2025 Form 10-K.</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References in this Form 10-Q to “we,” “us,” “our,” “Sallie Mae,” “SLM,” and the “Company” refer to SLM Corporation and/or its subsidiaries, except as otherwise indicated or unless the context otherwise requires.</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This report contains “forward-looking statements” and information based on management’s current expectations as of the date of this report. Statements that are not historical facts, including statements about the Company’s beliefs, opinions, expectations, and/or statements that assume or are dependent upon future events, are forward-looking statements. These include, but are not limited to, the strategies, goals, and assumptions of the Company; the Company’s expectation and ability to execute loan sales (including sales under the Company’s strategic partnership) and share repurchases; the Company’s expectation and ability to pay a quarterly cash dividend on the Company’s common stock in the future, subject to approval of the Board of Directors; the Company’s 2026 guidance; the Company’s three-year horizon outlook; the Company’s credit outlook; the impact of acquisitions the Company has made or may make in the future; the Company’s projections regarding originations, net charge-offs, non-interest expenses, earnings, balance sheet position, and other metrics; any estimates related to accounting standard changes; and any estimates related to the impact of changes in credit administration practices, including the results of simulations or other behavioral observations.</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Forward-looking statements are subject to risks, uncertainties, assumptions, and other factors, many of which are difficult to predict and generally beyond the Company’s control, which may cause actual results to differ materially from those reflected in such forward-looking statements. There can be no assurance that future developments affecting the Company will be as anticipated by management. The Company cautions readers that a number of important factors could cause actual results to differ materially from those expressed in, implied by, or projected in such forward-looking statements. These factors include, among others, the risks and uncertainties set forth in Item 1A., “Risk Factors,” and elsewhere in the Company’s most recently filed Annual Report on Form 10-K and subsequent filings with the SEC; increases in financing costs; limits on liquidity; increases in costs associated with compliance with laws and regulations; failure to comply with consumer protection, banking, and other laws or regulations; changes in laws, regulations, and supervisory expectations, especially in light of the goals of the current federal administration; the ability to timely develop new products and services and the acceptance of those products and services by potential and existing customers; changes in accounting standards and related changes in significant accounting estimates, including those regarding the measurement of the Company’s allowance for credit losses and the related provision expense; any adverse outcomes in significant litigation to which the Company is a party; credit risk associated with the Company’s exposure to third parties, including counterparties to the Company’s derivative transactions; the effectiveness of the Company’s risk management framework and quantitative models; changes in the terms of education loans and the educational credit marketplace (including changes resulting from new laws and the implementation of existing laws); and changes in the demand for the Company’s deposit products, including changes caused by new or emerging market entrants or technologies. The Company could also be affected by, among other things, changes in funding costs and availability; reductions to credit ratings; cybersecurity incidents, cyberattacks, risks related to artificial intelligence (“AI”), and other failures or breaches of operating systems or infrastructure, including those of third-party vendors; the societal, demographic, business, and legislative/regulatory impacts of pandemics, other public health crises, severe weather events, and/or natural disasters; damage to reputation; risks associated with restructuring initiatives, including failures to successfully implement cost-cutting programs and the adverse effects of such initiatives on the business; changes in the demand for higher education, educational financing, or financing preferences of lenders, educational institutions, students, and their families, including changes to the amount or availability of funding that educational institutions, students, or their families receive from government sources; changes in laws and regulations with respect to the student lending business and financial institutions generally; changes in banking rules and regulations, including increased capital requirements; increased competition from banks and other consumer lenders; changes in customer creditworthiness; changes in the general interest rate environment, including the rate relationships among relevant money-market instruments and those of earning assets versus funding arrangements; the Company’s ability to execute loan sales at prices acceptable to the Company as a consequence of any changes in the macroeconomic environment, including interest rates; rates of prepayments on loans owned by the Company; and changes in general economic or macroeconomic conditions, including, but not limited to, changes due to inflation, stagflation, recession, shifts in the labor market, and changes to government policies or initiatives, such as tariffs, trade wars, wars, immigration, and student visa policies, which could negatively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52</w:t>
                      </w:r>
                    </w:p>
                  </w:txbxContent>
                </v:textbox>
                <w10:wrap type="none"/>
              </v:rect>
            </w:pict>
          </mc:Fallback>
        </mc:AlternateContent>
      </w:r>
    </w:p>
    <w:p>
      <w:pPr>
        <w:pStyle w:val="TextBody"/>
        <w:bidi w:val="0"/>
        <w:spacing w:before="90" w:after="283"/>
        <w:jc w:val="left"/>
        <w:rPr/>
      </w:pPr>
      <w:r>
        <w:rPr/>
      </w:r>
    </w:p>
    <w:p>
      <w:pPr>
        <w:pStyle w:val="TextBody"/>
        <w:bidi w:val="0"/>
        <w:spacing w:lineRule="auto" w:line="276" w:before="90" w:after="283"/>
        <w:jc w:val="left"/>
        <w:rPr>
          <w:rFonts w:ascii="Arial;sans-serif" w:hAnsi="Arial;sans-serif"/>
          <w:b w:val="false"/>
          <w:color w:val="000000"/>
          <w:sz w:val="20"/>
        </w:rPr>
      </w:pPr>
      <w:r>
        <w:rPr>
          <w:rFonts w:ascii="Arial;sans-serif" w:hAnsi="Arial;sans-serif"/>
          <w:b w:val="false"/>
          <w:color w:val="000000"/>
          <w:sz w:val="20"/>
        </w:rPr>
        <w:t xml:space="preserve">consumer or business sentiment, demand for higher education, demand for student loans, financial and business results and/or modeling, and the ability to successfully effectuate any acquisitions, strategic partnerships, or initiatives. The preparation of the Company’s consolidated financial statements also requires management to make certain estimates and assumptions, including estimates and assumptions about future events. These estimates or assumptions may prove to be incorrect. </w:t>
      </w:r>
    </w:p>
    <w:p>
      <w:pPr>
        <w:pStyle w:val="TextBody"/>
        <w:bidi w:val="0"/>
        <w:spacing w:lineRule="auto" w:line="276"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All forward-looking statements contained in this Form 10-Q are expressly qualified in their entirety by the factors, risks, and uncertainties set forth in the foregoing cautionary statements, and are made only as of the date of this report. The Company does not undertake any obligation to update, supplement, or revise any forward-looking statements or estimates to conform to actual results or changes in the Company’s expectations, nor to reflect events or circumstances that occur after the date on which such statements were made. In light of these risks, uncertainties, and assumptions, you should not place undue reliance on any forward-looking statements or estimates discussed herein.</w:t>
      </w:r>
    </w:p>
    <w:p>
      <w:pPr>
        <w:pStyle w:val="TextBody"/>
        <w:bidi w:val="0"/>
        <w:spacing w:lineRule="auto" w:line="417" w:before="270" w:after="283"/>
        <w:jc w:val="left"/>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In September 2026, we entered into a new strategic partnership with a leading global investment firm and sold an initial $143 million of Private Education Loans, including $129 million of principal and $14 million of capitalized interest. Under this strategic partnership, we will sell Private Education Loans while maintaining the relationships with customers, retaining servicing for the sold loans, and earning ongoing fees for providing service and program management, including industry expertise.</w:t>
      </w:r>
    </w:p>
    <w:p>
      <w:pPr>
        <w:pStyle w:val="TextBody"/>
        <w:bidi w:val="0"/>
        <w:spacing w:lineRule="auto" w:line="417" w:before="270" w:after="283"/>
        <w:jc w:val="left"/>
        <w:rPr>
          <w:rFonts w:ascii="Arial;sans-serif" w:hAnsi="Arial;sans-serif"/>
          <w:b/>
          <w:color w:val="000000"/>
          <w:sz w:val="20"/>
        </w:rPr>
      </w:pPr>
      <w:r>
        <w:rPr>
          <w:rFonts w:ascii="Arial;sans-serif" w:hAnsi="Arial;sans-serif"/>
          <w:b/>
          <w:color w:val="000000"/>
          <w:sz w:val="20"/>
        </w:rPr>
        <w:t>Selected Financial Information and Ratios</w:t>
      </w:r>
    </w:p>
    <w:p>
      <w:pPr>
        <w:pStyle w:val="TextBody"/>
        <w:bidi w:val="0"/>
        <w:spacing w:lineRule="auto" w:line="288" w:before="3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941"/>
        <w:gridCol w:w="827"/>
        <w:gridCol w:w="830"/>
        <w:gridCol w:w="109"/>
        <w:gridCol w:w="109"/>
        <w:gridCol w:w="109"/>
        <w:gridCol w:w="211"/>
        <w:gridCol w:w="1081"/>
        <w:gridCol w:w="271"/>
        <w:gridCol w:w="109"/>
        <w:gridCol w:w="109"/>
        <w:gridCol w:w="109"/>
        <w:gridCol w:w="211"/>
        <w:gridCol w:w="1081"/>
        <w:gridCol w:w="271"/>
        <w:gridCol w:w="109"/>
        <w:gridCol w:w="109"/>
        <w:gridCol w:w="109"/>
        <w:gridCol w:w="211"/>
        <w:gridCol w:w="1081"/>
        <w:gridCol w:w="271"/>
        <w:gridCol w:w="109"/>
        <w:gridCol w:w="109"/>
        <w:gridCol w:w="109"/>
        <w:gridCol w:w="211"/>
        <w:gridCol w:w="1081"/>
        <w:gridCol w:w="318"/>
      </w:tblGrid>
      <w:tr>
        <w:trPr/>
        <w:tc>
          <w:tcPr>
            <w:tcW w:w="9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59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 xml:space="preserve">(In thousands, </w:t>
              <w:br/>
              <w:t>except per share data and percentages)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w:t>
              <w:br/>
              <w:t> September 30,</w:t>
            </w:r>
          </w:p>
        </w:tc>
      </w:tr>
      <w:tr>
        <w:trPr/>
        <w:tc>
          <w:tcPr>
            <w:tcW w:w="259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598"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SLM Corporation common stock</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(35,904)</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131,856 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323,439 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499,740 </w:t>
            </w:r>
          </w:p>
        </w:tc>
        <w:tc>
          <w:tcPr>
            <w:tcW w:w="318"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used to compute diluted earnings (loss) per common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185,566 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192,111 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212,922 </w:t>
            </w:r>
          </w:p>
        </w:tc>
        <w:tc>
          <w:tcPr>
            <w:tcW w:w="3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Return on Assets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8"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Efficiency ratio</w:t>
            </w:r>
            <w:r>
              <w:rPr>
                <w:rFonts w:ascii="Arial;sans-serif" w:hAnsi="Arial;sans-serif"/>
                <w:b w:val="false"/>
                <w:color w:val="000000"/>
                <w:sz w:val="12"/>
              </w:rPr>
              <w:t>(2)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31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Other Operating Statistics (Held for Investment)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Private Education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21,615,067 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21,615,067 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education 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21,687,091 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22,263,445 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22,044,533 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22,578,272 </w:t>
            </w:r>
          </w:p>
        </w:tc>
        <w:tc>
          <w:tcPr>
            <w:tcW w:w="31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 We calculate and report our Return on Assets as the ratio of (a) GAAP net income (loss) numerator (annualized) to (b) the GAAP total average assets denominator.</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 We calculate and report on our Efficiency ratio as the ratio of (a) GAAP total non-interest expenses to (b) the sum of GAAP net interest income plus GAAP total non-interest income.</w:t>
            </w:r>
          </w:p>
        </w:tc>
      </w:tr>
    </w:tbl>
    <w:p>
      <w:pPr>
        <w:pStyle w:val="TextBody"/>
        <w:bidi w:val="0"/>
        <w:spacing w:lineRule="auto" w:line="417" w:before="270" w:after="283"/>
        <w:jc w:val="left"/>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discussion and analysis presents a review of our business and operations as of and for the three and nine months ended September 30, 2026. </w:t>
      </w:r>
    </w:p>
    <w:p>
      <w:pPr>
        <w:pStyle w:val="TextBody"/>
        <w:bidi w:val="0"/>
        <w:spacing w:lineRule="auto" w:line="417" w:before="270" w:after="283"/>
        <w:jc w:val="left"/>
        <w:rPr>
          <w:rFonts w:ascii="Arial;sans-serif" w:hAnsi="Arial;sans-serif"/>
          <w:b/>
          <w:color w:val="000000"/>
          <w:sz w:val="20"/>
        </w:rPr>
      </w:pPr>
      <w:r>
        <w:rPr>
          <w:rFonts w:ascii="Arial;sans-serif" w:hAnsi="Arial;sans-serif"/>
          <w:b/>
          <w:color w:val="000000"/>
          <w:sz w:val="20"/>
        </w:rPr>
        <w:t>Strategic Imperatives</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To further focus our business and increase stockholder value, we continue to advance our strategic imperatives. Our primary focus is driving innovation to maximize the sustainable growth and profitability of our core private student loan business. Additionally, we aim to accelerate the growth of new lines of business to attract more customers requiring our products and services. We are also focused on building the data infrastructure, technology, and talent required to compete in a digital world. We seek to create a customer-centric brand as an education solutions company that supports students and families through their higher education journey. We are focused on driving greater internal commitment to our mission, brand, and strategy, while we evolve our structure and risk capabilities to support our core private student loan business and emerging new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53</w:t>
                      </w:r>
                    </w:p>
                  </w:txbxContent>
                </v:textbox>
                <w10:wrap type="none"/>
              </v:rect>
            </w:pict>
          </mc:Fallback>
        </mc:AlternateContent>
      </w:r>
    </w:p>
    <w:p>
      <w:pPr>
        <w:pStyle w:val="TextBody"/>
        <w:bidi w:val="0"/>
        <w:spacing w:before="90" w:after="283"/>
        <w:jc w:val="left"/>
        <w:rPr/>
      </w:pPr>
      <w:r>
        <w:rPr/>
      </w:r>
    </w:p>
    <w:p>
      <w:pPr>
        <w:pStyle w:val="TextBody"/>
        <w:bidi w:val="0"/>
        <w:spacing w:lineRule="auto" w:line="417" w:before="270" w:after="283"/>
        <w:jc w:val="left"/>
        <w:rPr>
          <w:rFonts w:ascii="Arial;sans-serif" w:hAnsi="Arial;sans-serif"/>
          <w:b/>
          <w:color w:val="000000"/>
          <w:sz w:val="20"/>
        </w:rPr>
      </w:pPr>
      <w:r>
        <w:rPr>
          <w:rFonts w:ascii="Arial;sans-serif" w:hAnsi="Arial;sans-serif"/>
          <w:b/>
          <w:color w:val="000000"/>
          <w:sz w:val="20"/>
        </w:rPr>
        <w:t xml:space="preserve">Key Financial Measures </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operating results are primarily driven by net interest income from our Private Education Loan portfolio, gains and losses on loan sales, provision expense for credit losses, and operating expenses. The growth of our business and the strength of our financial condition are primarily driven by our ability to achieve our annual Private Education Loan origination goals while sustaining credit quality and maintaining cost-efficient funding sources to support our originations.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 brief summary of our key financial measures (net interest income and net interest margin; loan sales and secured financings; allowance for credit losses; charge-offs and delinquencies; operating expenses; Private Education Loan originations; and funding sources) can be found in Part II, Item 7. “Management’s Discussion and Analysis of Financial Condition and Results of Operations” in our 2025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54</w:t>
                      </w:r>
                    </w:p>
                  </w:txbxContent>
                </v:textbox>
                <w10:wrap type="none"/>
              </v:rect>
            </w:pict>
          </mc:Fallback>
        </mc:AlternateContent>
      </w:r>
    </w:p>
    <w:p>
      <w:pPr>
        <w:pStyle w:val="TextBody"/>
        <w:bidi w:val="0"/>
        <w:spacing w:before="90" w:after="283"/>
        <w:jc w:val="left"/>
        <w:rPr/>
      </w:pPr>
      <w:r>
        <w:rPr/>
      </w:r>
    </w:p>
    <w:p>
      <w:pPr>
        <w:pStyle w:val="TextBody"/>
        <w:bidi w:val="0"/>
        <w:spacing w:before="90" w:after="283"/>
        <w:ind w:left="0" w:right="0" w:firstLine="49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We present the results of operations below on a consolidated basis in accordance with GAAP.</w:t>
      </w:r>
    </w:p>
    <w:p>
      <w:pPr>
        <w:pStyle w:val="TextBody"/>
        <w:bidi w:val="0"/>
        <w:spacing w:lineRule="auto" w:line="288" w:before="90" w:after="283"/>
        <w:ind w:left="0" w:right="0" w:firstLine="495"/>
        <w:jc w:val="left"/>
        <w:rPr>
          <w:color w:val="000000"/>
        </w:rPr>
      </w:pPr>
      <w:r>
        <w:rPr>
          <w:color w:val="000000"/>
        </w:rPr>
        <w:t> </w:t>
      </w:r>
    </w:p>
    <w:p>
      <w:pPr>
        <w:pStyle w:val="TextBody"/>
        <w:bidi w:val="0"/>
        <w:spacing w:lineRule="auto" w:line="288" w:before="90" w:after="283"/>
        <w:ind w:left="0" w:right="0" w:firstLine="495"/>
        <w:jc w:val="left"/>
        <w:rPr>
          <w:rFonts w:ascii="Arial;sans-serif" w:hAnsi="Arial;sans-serif"/>
          <w:b/>
          <w:color w:val="000000"/>
          <w:sz w:val="20"/>
        </w:rPr>
      </w:pPr>
      <w:r>
        <w:rPr>
          <w:rFonts w:ascii="Arial;sans-serif" w:hAnsi="Arial;sans-serif"/>
          <w:b/>
          <w:color w:val="000000"/>
          <w:sz w:val="20"/>
        </w:rPr>
        <w:t xml:space="preserve">GAAP Consolidated Statements of Operations (Unaudited) </w:t>
      </w:r>
    </w:p>
    <w:p>
      <w:pPr>
        <w:pStyle w:val="TextBody"/>
        <w:bidi w:val="0"/>
        <w:spacing w:before="90" w:after="283"/>
        <w:ind w:left="0" w:right="0" w:firstLine="495"/>
        <w:jc w:val="left"/>
        <w:rPr/>
      </w:pPr>
      <w:r>
        <w:rPr/>
      </w:r>
    </w:p>
    <w:tbl>
      <w:tblPr>
        <w:tblW w:w="10517" w:type="dxa"/>
        <w:jc w:val="center"/>
        <w:tblInd w:w="0" w:type="dxa"/>
        <w:tblLayout w:type="fixed"/>
        <w:tblCellMar>
          <w:top w:w="28" w:type="dxa"/>
          <w:left w:w="28" w:type="dxa"/>
          <w:bottom w:w="28" w:type="dxa"/>
          <w:right w:w="28" w:type="dxa"/>
        </w:tblCellMar>
      </w:tblPr>
      <w:tblGrid>
        <w:gridCol w:w="659"/>
        <w:gridCol w:w="263"/>
        <w:gridCol w:w="264"/>
        <w:gridCol w:w="109"/>
        <w:gridCol w:w="109"/>
        <w:gridCol w:w="109"/>
        <w:gridCol w:w="211"/>
        <w:gridCol w:w="526"/>
        <w:gridCol w:w="109"/>
        <w:gridCol w:w="109"/>
        <w:gridCol w:w="109"/>
        <w:gridCol w:w="109"/>
        <w:gridCol w:w="211"/>
        <w:gridCol w:w="511"/>
        <w:gridCol w:w="109"/>
        <w:gridCol w:w="109"/>
        <w:gridCol w:w="109"/>
        <w:gridCol w:w="109"/>
        <w:gridCol w:w="211"/>
        <w:gridCol w:w="526"/>
        <w:gridCol w:w="109"/>
        <w:gridCol w:w="109"/>
        <w:gridCol w:w="109"/>
        <w:gridCol w:w="109"/>
        <w:gridCol w:w="239"/>
        <w:gridCol w:w="242"/>
        <w:gridCol w:w="271"/>
        <w:gridCol w:w="109"/>
        <w:gridCol w:w="109"/>
        <w:gridCol w:w="109"/>
        <w:gridCol w:w="211"/>
        <w:gridCol w:w="616"/>
        <w:gridCol w:w="109"/>
        <w:gridCol w:w="109"/>
        <w:gridCol w:w="109"/>
        <w:gridCol w:w="109"/>
        <w:gridCol w:w="211"/>
        <w:gridCol w:w="616"/>
        <w:gridCol w:w="109"/>
        <w:gridCol w:w="109"/>
        <w:gridCol w:w="109"/>
        <w:gridCol w:w="109"/>
        <w:gridCol w:w="211"/>
        <w:gridCol w:w="526"/>
        <w:gridCol w:w="109"/>
        <w:gridCol w:w="109"/>
        <w:gridCol w:w="109"/>
        <w:gridCol w:w="109"/>
        <w:gridCol w:w="215"/>
        <w:gridCol w:w="191"/>
        <w:gridCol w:w="316"/>
      </w:tblGrid>
      <w:tr>
        <w:trPr/>
        <w:tc>
          <w:tcPr>
            <w:tcW w:w="6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 xml:space="preserve">(Dollars in millions, </w:t>
              <w:br/>
              <w:t>except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Increase</w:t>
            </w:r>
          </w:p>
          <w:p>
            <w:pPr>
              <w:pStyle w:val="TableContents"/>
              <w:bidi w:val="0"/>
              <w:spacing w:lineRule="auto" w:line="240" w:before="0" w:after="0"/>
              <w:jc w:val="center"/>
              <w:rPr/>
            </w:pPr>
            <w:r>
              <w:rPr>
                <w:rFonts w:ascii="Arial;sans-serif" w:hAnsi="Arial;sans-serif"/>
                <w:b/>
                <w:color w:val="144F82"/>
                <w:sz w:val="16"/>
              </w:rPr>
              <w:t>(Decrease)</w:t>
            </w:r>
            <w:r>
              <w:rPr>
                <w:color w:val="144F8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Increase</w:t>
            </w:r>
          </w:p>
          <w:p>
            <w:pPr>
              <w:pStyle w:val="TableContents"/>
              <w:bidi w:val="0"/>
              <w:spacing w:lineRule="auto" w:line="240" w:before="0" w:after="0"/>
              <w:jc w:val="center"/>
              <w:rPr/>
            </w:pPr>
            <w:r>
              <w:rPr>
                <w:rFonts w:ascii="Arial;sans-serif" w:hAnsi="Arial;sans-serif"/>
                <w:b/>
                <w:color w:val="144F82"/>
                <w:sz w:val="16"/>
              </w:rPr>
              <w:t>(Decrease)</w:t>
            </w:r>
            <w:r>
              <w:rPr>
                <w:color w:val="144F82"/>
              </w:rPr>
              <w:t xml:space="preserve"> </w:t>
            </w:r>
          </w:p>
        </w:tc>
      </w:tr>
      <w:tr>
        <w:trPr/>
        <w:tc>
          <w:tcPr>
            <w:tcW w:w="11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r>
      <w:tr>
        <w:trPr/>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cash equivalents </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provisions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 after provisions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securities,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assets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SLM Corporation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Basic earnings (loss) per common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2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16"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 xml:space="preserve">Diluted earnings (loss) per common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Declared dividends per common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doub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90" w:after="283"/>
        <w:ind w:left="0" w:right="0" w:hanging="900"/>
        <w:jc w:val="left"/>
        <w:rPr>
          <w:rFonts w:ascii="Arial;sans-serif" w:hAnsi="Arial;sans-serif"/>
          <w:b w:val="false"/>
          <w:i/>
          <w:color w:val="000000"/>
          <w:sz w:val="16"/>
        </w:rPr>
      </w:pPr>
      <w:r>
        <w:rPr>
          <w:rFonts w:ascii="Arial;sans-serif" w:hAnsi="Arial;sans-serif"/>
          <w:b w:val="false"/>
          <w:i/>
          <w:color w:val="000000"/>
          <w:sz w:val="16"/>
        </w:rPr>
        <w:t>Note: Due to rounding, amounts in this table may not sum to totals.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55</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70" w:after="283"/>
        <w:jc w:val="left"/>
        <w:rPr/>
      </w:pPr>
      <w:r>
        <w:rPr>
          <w:color w:val="000000"/>
        </w:rPr>
        <w:t> </w:t>
      </w:r>
      <w:r>
        <w:rPr>
          <w:rFonts w:ascii="Arial;sans-serif" w:hAnsi="Arial;sans-serif"/>
          <w:b/>
          <w:color w:val="000000"/>
          <w:sz w:val="20"/>
        </w:rPr>
        <w:t xml:space="preserve">GAAP Consolidated Earnings Summary </w:t>
      </w:r>
    </w:p>
    <w:p>
      <w:pPr>
        <w:pStyle w:val="TextBody"/>
        <w:bidi w:val="0"/>
        <w:spacing w:lineRule="auto" w:line="417" w:before="270" w:after="283"/>
        <w:jc w:val="left"/>
        <w:rPr>
          <w:rFonts w:ascii="Arial;sans-serif" w:hAnsi="Arial;sans-serif"/>
          <w:b/>
          <w:i/>
          <w:color w:val="000000"/>
          <w:sz w:val="20"/>
        </w:rPr>
      </w:pPr>
      <w:r>
        <w:rPr>
          <w:rFonts w:ascii="Arial;sans-serif" w:hAnsi="Arial;sans-serif"/>
          <w:b/>
          <w:i/>
          <w:color w:val="000000"/>
          <w:sz w:val="20"/>
        </w:rPr>
        <w:t xml:space="preserve">Three Months Ended September 30, 2026 Compared with Three Months Ended September 30, 2025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the three months ended September 30, 2026, net loss attributable to common stock was $36 million, or $0.19 loss per common share, compared with net income attributable to common stock of $132 million, or $0.63 diluted earnings per common share, for the three months ended September 30, 2025.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primary drivers of changes in net loss for the current quarter compared with net income in the year-ago quarter are as follows:</w:t>
      </w:r>
    </w:p>
    <w:p>
      <w:pPr>
        <w:pStyle w:val="TextBody"/>
        <w:bidi w:val="0"/>
        <w:spacing w:lineRule="auto" w:line="288" w:before="120" w:after="283"/>
        <w:ind w:left="0" w:right="0" w:firstLine="495"/>
        <w:jc w:val="left"/>
        <w:rPr/>
      </w:pPr>
      <w:r>
        <w:rPr>
          <w:color w:val="000000"/>
        </w:rPr>
        <w:t>•</w:t>
      </w:r>
      <w:r>
        <w:rPr>
          <w:rFonts w:ascii="Arial;sans-serif" w:hAnsi="Arial;sans-serif"/>
          <w:b w:val="false"/>
          <w:color w:val="000000"/>
          <w:sz w:val="20"/>
        </w:rPr>
        <w:t>Net interest income decreased by $34 million in the current quarter compared with the year-ago quarter primarily due to a 33-basis point decrease in our net interest margin and a $0.6 billion decrease in our average Private Education Loans outstanding. Our net interest margin decreased in the current quarter from the year-ago quarter primarily because the yields on our interest-earning assets decreased more than our cost of funds decreased. The yields on both our interest-earning assets and our cost of funds decreased primarily due to the decline in the 30-day average SOFR rate compared to the year-ago quarter. Historically, the yields on our interest-earning assets reprice more quickly than our cost of funds. As such, the impacts of the declining interest rate environment on our interest-bearing liabilities were delayed when compared to our interest-earning assets, resulting in the yields on our interest-earning assets decreasing more than the yields on our interest-bearing liabilities.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Provision for credit losses in the current quarter was $214 million, compared with $179 million of provisions in the year-ago quarter. The year-over-year increase was due to new loan commitments, net of expired commitments, offset by $9 million negative provisions resulting from the $318 million Private Education Loan sales that occurred in the quarter. In the year-ago quarter, the provision for credit losses was primarily affected by $119 million negative provisions resulting from the $1.94 billion Private Education Loan sale during the third quarter of 2025, offset by new loan commitments, net of expired commitments, and changes in the economic outlook.</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 xml:space="preserve">Gains on sales of loans, net, were $4 million in the third quarter of 2026, as a result of the $318 million Private Education Loan sales that occurred in the quarter. There were $136 million in gains on sales, net, in the year-ago quarter, as a result of the $1.94 billion Private Education Loan sale that occurred in the third quarter of 2025. </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Gains (losses) on securities, net, were $14 million in losses in the current quarter compared with $5 million of losses in the year-ago quarter. The change year-over-year was primarily due to changes in mark-to-fair value of our trading investments.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 xml:space="preserve">Other income was $46 million in the third quarter of 2026, compared with $32 million in the year-ago quarter. Third-party servicing fees in the third quarter of 2026 increased $6 million compared to the year-ago quarter due to an additional $4.75 billion of loan principal balance sold during the past year that we continue to service on behalf of the owners of the loans. Other income also increased due to the program management fees from the strategic partnership we entered into during the fourth quarter of 2025. </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Third quarter 2026 total operating expenses were $220 million, up from $180 million in the year-ago quarter. The increase in total operating expenses was primarily due to increased personnel costs, additional marketing spend, and higher spending on information technology initiatives, offset by lower FDIC fees.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During the third quarter of 2026, we recorded $1 million in amortization of acquired intangible assets, consistent with $1 million in the year-ago quarter.</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Third quarter 2026 income tax benefit was $27 million, compared with $50 million income tax expense in the year-ago quarter. Our effective income tax rate increased to 45.2 percent in the third quarter of 2026 from 26.9 percent in the year-ago quarter. The increase in the effective rate for the third quarter of 2026 was primarily due to the tax benefit from the release of an uncertain tax position.</w:t>
      </w:r>
    </w:p>
    <w:p>
      <w:pPr>
        <w:pStyle w:val="TextBody"/>
        <w:bidi w:val="0"/>
        <w:spacing w:before="90" w:after="283"/>
        <w:jc w:val="left"/>
        <w:rPr/>
      </w:pPr>
      <w:r>
        <w:rPr/>
      </w:r>
    </w:p>
    <w:p>
      <w:pPr>
        <w:pStyle w:val="TextBody"/>
        <w:bidi w:val="0"/>
        <w:spacing w:before="0" w:after="0"/>
        <w:ind w:left="0" w:right="0" w:firstLine="85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56</w:t>
                      </w:r>
                    </w:p>
                  </w:txbxContent>
                </v:textbox>
                <w10:wrap type="none"/>
              </v:rect>
            </w:pict>
          </mc:Fallback>
        </mc:AlternateContent>
      </w:r>
    </w:p>
    <w:p>
      <w:pPr>
        <w:pStyle w:val="TextBody"/>
        <w:bidi w:val="0"/>
        <w:spacing w:before="90" w:after="283"/>
        <w:jc w:val="left"/>
        <w:rPr/>
      </w:pPr>
      <w:r>
        <w:rPr/>
      </w:r>
    </w:p>
    <w:p>
      <w:pPr>
        <w:pStyle w:val="TextBody"/>
        <w:bidi w:val="0"/>
        <w:spacing w:lineRule="auto" w:line="417" w:before="270" w:after="283"/>
        <w:jc w:val="left"/>
        <w:rPr>
          <w:rFonts w:ascii="Arial;sans-serif" w:hAnsi="Arial;sans-serif"/>
          <w:b/>
          <w:i/>
          <w:color w:val="000000"/>
          <w:sz w:val="20"/>
        </w:rPr>
      </w:pPr>
      <w:r>
        <w:rPr>
          <w:rFonts w:ascii="Arial;sans-serif" w:hAnsi="Arial;sans-serif"/>
          <w:b/>
          <w:i/>
          <w:color w:val="000000"/>
          <w:sz w:val="20"/>
        </w:rPr>
        <w:t xml:space="preserve">Nine Months Ended September 30, 2026 Compared with Nine Months Ended September 30, 2025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the nine months ended September 30, 2026, net income attributable to common stock was $323 million, or $1.68 diluted earnings per common share, compared with net income attributable to common stock of $500 million, or $2.35 diluted earnings per common share, for the nine months ended September 30, 2025.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primary drivers of changes in net income for the first nine months of 2026 compared with the first nine months of 2025 are as follows:</w:t>
      </w:r>
    </w:p>
    <w:p>
      <w:pPr>
        <w:pStyle w:val="TextBody"/>
        <w:bidi w:val="0"/>
        <w:spacing w:lineRule="auto" w:line="288" w:before="120" w:after="283"/>
        <w:ind w:left="0" w:right="0" w:firstLine="495"/>
        <w:jc w:val="left"/>
        <w:rPr/>
      </w:pPr>
      <w:r>
        <w:rPr>
          <w:color w:val="000000"/>
        </w:rPr>
        <w:t>•</w:t>
      </w:r>
      <w:r>
        <w:rPr>
          <w:rFonts w:ascii="Arial;sans-serif" w:hAnsi="Arial;sans-serif"/>
          <w:b w:val="false"/>
          <w:color w:val="000000"/>
          <w:sz w:val="20"/>
        </w:rPr>
        <w:t>Net interest income decreased by $77 million in the first nine months of 2026 compared with the year-ago period primarily due to a 29-basis point decrease in our net interest margin and a $0.5 billion decrease in our average Private Education Loans compared to the year-ago period. Our net interest margin decreased in the current period from the year-ago period primarily because the yields on our interest-earning assets decreased more than our cost of funds decreased. The yields on both our interest-earning assets and our cost of funds decreased primarily due to the decline in the 30-day average SOFR rate compared to the year-ago period. Historically, the yields on our interest-earning assets reprice more quickly than our cost of funds. As such, the impacts of the declining interest rate environment on our interest-bearing liabilities were delayed when compared to our interest-earning assets, resulting in the yields on our interest-earning assets decreasing more than the yields on our interest-bearing liabilities.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Provision for credit losses in the nine months ended September 30, 2026 was $328 million, compared with $351 million of provisions in the year-ago period. The year-over-year decrease was primarily due to $140 million in negative provisions recorded in the first nine months of 2026, resulting from the $4.07 billion in Private Education Loan sales during the first nine months of 2026, offset by new loan commitments, net of expired commitments. In the year-ago period, the provision for credit losses was primarily affected by new loan commitments, net of expired commitments, and changes in economic outlook, offset by $235 million in negative provisions resulting from the $3.94 billion Private Education Loan sales during the first nine months of 2025.</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 xml:space="preserve">Gains on sales of loans, net, were $165 million in the nine months ended September 30, 2026, as a result of the $4.07 billion Private Education Loan sales that occurred in the period. There were $324 million gains on sales of loans, net, in the year-ago period, as a result of the $3.94 billion in Private Education Loan sales that occurred in the first nine months of 2025. Gains on sales of loans, net, in the in the first nine months of 2026 was less than the year-ago quarter primarily due to the January 2026, April 2026, and July 2026 loan sales, which included newly originated loans for the existing strategic partner that were not fully-disbursed, and causing the resulting gain on sale expressed as a percentage to be in the low single digits. Additionally, due to market driven dynamics, pricing in the seasoned loan sales during the first nine months of 2026 were also lower compared to the loan sales in the year-ago period. </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Gains (losses) on securities, net, were $8 million in losses in the first nine months of 2026, consistent with $8 million of losses in the year-ago period.</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 xml:space="preserve">Other income was $132 million in the first nine months of 2026, compared with $90 million in the year-ago period. Third-party servicing fees in the first nine months of 2026 increased $21 million compared to the year-ago period due to an additional $4.75 billion of loan principal balance sold during the past year that we continue to service on behalf of the owners of the loans. Other income also increased due to the program management fees from the strategic partnership we entered into during the fourth quarter of 2025. </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Total operating expenses for the first nine months of 2026 were $585 million, up from $499 million in the year-ago period. The increase in total operating expenses was primarily due to increased personnel costs, additional marketing spend, and higher spending on information technology initiatives, offset by lower FDIC fees.</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 xml:space="preserve">During the first nine months of 2026, we recorded $2 million in amortization of acquired intangible assets, compared with $3 million in the year-ago period. The decrease was a result of an increase in amortization recorded on our customer relationships in the year-ago period in accordance with the accelerated amortization method. </w:t>
      </w:r>
    </w:p>
    <w:p>
      <w:pPr>
        <w:pStyle w:val="TextBody"/>
        <w:bidi w:val="0"/>
        <w:spacing w:lineRule="auto" w:line="288" w:before="90" w:after="283"/>
        <w:ind w:left="0" w:right="0" w:firstLine="495"/>
        <w:jc w:val="left"/>
        <w:rPr/>
      </w:pPr>
      <w:r>
        <w:rPr>
          <w:color w:val="000000"/>
        </w:rPr>
        <w:t>•</w:t>
      </w:r>
      <w:r>
        <w:rPr>
          <w:rFonts w:ascii="Arial;sans-serif" w:hAnsi="Arial;sans-serif"/>
          <w:b w:val="false"/>
          <w:color w:val="000000"/>
          <w:sz w:val="20"/>
        </w:rPr>
        <w:t>Income tax expense for the nine months ended September 30, 2026 was $88 million, compared with $165 million income tax expense in the year-ago period. Our effective income tax rate decreased to 20.8 percent in the first nine months of 2026 from 24.4 percent in the year-ago period. The decrease in the effective rate for the first nine months of 2026 was primarily due to the tax benefit from the release of an uncertain tax position.</w:t>
      </w:r>
    </w:p>
    <w:p>
      <w:pPr>
        <w:pStyle w:val="TextBody"/>
        <w:bidi w:val="0"/>
        <w:spacing w:before="90" w:after="283"/>
        <w:jc w:val="left"/>
        <w:rPr/>
      </w:pPr>
      <w:r>
        <w:rPr/>
      </w:r>
    </w:p>
    <w:p>
      <w:pPr>
        <w:pStyle w:val="TextBody"/>
        <w:bidi w:val="0"/>
        <w:spacing w:before="0" w:after="0"/>
        <w:ind w:left="0" w:right="0" w:firstLine="855"/>
        <w:jc w:val="left"/>
        <w:rPr/>
      </w:pPr>
      <w:r>
        <w:rPr/>
      </w:r>
    </w:p>
    <w:p>
      <w:pPr>
        <w:pStyle w:val="TextBody"/>
        <w:bidi w:val="0"/>
        <w:spacing w:before="0" w:after="0"/>
        <w:ind w:left="0" w:right="0" w:firstLine="855"/>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57</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lineRule="auto" w:line="288" w:before="270" w:after="283"/>
        <w:jc w:val="left"/>
        <w:rPr>
          <w:rFonts w:ascii="Arial;sans-serif" w:hAnsi="Arial;sans-serif"/>
          <w:b/>
          <w:i/>
          <w:color w:val="000000"/>
          <w:sz w:val="20"/>
        </w:rPr>
      </w:pPr>
      <w:r>
        <w:rPr>
          <w:rFonts w:ascii="Arial;sans-serif" w:hAnsi="Arial;sans-serif"/>
          <w:b/>
          <w:i/>
          <w:color w:val="000000"/>
          <w:sz w:val="20"/>
        </w:rPr>
        <w:t xml:space="preserve">Average Balance Sheets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reflects the rates earned on interest-earning assets and paid on interest-bearing liabilities and reflects our net interest margin on a consolidated basis. </w:t>
      </w:r>
    </w:p>
    <w:p>
      <w:pPr>
        <w:pStyle w:val="TextBody"/>
        <w:bidi w:val="0"/>
        <w:spacing w:lineRule="auto" w:line="288" w:before="90" w:after="283"/>
        <w:ind w:left="0" w:right="0" w:firstLine="495"/>
        <w:jc w:val="center"/>
        <w:rPr>
          <w:color w:val="000000"/>
        </w:rPr>
      </w:pPr>
      <w:r>
        <w:rPr>
          <w:color w:val="000000"/>
        </w:rPr>
        <w:t> </w:t>
      </w:r>
    </w:p>
    <w:tbl>
      <w:tblPr>
        <w:tblW w:w="13956" w:type="dxa"/>
        <w:jc w:val="center"/>
        <w:tblInd w:w="0" w:type="dxa"/>
        <w:tblLayout w:type="fixed"/>
        <w:tblCellMar>
          <w:top w:w="28" w:type="dxa"/>
          <w:left w:w="28" w:type="dxa"/>
          <w:bottom w:w="28" w:type="dxa"/>
          <w:right w:w="28" w:type="dxa"/>
        </w:tblCellMar>
      </w:tblPr>
      <w:tblGrid>
        <w:gridCol w:w="1183"/>
        <w:gridCol w:w="321"/>
        <w:gridCol w:w="312"/>
        <w:gridCol w:w="109"/>
        <w:gridCol w:w="109"/>
        <w:gridCol w:w="109"/>
        <w:gridCol w:w="211"/>
        <w:gridCol w:w="1081"/>
        <w:gridCol w:w="109"/>
        <w:gridCol w:w="109"/>
        <w:gridCol w:w="109"/>
        <w:gridCol w:w="109"/>
        <w:gridCol w:w="308"/>
        <w:gridCol w:w="308"/>
        <w:gridCol w:w="271"/>
        <w:gridCol w:w="109"/>
        <w:gridCol w:w="109"/>
        <w:gridCol w:w="109"/>
        <w:gridCol w:w="211"/>
        <w:gridCol w:w="1081"/>
        <w:gridCol w:w="109"/>
        <w:gridCol w:w="109"/>
        <w:gridCol w:w="109"/>
        <w:gridCol w:w="109"/>
        <w:gridCol w:w="308"/>
        <w:gridCol w:w="308"/>
        <w:gridCol w:w="271"/>
        <w:gridCol w:w="109"/>
        <w:gridCol w:w="109"/>
        <w:gridCol w:w="109"/>
        <w:gridCol w:w="109"/>
        <w:gridCol w:w="109"/>
        <w:gridCol w:w="109"/>
        <w:gridCol w:w="211"/>
        <w:gridCol w:w="1081"/>
        <w:gridCol w:w="109"/>
        <w:gridCol w:w="109"/>
        <w:gridCol w:w="109"/>
        <w:gridCol w:w="109"/>
        <w:gridCol w:w="308"/>
        <w:gridCol w:w="308"/>
        <w:gridCol w:w="271"/>
        <w:gridCol w:w="109"/>
        <w:gridCol w:w="109"/>
        <w:gridCol w:w="109"/>
        <w:gridCol w:w="211"/>
        <w:gridCol w:w="1081"/>
        <w:gridCol w:w="109"/>
        <w:gridCol w:w="109"/>
        <w:gridCol w:w="109"/>
        <w:gridCol w:w="109"/>
        <w:gridCol w:w="308"/>
        <w:gridCol w:w="308"/>
        <w:gridCol w:w="316"/>
      </w:tblGrid>
      <w:tr>
        <w:trPr/>
        <w:tc>
          <w:tcPr>
            <w:tcW w:w="118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7"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2"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Nine Months Ended September 30,</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Rate</w:t>
            </w:r>
          </w:p>
        </w:tc>
      </w:tr>
      <w:tr>
        <w:trPr/>
        <w:tc>
          <w:tcPr>
            <w:tcW w:w="1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Average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21,687,091 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22,263,445 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22,044,533 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22,578,272 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3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other short-term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2,878,835 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4,481,134 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3,856,524 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4,210,761 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27,732,131 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28,547,243 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28,214,868 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28,628,073 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7"/>
              </w:rPr>
            </w:pPr>
            <w:r>
              <w:rPr>
                <w:rFonts w:ascii="Arial;sans-serif" w:hAnsi="Arial;sans-serif"/>
                <w:b/>
                <w:color w:val="144F82"/>
                <w:sz w:val="17"/>
              </w:rPr>
              <w:t>Average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Brokered 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8,641,364 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8,043,304 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8,650,168 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8,637,092 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31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Retail and other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interest-bearing liabilities</w:t>
            </w:r>
            <w:r>
              <w:rPr>
                <w:rFonts w:ascii="Arial;sans-serif" w:hAnsi="Arial;sans-serif"/>
                <w:b w:val="false"/>
                <w:color w:val="000000"/>
                <w:sz w:val="12"/>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5,856,268 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6,388,767 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5,896,537 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6,377,364 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26,114,285 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26,603,912 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26,385,504 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26,726,529 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2,353,425 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2,406,661 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2,421,530 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2,358,352 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28,901,750 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29,128,855 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29,116,705 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29,170,662 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firstLine="495"/>
        <w:jc w:val="center"/>
        <w:rPr>
          <w:color w:val="000000"/>
        </w:rPr>
      </w:pPr>
      <w:r>
        <w:rPr>
          <w:color w:val="000000"/>
        </w:rPr>
        <w:t> </w:t>
      </w:r>
    </w:p>
    <w:p>
      <w:pPr>
        <w:pStyle w:val="TextBody"/>
        <w:bidi w:val="0"/>
        <w:spacing w:lineRule="auto" w:line="288" w:before="0" w:after="0"/>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6"/>
        </w:rPr>
        <w:t xml:space="preserve">Includes the average balance of our unsecured borrowings, as well as secured borrowings and amortization expense of transaction costs related to our term asset-backed securitizations, our Secured Borrowing Facility and our Secured Warehouse Facility. </w:t>
      </w:r>
    </w:p>
    <w:p>
      <w:pPr>
        <w:pStyle w:val="TextBody"/>
        <w:bidi w:val="0"/>
        <w:spacing w:before="0" w:after="0"/>
        <w:ind w:left="0" w:right="0" w:hanging="315"/>
        <w:jc w:val="left"/>
        <w:rPr/>
      </w:pPr>
      <w:r>
        <w:rPr/>
      </w:r>
    </w:p>
    <w:p>
      <w:pPr>
        <w:pStyle w:val="TextBody"/>
        <w:bidi w:val="0"/>
        <w:spacing w:before="90" w:after="283"/>
        <w:ind w:left="0" w:right="0" w:firstLine="495"/>
        <w:jc w:val="left"/>
        <w:rPr/>
      </w:pPr>
      <w:r>
        <w:rPr/>
      </w:r>
    </w:p>
    <w:p>
      <w:pPr>
        <w:pStyle w:val="TextBody"/>
        <w:bidi w:val="0"/>
        <w:spacing w:before="90" w:after="283"/>
        <w:ind w:left="0" w:right="0" w:firstLine="495"/>
        <w:jc w:val="left"/>
        <w:rPr/>
      </w:pPr>
      <w:r>
        <w:rPr/>
      </w:r>
    </w:p>
    <w:p>
      <w:pPr>
        <w:pStyle w:val="TextBody"/>
        <w:bidi w:val="0"/>
        <w:spacing w:before="9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58</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Rate/Volume Analysis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rate/volume analysis shows the relative contribution of changes in interest rates and asset volumes to changes in interest income, interest expense, and net interest income. </w:t>
      </w:r>
    </w:p>
    <w:p>
      <w:pPr>
        <w:pStyle w:val="TextBody"/>
        <w:bidi w:val="0"/>
        <w:spacing w:before="60" w:after="283"/>
        <w:ind w:left="0" w:right="0" w:firstLine="495"/>
        <w:jc w:val="left"/>
        <w:rPr/>
      </w:pPr>
      <w:r>
        <w:rPr/>
      </w:r>
    </w:p>
    <w:p>
      <w:pPr>
        <w:pStyle w:val="TextBody"/>
        <w:bidi w:val="0"/>
        <w:spacing w:lineRule="auto" w:line="288" w:before="0" w:after="0"/>
        <w:jc w:val="center"/>
        <w:rPr>
          <w:color w:val="000000"/>
        </w:rPr>
      </w:pPr>
      <w:r>
        <w:rPr>
          <w:color w:val="000000"/>
        </w:rPr>
        <w:t> </w:t>
      </w:r>
    </w:p>
    <w:tbl>
      <w:tblPr>
        <w:tblW w:w="9302" w:type="dxa"/>
        <w:jc w:val="center"/>
        <w:tblInd w:w="0" w:type="dxa"/>
        <w:tblLayout w:type="fixed"/>
        <w:tblCellMar>
          <w:top w:w="28" w:type="dxa"/>
          <w:left w:w="28" w:type="dxa"/>
          <w:bottom w:w="28" w:type="dxa"/>
          <w:right w:w="28" w:type="dxa"/>
        </w:tblCellMar>
      </w:tblPr>
      <w:tblGrid>
        <w:gridCol w:w="1589"/>
        <w:gridCol w:w="1400"/>
        <w:gridCol w:w="1405"/>
        <w:gridCol w:w="109"/>
        <w:gridCol w:w="109"/>
        <w:gridCol w:w="109"/>
        <w:gridCol w:w="285"/>
        <w:gridCol w:w="1218"/>
        <w:gridCol w:w="147"/>
        <w:gridCol w:w="109"/>
        <w:gridCol w:w="109"/>
        <w:gridCol w:w="109"/>
        <w:gridCol w:w="211"/>
        <w:gridCol w:w="796"/>
        <w:gridCol w:w="109"/>
        <w:gridCol w:w="109"/>
        <w:gridCol w:w="109"/>
        <w:gridCol w:w="109"/>
        <w:gridCol w:w="211"/>
        <w:gridCol w:w="796"/>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Change Due To</w:t>
            </w:r>
            <w:r>
              <w:rPr>
                <w:rFonts w:ascii="Arial;sans-serif" w:hAnsi="Arial;sans-serif"/>
                <w:b/>
                <w:color w:val="144F82"/>
                <w:sz w:val="10"/>
              </w:rPr>
              <w:t>(1)</w:t>
            </w:r>
          </w:p>
        </w:tc>
      </w:tr>
      <w:tr>
        <w:trPr/>
        <w:tc>
          <w:tcPr>
            <w:tcW w:w="439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5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Rate</w:t>
            </w:r>
            <w:r>
              <w:rPr>
                <w:color w:val="144F82"/>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Volume</w:t>
            </w:r>
          </w:p>
        </w:tc>
      </w:tr>
      <w:tr>
        <w:trPr/>
        <w:tc>
          <w:tcPr>
            <w:tcW w:w="439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Three Months Ended September 30, 2026 vs. 2025</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(41,105)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(7,450)</w:t>
            </w:r>
          </w:p>
        </w:tc>
        <w:tc>
          <w:tcPr>
            <w:tcW w:w="14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(5,209)</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(33,655)</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Nine Months Ended September 30, 2026 vs.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(102,590)</w:t>
            </w:r>
          </w:p>
        </w:tc>
        <w:tc>
          <w:tcPr>
            <w:tcW w:w="14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(74,448)</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(28,142)</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(25,377)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8"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(77,213)</w:t>
            </w:r>
          </w:p>
        </w:tc>
        <w:tc>
          <w:tcPr>
            <w:tcW w:w="147"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(61,164)</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(16,049)</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20" w:after="283"/>
        <w:ind w:left="0" w:right="0" w:hanging="180"/>
        <w:jc w:val="center"/>
        <w:rPr/>
      </w:pPr>
      <w:r>
        <w:rPr/>
      </w:r>
    </w:p>
    <w:p>
      <w:pPr>
        <w:pStyle w:val="TextBody"/>
        <w:bidi w:val="0"/>
        <w:spacing w:lineRule="auto" w:line="288" w:before="0" w:after="0"/>
        <w:ind w:left="0" w:right="0" w:hanging="18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Changes in income and expense due to both rate and volume have been allocated in proportion to the relationship of the absolute dollar amounts of the change in each. The changes in income and expense are calculated independently for each line in the table. The totals for the rate and volume columns are not the sum of the individual lines. </w:t>
      </w:r>
    </w:p>
    <w:p>
      <w:pPr>
        <w:pStyle w:val="TextBody"/>
        <w:bidi w:val="0"/>
        <w:spacing w:before="0" w:after="0"/>
        <w:ind w:left="0" w:right="0" w:hanging="180"/>
        <w:jc w:val="left"/>
        <w:rPr/>
      </w:pPr>
      <w:r>
        <w:rPr/>
      </w:r>
    </w:p>
    <w:p>
      <w:pPr>
        <w:pStyle w:val="TextBody"/>
        <w:bidi w:val="0"/>
        <w:spacing w:lineRule="auto" w:line="288" w:before="390" w:after="283"/>
        <w:jc w:val="left"/>
        <w:rPr>
          <w:rFonts w:ascii="Arial;sans-serif" w:hAnsi="Arial;sans-serif"/>
          <w:b/>
          <w:i/>
          <w:color w:val="000000"/>
          <w:sz w:val="20"/>
        </w:rPr>
      </w:pPr>
      <w:r>
        <w:rPr>
          <w:rFonts w:ascii="Arial;sans-serif" w:hAnsi="Arial;sans-serif"/>
          <w:b/>
          <w:i/>
          <w:color w:val="000000"/>
          <w:sz w:val="20"/>
        </w:rPr>
        <w:t>Summary of Our Loans Held for Investment Portfolio</w:t>
      </w:r>
    </w:p>
    <w:p>
      <w:pPr>
        <w:pStyle w:val="TextBody"/>
        <w:bidi w:val="0"/>
        <w:spacing w:lineRule="auto" w:line="288" w:before="90" w:after="283"/>
        <w:jc w:val="left"/>
        <w:rPr>
          <w:rFonts w:ascii="Arial;sans-serif" w:hAnsi="Arial;sans-serif"/>
          <w:b w:val="false"/>
          <w:i/>
          <w:color w:val="000000"/>
          <w:sz w:val="20"/>
        </w:rPr>
      </w:pPr>
      <w:r>
        <w:rPr>
          <w:rFonts w:ascii="Arial;sans-serif" w:hAnsi="Arial;sans-serif"/>
          <w:b w:val="false"/>
          <w:i/>
          <w:color w:val="000000"/>
          <w:sz w:val="20"/>
        </w:rPr>
        <w:t>Ending Loans Held for Investment Balances, net</w:t>
      </w:r>
    </w:p>
    <w:p>
      <w:pPr>
        <w:pStyle w:val="TextBody"/>
        <w:bidi w:val="0"/>
        <w:spacing w:before="90" w:after="283"/>
        <w:jc w:val="left"/>
        <w:rPr/>
      </w:pPr>
      <w:r>
        <w:rPr/>
      </w:r>
    </w:p>
    <w:tbl>
      <w:tblPr>
        <w:tblW w:w="10037" w:type="dxa"/>
        <w:jc w:val="center"/>
        <w:tblInd w:w="0" w:type="dxa"/>
        <w:tblLayout w:type="fixed"/>
        <w:tblCellMar>
          <w:top w:w="28" w:type="dxa"/>
          <w:left w:w="28" w:type="dxa"/>
          <w:bottom w:w="28" w:type="dxa"/>
          <w:right w:w="28" w:type="dxa"/>
        </w:tblCellMar>
      </w:tblPr>
      <w:tblGrid>
        <w:gridCol w:w="1904"/>
        <w:gridCol w:w="1677"/>
        <w:gridCol w:w="1683"/>
        <w:gridCol w:w="109"/>
        <w:gridCol w:w="109"/>
        <w:gridCol w:w="109"/>
        <w:gridCol w:w="803"/>
        <w:gridCol w:w="516"/>
        <w:gridCol w:w="520"/>
        <w:gridCol w:w="134"/>
        <w:gridCol w:w="134"/>
        <w:gridCol w:w="134"/>
        <w:gridCol w:w="259"/>
        <w:gridCol w:w="1331"/>
        <w:gridCol w:w="134"/>
        <w:gridCol w:w="109"/>
        <w:gridCol w:w="109"/>
        <w:gridCol w:w="109"/>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Total Loans Held for Investment</w:t>
              <w:br/>
              <w:t>(Private Education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September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loan portfolio:</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In-school</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3,675,152</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3,983,859 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Grace, repayment and other</w:t>
            </w:r>
            <w:r>
              <w:rPr>
                <w:rFonts w:ascii="Arial;sans-serif" w:hAnsi="Arial;sans-serif"/>
                <w:b w:val="false"/>
                <w:color w:val="000000"/>
                <w:sz w:val="12"/>
              </w:rPr>
              <w:t>(2)</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18,290,865</w:t>
            </w:r>
          </w:p>
        </w:tc>
        <w:tc>
          <w:tcPr>
            <w:tcW w:w="4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17,676,575 </w:t>
            </w:r>
          </w:p>
        </w:tc>
        <w:tc>
          <w:tcPr>
            <w:tcW w:w="1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21,966,017</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21,660,434 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costs and unamortized premium/(discount)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109,767</w:t>
            </w:r>
          </w:p>
        </w:tc>
        <w:tc>
          <w:tcPr>
            <w:tcW w:w="40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102,008 </w:t>
            </w:r>
          </w:p>
        </w:tc>
        <w:tc>
          <w:tcPr>
            <w:tcW w:w="1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(1,449,614)</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(1,430,318)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loans held for investment portfolio,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gridSpan w:val="2"/>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w:t>
            </w:r>
          </w:p>
        </w:tc>
        <w:tc>
          <w:tcPr>
            <w:tcW w:w="402"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3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90" w:after="283"/>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Loans for customers still attending school and who are not yet required to make payments on the loans. </w:t>
      </w:r>
    </w:p>
    <w:p>
      <w:pPr>
        <w:pStyle w:val="TextBody"/>
        <w:bidi w:val="0"/>
        <w:spacing w:before="0" w:after="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9"/>
        </w:rPr>
        <w:t>(2)</w:t>
      </w:r>
      <w:r>
        <w:rPr>
          <w:color w:val="000000"/>
        </w:rPr>
        <w:t> </w:t>
      </w:r>
      <w:r>
        <w:rPr>
          <w:rFonts w:ascii="Arial;sans-serif" w:hAnsi="Arial;sans-serif"/>
          <w:b w:val="false"/>
          <w:color w:val="000000"/>
          <w:sz w:val="14"/>
        </w:rPr>
        <w:t xml:space="preserve">Includes loans in repayment, grace, deferment, or forbearance. 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59</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80" w:after="283"/>
        <w:jc w:val="left"/>
        <w:rPr>
          <w:rFonts w:ascii="Arial;sans-serif" w:hAnsi="Arial;sans-serif"/>
          <w:b w:val="false"/>
          <w:i/>
          <w:color w:val="000000"/>
          <w:sz w:val="20"/>
        </w:rPr>
      </w:pPr>
      <w:r>
        <w:rPr>
          <w:rFonts w:ascii="Arial;sans-serif" w:hAnsi="Arial;sans-serif"/>
          <w:b w:val="false"/>
          <w:i/>
          <w:color w:val="000000"/>
          <w:sz w:val="20"/>
        </w:rPr>
        <w:t xml:space="preserve">Average Loans Held for Investment Balances (net of unamortized premium/(discount))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9072" w:type="dxa"/>
        <w:jc w:val="center"/>
        <w:tblInd w:w="0" w:type="dxa"/>
        <w:tblLayout w:type="fixed"/>
        <w:tblCellMar>
          <w:top w:w="28" w:type="dxa"/>
          <w:left w:w="28" w:type="dxa"/>
          <w:bottom w:w="28" w:type="dxa"/>
          <w:right w:w="28" w:type="dxa"/>
        </w:tblCellMar>
      </w:tblPr>
      <w:tblGrid>
        <w:gridCol w:w="765"/>
        <w:gridCol w:w="674"/>
        <w:gridCol w:w="676"/>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w:t>
              <w:br/>
              <w:t> September 30,</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11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21,687,091 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22,263,445 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22,044,533 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22,578,272 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Loans Held for Investment, Net </w:t>
      </w:r>
      <w:r>
        <w:rPr>
          <w:color w:val="000000"/>
        </w:rPr>
        <w:t xml:space="preserve">— </w:t>
      </w:r>
      <w:r>
        <w:rPr>
          <w:rFonts w:ascii="Arial;sans-serif" w:hAnsi="Arial;sans-serif"/>
          <w:b w:val="false"/>
          <w:i/>
          <w:color w:val="000000"/>
          <w:sz w:val="20"/>
        </w:rPr>
        <w:t>Activity</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86"/>
        <w:gridCol w:w="977"/>
        <w:gridCol w:w="984"/>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5"/>
      </w:tblGrid>
      <w:tr>
        <w:trPr/>
        <w:tc>
          <w:tcPr>
            <w:tcW w:w="12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4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Total Loans Held for Investment</w:t>
              <w:br/>
              <w:t>(Private Education Loans), net</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w:t>
              <w:br/>
              <w:t> September 30,</w:t>
            </w:r>
          </w:p>
        </w:tc>
      </w:tr>
      <w:tr>
        <w:trPr/>
        <w:tc>
          <w:tcPr>
            <w:tcW w:w="324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324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Beginning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21,160,332 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20,902,158 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and 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2,832,983 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2,499,716 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5,349,428 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5,543,161 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acquisitions and originations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3,508,563 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2,956,709 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6,621,391 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6,430,903 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interest and deferred origination cost premium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380,415 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Sales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(6,007)</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(1,778,089)</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(2,056,490)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(3,625,823)</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consolidations to 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(668,258)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(95,600)</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(56,596)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(90,185)</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 to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and other</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(548,086)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(553,894)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(1,718,961)</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(1,714,143)</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21,615,067 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21,615,067 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95"/>
        <w:jc w:val="left"/>
        <w:rPr>
          <w:color w:val="000000"/>
        </w:rPr>
      </w:pPr>
      <w:r>
        <w:rPr>
          <w:color w:val="000000"/>
        </w:rPr>
        <w:t>“</w:t>
      </w:r>
      <w:r>
        <w:rPr>
          <w:rFonts w:ascii="Arial;sans-serif" w:hAnsi="Arial;sans-serif"/>
          <w:b w:val="false"/>
          <w:color w:val="000000"/>
          <w:sz w:val="20"/>
        </w:rPr>
        <w:t>Loan consolidations to third parties” and “Repayments and other” are both significantly affected by the volume of loans in our held for investment portfolio in P&amp;I repayment status. Loans in P&amp;I repayment status include loans in full principal and interest repayment status as well as certain loans in short-term interest-only payment programs (such as loans in a Graduated Repayment Period program and loans in a short-term interest only alternative program). The amount of loans in P&amp;I repayment status in our Private Education Loans held for investment portfolio at September 30, 2026 increased by 2.9 percent compared with September 30, 2025, and now totals 41.5 percent of our Private Education Loans held for investment portfolio at September 30, 2026. The balance of loans held for investment in P&amp;I repayment status was primarily affected in 2025 and the first nine months of 2026 by loan sales.</w:t>
      </w:r>
    </w:p>
    <w:p>
      <w:pPr>
        <w:pStyle w:val="TextBody"/>
        <w:bidi w:val="0"/>
        <w:spacing w:lineRule="auto" w:line="288" w:before="120" w:after="283"/>
        <w:ind w:left="0" w:right="0" w:firstLine="495"/>
        <w:jc w:val="left"/>
        <w:rPr>
          <w:color w:val="000000"/>
        </w:rPr>
      </w:pPr>
      <w:r>
        <w:rPr>
          <w:color w:val="000000"/>
        </w:rPr>
        <w:t>“</w:t>
      </w:r>
      <w:r>
        <w:rPr>
          <w:rFonts w:ascii="Arial;sans-serif" w:hAnsi="Arial;sans-serif"/>
          <w:b w:val="false"/>
          <w:color w:val="000000"/>
          <w:sz w:val="20"/>
        </w:rPr>
        <w:t>Loan consolidations to third parties” for the three months ended September 30, 2026 total 4.4 percent of our Private Education Loans held for investment portfolio in P&amp;I repayment status at September 30, 2026, or 1.8 percent of our total Private Education Loans held for investment portfolio at September 30, 2026, compared with the year-ago quarter of 2.8 percent of our Private Education Loans held for investment portfolio in P&amp;I repayment status, or 1.1 percent of our total Private Education Loans held for investment portfolio, respectively. The increase in consolidations compared to the year-ago quarter is primarily attributable to a higher volume of borrowers availing themselves of comparatively lower interest rates in 2026 than when their loans were originated. Historical experience has shown that loan consolidation activity is heightened in the period when the loan initially enters full principal and interest repayment status and then subsides over time.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“Repayments and other” category includes all scheduled repayments, as well as voluntary prepayments, made on loans in repayment and also includes charge-offs. Consequently, this category can be significantly affected by the volume of loans in repayment.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60</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80" w:after="283"/>
        <w:ind w:left="0" w:right="0" w:firstLine="495"/>
        <w:jc w:val="left"/>
        <w:rPr>
          <w:rFonts w:ascii="Arial;sans-serif" w:hAnsi="Arial;sans-serif"/>
          <w:b w:val="false"/>
          <w:i/>
          <w:color w:val="000000"/>
          <w:sz w:val="20"/>
        </w:rPr>
      </w:pPr>
      <w:r>
        <w:rPr>
          <w:rFonts w:ascii="Arial;sans-serif" w:hAnsi="Arial;sans-serif"/>
          <w:b w:val="false"/>
          <w:i/>
          <w:color w:val="000000"/>
          <w:sz w:val="20"/>
        </w:rPr>
        <w:t xml:space="preserve">Private Education Loan Originations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Private Education Loan originations. Originations represent loans that were funded or acquired during the period presented.</w:t>
      </w:r>
    </w:p>
    <w:p>
      <w:pPr>
        <w:pStyle w:val="TextBody"/>
        <w:bidi w:val="0"/>
        <w:spacing w:before="90" w:after="283"/>
        <w:ind w:left="0" w:right="0" w:firstLine="495"/>
        <w:jc w:val="left"/>
        <w:rPr/>
      </w:pPr>
      <w:r>
        <w:rPr/>
      </w:r>
    </w:p>
    <w:p>
      <w:pPr>
        <w:pStyle w:val="TextBody"/>
        <w:bidi w:val="0"/>
        <w:spacing w:lineRule="auto" w:line="288" w:before="0" w:after="0"/>
        <w:jc w:val="center"/>
        <w:rPr>
          <w:color w:val="000000"/>
        </w:rPr>
      </w:pPr>
      <w:r>
        <w:rPr>
          <w:color w:val="000000"/>
        </w:rPr>
        <w:t> </w:t>
      </w:r>
    </w:p>
    <w:tbl>
      <w:tblPr>
        <w:tblW w:w="9358" w:type="dxa"/>
        <w:jc w:val="center"/>
        <w:tblInd w:w="0" w:type="dxa"/>
        <w:tblLayout w:type="fixed"/>
        <w:tblCellMar>
          <w:top w:w="28" w:type="dxa"/>
          <w:left w:w="28" w:type="dxa"/>
          <w:bottom w:w="28" w:type="dxa"/>
          <w:right w:w="28" w:type="dxa"/>
        </w:tblCellMar>
      </w:tblPr>
      <w:tblGrid>
        <w:gridCol w:w="1308"/>
        <w:gridCol w:w="1151"/>
        <w:gridCol w:w="1156"/>
        <w:gridCol w:w="109"/>
        <w:gridCol w:w="109"/>
        <w:gridCol w:w="109"/>
        <w:gridCol w:w="211"/>
        <w:gridCol w:w="976"/>
        <w:gridCol w:w="271"/>
        <w:gridCol w:w="109"/>
        <w:gridCol w:w="109"/>
        <w:gridCol w:w="109"/>
        <w:gridCol w:w="231"/>
        <w:gridCol w:w="235"/>
        <w:gridCol w:w="271"/>
        <w:gridCol w:w="109"/>
        <w:gridCol w:w="109"/>
        <w:gridCol w:w="109"/>
        <w:gridCol w:w="211"/>
        <w:gridCol w:w="976"/>
        <w:gridCol w:w="271"/>
        <w:gridCol w:w="109"/>
        <w:gridCol w:w="109"/>
        <w:gridCol w:w="109"/>
        <w:gridCol w:w="231"/>
        <w:gridCol w:w="235"/>
        <w:gridCol w:w="316"/>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September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t>
            </w:r>
          </w:p>
        </w:tc>
      </w:tr>
      <w:tr>
        <w:trPr/>
        <w:tc>
          <w:tcPr>
            <w:tcW w:w="361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interest only</w:t>
            </w:r>
            <w:r>
              <w:rPr>
                <w:rFonts w:ascii="Arial;sans-serif" w:hAnsi="Arial;sans-serif"/>
                <w:b w:val="false"/>
                <w:color w:val="000000"/>
                <w:sz w:val="12"/>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724,105 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632,777 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fixed pay</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973,133 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961,291 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deferred</w:t>
            </w:r>
            <w:r>
              <w:rPr>
                <w:rFonts w:ascii="Arial;sans-serif" w:hAnsi="Arial;sans-serif"/>
                <w:b w:val="false"/>
                <w:color w:val="000000"/>
                <w:sz w:val="12"/>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1,101,390 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1,079,012 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Graduate Loan</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575,905 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Parent Loan</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Private Education Loan 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3,383,063 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2,936,393 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loans with a cosigner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FICO at approval</w:t>
            </w:r>
            <w:r>
              <w:rPr>
                <w:rFonts w:ascii="Arial;sans-serif" w:hAnsi="Arial;sans-serif"/>
                <w:b w:val="false"/>
                <w:color w:val="000000"/>
                <w:sz w:val="12"/>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Nine Months Ended </w:t>
              <w:br/>
              <w:t> September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t>
            </w:r>
          </w:p>
        </w:tc>
      </w:tr>
      <w:tr>
        <w:trPr/>
        <w:tc>
          <w:tcPr>
            <w:tcW w:w="361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interest only</w:t>
            </w:r>
            <w:r>
              <w:rPr>
                <w:rFonts w:ascii="Arial;sans-serif" w:hAnsi="Arial;sans-serif"/>
                <w:b w:val="false"/>
                <w:color w:val="000000"/>
                <w:sz w:val="12"/>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1,462,057 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1,267,613 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fixed pay</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2,103,942 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Smart Option - deferred</w:t>
            </w:r>
            <w:r>
              <w:rPr>
                <w:rFonts w:ascii="Arial;sans-serif" w:hAnsi="Arial;sans-serif"/>
                <w:b w:val="false"/>
                <w:color w:val="000000"/>
                <w:sz w:val="12"/>
              </w:rPr>
              <w:t>(1)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2,423,813 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2,440,855 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Graduate Loan</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956,975 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Parent Loan</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Private Education Loan 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7,005,527 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6,393,473 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loans with a cosigner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FICO at approval</w:t>
            </w:r>
            <w:r>
              <w:rPr>
                <w:rFonts w:ascii="Arial;sans-serif" w:hAnsi="Arial;sans-serif"/>
                <w:b w:val="false"/>
                <w:color w:val="000000"/>
                <w:sz w:val="12"/>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 xml:space="preserve">Interest only, fixed pay, and deferred describe the payment option while in school or in grace period. See Item 1. “Business - Our Business - Private Education Loans” in the 2025 Form 10-K for a further discussion. </w:t>
      </w:r>
    </w:p>
    <w:p>
      <w:pPr>
        <w:pStyle w:val="TextBody"/>
        <w:bidi w:val="0"/>
        <w:spacing w:lineRule="auto" w:line="276" w:before="60" w:after="283"/>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For the three months ended September 30, 2026, the Graduate Loan originations includes $1.0 million of Parent Loans and $13.7 million of Smart Option Loans where the student was in a graduate status. For the three months ended September 30, 2025, the Graduate Loan originations include $9.2 million of Smart Option Loans where the student was in a graduate status. For the nine months ended September 30, 2026, the Graduate Loan originations includes $1.0 million of Parent Loans and $26.0 million of Smart Option Loans where the student was in a graduate status. For the nine months ended September 30, 2025, the Graduate Loan originations include $21.1 million of Smart Option Loans where the student was in a graduate status.</w:t>
      </w:r>
    </w:p>
    <w:p>
      <w:pPr>
        <w:pStyle w:val="TextBody"/>
        <w:bidi w:val="0"/>
        <w:spacing w:lineRule="auto" w:line="276" w:before="60" w:after="283"/>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 xml:space="preserve">We began originating the new Parent Loan in July 2026. </w:t>
      </w:r>
    </w:p>
    <w:p>
      <w:pPr>
        <w:pStyle w:val="TextBody"/>
        <w:bidi w:val="0"/>
        <w:spacing w:lineRule="auto" w:line="288" w:before="60" w:after="283"/>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Represents the higher credit score of the cosigner or the borrower.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61</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Allowance for Credit Losses </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Allowance for Loan Losses Activity</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12"/>
        <w:gridCol w:w="949"/>
        <w:gridCol w:w="952"/>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09"/>
        <w:gridCol w:w="109"/>
        <w:gridCol w:w="155"/>
      </w:tblGrid>
      <w:tr>
        <w:trPr/>
        <w:tc>
          <w:tcPr>
            <w:tcW w:w="111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44F82"/>
                <w:sz w:val="18"/>
              </w:rPr>
            </w:pPr>
            <w:r>
              <w:rPr>
                <w:rFonts w:ascii="Arial;sans-serif" w:hAnsi="Arial;sans-serif"/>
                <w:b/>
                <w:color w:val="144F82"/>
                <w:sz w:val="18"/>
              </w:rPr>
              <w:t>Total Portfolio (Private Education Loans)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Three Months Ended </w:t>
              <w:br/>
              <w:t> September 30,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Nine Months Ended </w:t>
              <w:br/>
              <w:t>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Beginning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1,354,014 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1,469,509 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1,430,318 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1,435,920 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Transfer from unfunded commitment liability</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Charge-offs</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sale reduction to provision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(118,794)</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(139,896)</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(235,253)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transferred to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provisions for credit losses</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58,256 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95,723 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1,449,614 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1,526,104 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1,449,614 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1,526,104 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90" w:after="283"/>
        <w:ind w:left="0" w:right="0" w:hanging="27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See Note 5, “Allowance for Credit Losses and Unfunded Loan Commitments,” in this Form 10-Q for a summary of the activity in the allowance for and balance of unfunded loan commitments, respectively. </w:t>
      </w:r>
    </w:p>
    <w:p>
      <w:pPr>
        <w:pStyle w:val="TextBody"/>
        <w:bidi w:val="0"/>
        <w:spacing w:lineRule="auto" w:line="288" w:before="90" w:after="283"/>
        <w:ind w:left="0" w:right="0" w:hanging="27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 xml:space="preserve">The above table excludes the initial allowance and immediate charge-off of $19.1 million of loans previously charged off by unconsolidated Private Education Loan Securitizations that were purchased by the Company during the three and nine months ended September 30, 2026 following the exercise of optional clean-up calls. </w:t>
      </w:r>
    </w:p>
    <w:p>
      <w:pPr>
        <w:pStyle w:val="TextBody"/>
        <w:bidi w:val="0"/>
        <w:spacing w:lineRule="auto" w:line="288" w:before="90" w:after="283"/>
        <w:ind w:left="0" w:right="0" w:hanging="27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The following table provides a reconciliation of the provisions for credit losses reported in the consolidated statements of operations.</w:t>
      </w:r>
    </w:p>
    <w:tbl>
      <w:tblPr>
        <w:tblW w:w="10205" w:type="dxa"/>
        <w:jc w:val="left"/>
        <w:tblInd w:w="0" w:type="dxa"/>
        <w:tblLayout w:type="fixed"/>
        <w:tblCellMar>
          <w:top w:w="28" w:type="dxa"/>
          <w:left w:w="28" w:type="dxa"/>
          <w:bottom w:w="28" w:type="dxa"/>
          <w:right w:w="28" w:type="dxa"/>
        </w:tblCellMar>
      </w:tblPr>
      <w:tblGrid>
        <w:gridCol w:w="1698"/>
        <w:gridCol w:w="1490"/>
        <w:gridCol w:w="1498"/>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69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Consolidated Statements of Operations</w:t>
              <w:br/>
              <w:t>Provisions for Credit Losses Reconciliation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Nine Months Ended </w:t>
              <w:br/>
              <w:t> September 30,</w:t>
            </w:r>
          </w:p>
        </w:tc>
      </w:tr>
      <w:tr>
        <w:trPr/>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sz w:val="16"/>
              </w:rPr>
              <w:br/>
            </w:r>
            <w:r>
              <w:rPr>
                <w:rFonts w:ascii="Arial;sans-serif" w:hAnsi="Arial;sans-serif"/>
                <w:b/>
                <w:color w:val="13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6"/>
              </w:rPr>
            </w:pPr>
            <w:r>
              <w:rPr>
                <w:rFonts w:ascii="Arial;sans-serif" w:hAnsi="Arial;sans-serif"/>
                <w:b/>
                <w:color w:val="134F82"/>
                <w:sz w:val="16"/>
              </w:rPr>
              <w:t>2025</w:t>
            </w:r>
          </w:p>
        </w:tc>
      </w:tr>
      <w:tr>
        <w:trPr/>
        <w:tc>
          <w:tcPr>
            <w:tcW w:w="468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Private Education Loan provisions for credit losses: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loan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Provisions for unfunded loan commitments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153,230 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255,743 </w:t>
            </w:r>
          </w:p>
        </w:tc>
        <w:tc>
          <w:tcPr>
            <w:tcW w:w="1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Provisions for credit losses reported in consolidated statements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179,462 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327,872 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351,466 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Private Education Loan Allowance for Credit Losses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In establishing the allowance for Private Education Loan losses as of September 30, 2026, we considered several factors with respect to our Private Education Loan held for investment portfolio, in particular, credit quality and delinquency, forbearance, and charge-off trends.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Private Education Loans held for investment in P&amp;I repayment status were 42 percent of our total Private Education Loans held for investment portfolio at September 30, 2026, compared with 38 percent at September 30, 2025.</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a more detailed discussion of our policy for determining the collectability of Private Education Loans and maintaining our allowance for Private Education Loans, see Part II, Item 7. “Management’s Discussion and Analysis of Financial Condition and Results of Operations — Critical Accounting Policies and Estimates — Allowance for Credit Losses” and Note 5, “Loans Held for Investment — Certain Collection Tools - Private Education Loans” in the 2025 Form 10-K. </w:t>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62</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 below presents our Private Education Loans held for investment portfolio delinquency trends. Loans in repayment include loans making interest only or fixed payments, as well as loans that have entered full principal and interest repayment status after any applicable grace period (but, for purposes of the following table, do not include loans in the “loans in forbearance” metric). </w:t>
      </w:r>
    </w:p>
    <w:tbl>
      <w:tblPr>
        <w:tblW w:w="10205" w:type="dxa"/>
        <w:jc w:val="center"/>
        <w:tblInd w:w="0" w:type="dxa"/>
        <w:tblLayout w:type="fixed"/>
        <w:tblCellMar>
          <w:top w:w="28" w:type="dxa"/>
          <w:left w:w="28" w:type="dxa"/>
          <w:bottom w:w="28" w:type="dxa"/>
          <w:right w:w="28" w:type="dxa"/>
        </w:tblCellMar>
      </w:tblPr>
      <w:tblGrid>
        <w:gridCol w:w="1643"/>
        <w:gridCol w:w="1312"/>
        <w:gridCol w:w="1320"/>
        <w:gridCol w:w="109"/>
        <w:gridCol w:w="109"/>
        <w:gridCol w:w="109"/>
        <w:gridCol w:w="211"/>
        <w:gridCol w:w="1081"/>
        <w:gridCol w:w="109"/>
        <w:gridCol w:w="109"/>
        <w:gridCol w:w="109"/>
        <w:gridCol w:w="109"/>
        <w:gridCol w:w="307"/>
        <w:gridCol w:w="309"/>
        <w:gridCol w:w="271"/>
        <w:gridCol w:w="109"/>
        <w:gridCol w:w="109"/>
        <w:gridCol w:w="109"/>
        <w:gridCol w:w="211"/>
        <w:gridCol w:w="1081"/>
        <w:gridCol w:w="109"/>
        <w:gridCol w:w="109"/>
        <w:gridCol w:w="109"/>
        <w:gridCol w:w="109"/>
        <w:gridCol w:w="307"/>
        <w:gridCol w:w="309"/>
        <w:gridCol w:w="317"/>
      </w:tblGrid>
      <w:tr>
        <w:trPr/>
        <w:tc>
          <w:tcPr>
            <w:tcW w:w="164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Private Education Loans Held for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 xml:space="preserve">September 30, </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w:t>
            </w:r>
          </w:p>
        </w:tc>
      </w:tr>
      <w:tr>
        <w:trPr/>
        <w:tc>
          <w:tcPr>
            <w:tcW w:w="427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in-school/grace/deferment</w:t>
            </w:r>
            <w:r>
              <w:rPr>
                <w:rFonts w:ascii="Arial;sans-serif" w:hAnsi="Arial;sans-serif"/>
                <w:b w:val="false"/>
                <w:color w:val="000000"/>
                <w:sz w:val="12"/>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5,553,144 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6,405,768 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in forbearance</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and percentage of each status: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delinquent 30-59 days</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351,102 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335,312 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delinquent 60-89 days</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90 days or greater past due</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149,555 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145,119 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16,043,441 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16,292,470 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21,966,017 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23,029,999 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 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22,075,784 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23,141,171 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 allowance for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20,626,170 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21,615,067 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loans in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3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Delinquencies as a percentage of loans in repayment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17" w:type="dxa"/>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loans in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Percentage of loans in an extended grace period</w:t>
            </w:r>
            <w:r>
              <w:rPr>
                <w:rFonts w:ascii="Arial;sans-serif" w:hAnsi="Arial;sans-serif"/>
                <w:b w:val="false"/>
                <w:color w:val="000000"/>
                <w:sz w:val="12"/>
              </w:rPr>
              <w:t>(4)</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Percentage of loans in hardship and other forbearances</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1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80" w:after="283"/>
        <w:ind w:left="0" w:right="0" w:hanging="180"/>
        <w:jc w:val="left"/>
        <w:rPr/>
      </w:pPr>
      <w:r>
        <w:rPr>
          <w:rFonts w:ascii="Arial;sans-serif" w:hAnsi="Arial;sans-serif"/>
          <w:b w:val="false"/>
          <w:color w:val="000000"/>
          <w:sz w:val="9"/>
        </w:rPr>
        <w:t>(1)</w:t>
      </w:r>
      <w:r>
        <w:rPr>
          <w:rFonts w:ascii="Arial;sans-serif" w:hAnsi="Arial;sans-serif"/>
          <w:b w:val="false"/>
          <w:color w:val="000000"/>
          <w:sz w:val="14"/>
        </w:rPr>
        <w:t>Deferment includes customers who have returned to school or are engaged in other permitted educational activities and are not yet required to make payments on the loans (e.g., residency periods for medical students or a grace period for bar exam preparation).</w:t>
      </w:r>
    </w:p>
    <w:p>
      <w:pPr>
        <w:pStyle w:val="TextBody"/>
        <w:bidi w:val="0"/>
        <w:spacing w:lineRule="auto" w:line="288" w:before="180" w:after="283"/>
        <w:ind w:left="0" w:right="0" w:hanging="180"/>
        <w:jc w:val="left"/>
        <w:rPr/>
      </w:pPr>
      <w:r>
        <w:rPr>
          <w:rFonts w:ascii="Arial;sans-serif" w:hAnsi="Arial;sans-serif"/>
          <w:b w:val="false"/>
          <w:color w:val="000000"/>
          <w:sz w:val="9"/>
        </w:rPr>
        <w:t>(2)</w:t>
      </w:r>
      <w:r>
        <w:rPr>
          <w:rFonts w:ascii="Arial;sans-serif" w:hAnsi="Arial;sans-serif"/>
          <w:b w:val="false"/>
          <w:color w:val="000000"/>
          <w:sz w:val="14"/>
        </w:rPr>
        <w:t>Loans for customers who have requested extension of grace period generally during employment transition or who have temporarily ceased making full payments due to hardship or other factors (other than delinquent loans in disaster forbearance), consistent with established loan program servicing policies and procedures.</w:t>
      </w:r>
    </w:p>
    <w:p>
      <w:pPr>
        <w:pStyle w:val="TextBody"/>
        <w:bidi w:val="0"/>
        <w:spacing w:lineRule="auto" w:line="288" w:before="180" w:after="283"/>
        <w:ind w:left="0" w:right="0" w:hanging="180"/>
        <w:jc w:val="left"/>
        <w:rPr/>
      </w:pPr>
      <w:r>
        <w:rPr>
          <w:rFonts w:ascii="Arial;sans-serif" w:hAnsi="Arial;sans-serif"/>
          <w:b w:val="false"/>
          <w:color w:val="000000"/>
          <w:sz w:val="9"/>
        </w:rPr>
        <w:t>(3)</w:t>
      </w:r>
      <w:r>
        <w:rPr>
          <w:rFonts w:ascii="Arial;sans-serif" w:hAnsi="Arial;sans-serif"/>
          <w:b w:val="false"/>
          <w:color w:val="000000"/>
          <w:sz w:val="14"/>
        </w:rPr>
        <w:t>The period of delinquency is based on the number of days scheduled payments are contractually past due.</w:t>
      </w:r>
    </w:p>
    <w:p>
      <w:pPr>
        <w:pStyle w:val="TextBody"/>
        <w:bidi w:val="0"/>
        <w:spacing w:lineRule="auto" w:line="268" w:before="180" w:after="283"/>
        <w:ind w:left="0" w:right="0" w:hanging="180"/>
        <w:jc w:val="left"/>
        <w:rPr/>
      </w:pPr>
      <w:r>
        <w:rPr>
          <w:rFonts w:ascii="Arial;sans-serif" w:hAnsi="Arial;sans-serif"/>
          <w:b w:val="false"/>
          <w:color w:val="000000"/>
          <w:sz w:val="9"/>
        </w:rPr>
        <w:t>(4)</w:t>
      </w:r>
      <w:r>
        <w:rPr>
          <w:rFonts w:ascii="Arial;sans-serif" w:hAnsi="Arial;sans-serif"/>
          <w:b w:val="false"/>
          <w:color w:val="000000"/>
          <w:sz w:val="14"/>
        </w:rPr>
        <w:t>We calculate the percentage of loans in an extended grace period as the ratio of (a) Private Education Loans in forbearance in an extended grace period numerator to (b) Private Education Loans in repayment and forbearance denominator. An extended grace period aligns with The Office of the Comptroller of the Currency definition of an additional, consecutive, one-time period during which no payment is required for up to six months after the initial grace period. We typically grant this extended grace period to customers who may be having difficulty finding employment before the full principal and interest repayment period starts or once it has begun. Loans in forbearance in an extended grace period were approximately $181 million and $165 million at September 30, 2026 and 2025, respectively. See “— Use of Forbearance and Rate Modifications as a Private Education Loan Collection Tool” below for additional details.</w:t>
      </w:r>
    </w:p>
    <w:p>
      <w:pPr>
        <w:pStyle w:val="TextBody"/>
        <w:bidi w:val="0"/>
        <w:spacing w:lineRule="auto" w:line="268" w:before="180" w:after="283"/>
        <w:ind w:left="0" w:right="0" w:hanging="180"/>
        <w:jc w:val="left"/>
        <w:rPr/>
      </w:pPr>
      <w:r>
        <w:rPr>
          <w:rFonts w:ascii="Arial;sans-serif" w:hAnsi="Arial;sans-serif"/>
          <w:b w:val="false"/>
          <w:color w:val="000000"/>
          <w:sz w:val="9"/>
        </w:rPr>
        <w:t>(5)</w:t>
      </w:r>
      <w:r>
        <w:rPr>
          <w:rFonts w:ascii="Arial;sans-serif" w:hAnsi="Arial;sans-serif"/>
          <w:b w:val="false"/>
          <w:color w:val="000000"/>
          <w:sz w:val="14"/>
        </w:rPr>
        <w:t xml:space="preserve">We calculate the percentage of loans in hardship and other forbearances as the ratio of (a) Private Education Loans in hardship and other forbearances (excluding loans in an extended grace period and delinquent loans in disaster forbearance) numerator to (b) Private Education Loans in repayment and forbearance denominator. If the customer is in financial hardship, we work with the customer and/or cosigner and identify any available alternative arrangements designed to reduce monthly payment obligations, which may include a short-term hardship forbearance. Loans in hardship and other forbearances (excluding loans in an extended grace period and delinquent loans in disaster forbearance) were approximately $189 million and $166 million at September 30, 2026 and 2025, respectively. See “— Use of Forbearance and Rate Modifications as a Private Education Loan Collection Tool” below for additional details.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pPr>
      <w:r>
        <w:rPr>
          <w:rFonts w:ascii="Arial;sans-serif" w:hAnsi="Arial;sans-serif"/>
          <w:b w:val="false"/>
          <w:color w:val="000000"/>
          <w:sz w:val="20"/>
        </w:rPr>
        <w:t>Delinquencies as a percentage of Private Education Loans (held for investment) in repayment increased to 4.2 percent at September 30, 2026 from 4.0 percent</w:t>
      </w:r>
      <w:r>
        <w:rPr>
          <w:color w:val="000000"/>
        </w:rPr>
        <w:t xml:space="preserve"> </w:t>
      </w:r>
      <w:r>
        <w:rPr>
          <w:rFonts w:ascii="Arial;sans-serif" w:hAnsi="Arial;sans-serif"/>
          <w:b w:val="false"/>
          <w:color w:val="000000"/>
          <w:sz w:val="20"/>
        </w:rPr>
        <w:t xml:space="preserve">at September 30, 2025. We believe the increase in the delinquency metric is primarily driven by misaligned third-party debt resolution practices affecting a segment of high-ability-to-pay borrowers resulting in their loans progressing straight through delinquency to default. Also impacting the delinquency percentage, was a shift in the composition of the loans in repayment portfolio (which does not include the loans held for sale) due to the sale of younger loans as part of our strategic partnership funding model and the larger size of the recent repayment cohort compared to prior quarters. $0.9 billion of newly originated loans were transferred to held for sale status during the third quarter of 2026. See Note 16, “Subsequent Events” in this Form 10-Q for additional information. See additional discussion related to collections activity in Part II, Item 7. “Management’s Discussion and Analysis of Financial Condition and Results of Operations — Financial Condition — Allowance for Credit Losses — Use of Forbearance and Modifications as a Private Education Loan Collection Tool” in the 2025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63</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percentage of loans in an extended grace forbearance remained relatively consistent at 1.1 percent and 1.0 percent at September 30, 2026 and September 30, 2025, respectively.</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percentage of loans in hardship and other forbearances increased to 1.2 percent from 1.0 percent at September 30, 2026 and September 30, 2025. The increase was primarily due to the size and timing of this year’s repayment cohort compared to prior quarters. Also impacting the percentage of loans in hardship and other forbearances, was a shift in the composition of the loans in repayment portfolio (which does not include the loans held for sale) due to the sale of younger loans as part of our strategic partnership funding model. $0.9 billion of newly originated loans were transferred to held for sale status during the third quarter of 2026. See Note 16, “Subsequent Events” in this Form 10-Q for additional information. The percentage of loans in hardship and other forbearances</w:t>
      </w:r>
    </w:p>
    <w:p>
      <w:pPr>
        <w:pStyle w:val="TextBody"/>
        <w:bidi w:val="0"/>
        <w:spacing w:lineRule="auto" w:line="26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For additional discussion of our strategic partnership funding model, see Part II, Item 7. “Management’s Discussion and Analysis of Financial Condition and Results of Operations — Key Financial Measures — Funding Sources — Loan Sales” in the 2025 Form 10-K.</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64</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Changes in Allowance for Private Education Loan Losses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summarizes changes in the allowance for Private Education Loan (held for investment) losses and the allowance for unfunded loan commitments. </w:t>
      </w:r>
    </w:p>
    <w:p>
      <w:pPr>
        <w:pStyle w:val="TextBody"/>
        <w:bidi w:val="0"/>
        <w:spacing w:lineRule="auto" w:line="288" w:before="90" w:after="283"/>
        <w:ind w:left="0" w:right="0" w:firstLine="495"/>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34"/>
        <w:gridCol w:w="681"/>
        <w:gridCol w:w="684"/>
        <w:gridCol w:w="109"/>
        <w:gridCol w:w="109"/>
        <w:gridCol w:w="109"/>
        <w:gridCol w:w="211"/>
        <w:gridCol w:w="1081"/>
        <w:gridCol w:w="271"/>
        <w:gridCol w:w="109"/>
        <w:gridCol w:w="109"/>
        <w:gridCol w:w="109"/>
        <w:gridCol w:w="211"/>
        <w:gridCol w:w="1081"/>
        <w:gridCol w:w="271"/>
        <w:gridCol w:w="109"/>
        <w:gridCol w:w="109"/>
        <w:gridCol w:w="109"/>
        <w:gridCol w:w="211"/>
        <w:gridCol w:w="1081"/>
        <w:gridCol w:w="271"/>
        <w:gridCol w:w="109"/>
        <w:gridCol w:w="109"/>
        <w:gridCol w:w="109"/>
        <w:gridCol w:w="211"/>
        <w:gridCol w:w="1081"/>
        <w:gridCol w:w="317"/>
      </w:tblGrid>
      <w:tr>
        <w:trPr/>
        <w:tc>
          <w:tcPr>
            <w:tcW w:w="123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Nine Months Ended </w:t>
              <w:br/>
              <w:t> September 30,</w:t>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Allowance for loan losses, beginning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1,354,014 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1,469,509 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1,430,318 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1,435,920 </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Transfer from allowance for unfunded loan commitments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242,434 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330,976 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sale reduction to provision</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(8,984)</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(118,794)</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(139,896)</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(235,253)</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transferred from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provisions</w:t>
            </w:r>
            <w:r>
              <w:rPr>
                <w:rFonts w:ascii="Arial;sans-serif" w:hAnsi="Arial;sans-serif"/>
                <w:b w:val="false"/>
                <w:color w:val="000000"/>
                <w:sz w:val="12"/>
              </w:rPr>
              <w:t>(2)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60,445 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58,256 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95,723 </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Charge-offs</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(105,676)</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(91,072)</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(330,725)</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(284,841)</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36,868 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charge-offs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(90,386)</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(77,531)</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(292,004)</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(247,973)</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Allowance for loan losses, ending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1,449,614 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1,526,104 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1,449,614 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1,526,104 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Allowance for unfunded loan commitments, beginning balance</w:t>
            </w:r>
            <w:r>
              <w:rPr>
                <w:rFonts w:ascii="Arial;sans-serif" w:hAnsi="Arial;sans-serif"/>
                <w:b/>
                <w:color w:val="144F82"/>
                <w:sz w:val="12"/>
              </w:rPr>
              <w:t>(1)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66,015 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77,132 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84,568 </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Provision</w:t>
            </w:r>
            <w:r>
              <w:rPr>
                <w:rFonts w:ascii="Arial;sans-serif" w:hAnsi="Arial;sans-serif"/>
                <w:b w:val="false"/>
                <w:color w:val="000000"/>
                <w:sz w:val="12"/>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255,743 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 to allowance for loan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(125,541)</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(109,422)</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(253,044)</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(242,434)</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144F82"/>
                <w:sz w:val="18"/>
              </w:rPr>
              <w:t>Allowance for unfunded loan commitments, ending balance</w:t>
            </w:r>
            <w:r>
              <w:rPr>
                <w:rFonts w:ascii="Arial;sans-serif" w:hAnsi="Arial;sans-serif"/>
                <w:b/>
                <w:color w:val="144F82"/>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97,877 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allowance for credit losses, ending balance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1,543,318 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1,623,981 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1,543,318 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1,623,981 </w:t>
            </w:r>
          </w:p>
        </w:tc>
        <w:tc>
          <w:tcPr>
            <w:tcW w:w="31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Allowance Percentage of Private Education Loan Exposure</w:t>
            </w:r>
            <w:r>
              <w:rPr>
                <w:rFonts w:ascii="Arial;sans-serif" w:hAnsi="Arial;sans-serif"/>
                <w:b w:val="false"/>
                <w:color w:val="000000"/>
                <w:sz w:val="12"/>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3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Allowance for loan losses coverage of net charge-offs (annualized)</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charge-offs as a percentage of average loans in repayment (annualized)</w:t>
            </w:r>
            <w:r>
              <w:rPr>
                <w:rFonts w:ascii="Arial;sans-serif" w:hAnsi="Arial;sans-serif"/>
                <w:b w:val="false"/>
                <w:color w:val="000000"/>
                <w:sz w:val="12"/>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Delinquencies as a percentage of ending loans in repayment</w:t>
            </w:r>
            <w:r>
              <w:rPr>
                <w:rFonts w:ascii="Arial;sans-serif" w:hAnsi="Arial;sans-serif"/>
                <w:b w:val="false"/>
                <w:color w:val="000000"/>
                <w:sz w:val="12"/>
              </w:rPr>
              <w:t>(5)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27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3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 in forbearance as a percentage of ending loans in repayment and forbearance</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total loans, gross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21,966,017 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23,029,999 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21,966,017 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23,029,999 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loans in repayment</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15,607,233 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15,870,798 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15,756,540 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16,027,567 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Ending loans in repayment</w:t>
            </w:r>
            <w:r>
              <w:rPr>
                <w:rFonts w:ascii="Arial;sans-serif" w:hAnsi="Arial;sans-serif"/>
                <w:b w:val="false"/>
                <w:color w:val="000000"/>
                <w:sz w:val="12"/>
              </w:rPr>
              <w:t>(5)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16,043,441 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16,292,470 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16,043,441 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16,292,470 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Unfunded loan commitments for loans held for investment</w:t>
            </w:r>
            <w:r>
              <w:rPr>
                <w:rFonts w:ascii="Arial;sans-serif" w:hAnsi="Arial;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2,673,369 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2,673,369 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1,674,856 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1,693,268 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1,674,856 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1,693,268 </w:t>
            </w:r>
          </w:p>
        </w:tc>
        <w:tc>
          <w:tcPr>
            <w:tcW w:w="31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120"/>
        <w:ind w:left="0" w:right="0" w:hanging="180"/>
        <w:jc w:val="left"/>
        <w:rPr/>
      </w:pPr>
      <w:r>
        <w:rPr>
          <w:rFonts w:ascii="Arial;sans-serif" w:hAnsi="Arial;sans-serif"/>
          <w:b w:val="false"/>
          <w:color w:val="000000"/>
          <w:sz w:val="9"/>
        </w:rPr>
        <w:t xml:space="preserve">(1) </w:t>
      </w:r>
      <w:r>
        <w:rPr>
          <w:rFonts w:ascii="Arial;sans-serif" w:hAnsi="Arial;sans-serif"/>
          <w:b w:val="false"/>
          <w:color w:val="000000"/>
          <w:sz w:val="14"/>
        </w:rPr>
        <w:t>When a new loan commitment is made, we record an allowance to cover lifetime expected credit losses on the unfunded commitments, which is recorded in “Other Liabilities” on the consolidated balance sheet. See Note 5, “Allowance for Credit Losses and Unfunded Loan Commitments” in this Form 10-Q for a summary of the activity in the allowance for and balance of unfunded loan commitments.</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(2) </w:t>
      </w:r>
      <w:r>
        <w:rPr>
          <w:rFonts w:ascii="Arial;sans-serif" w:hAnsi="Arial;sans-serif"/>
          <w:b w:val="false"/>
          <w:color w:val="000000"/>
          <w:sz w:val="14"/>
        </w:rPr>
        <w:t>See “</w:t>
      </w:r>
      <w:r>
        <w:rPr>
          <w:color w:val="000000"/>
        </w:rPr>
        <w:t>—</w:t>
      </w:r>
      <w:r>
        <w:rPr>
          <w:rFonts w:ascii="Arial;sans-serif" w:hAnsi="Arial;sans-serif"/>
          <w:b w:val="false"/>
          <w:color w:val="000000"/>
          <w:sz w:val="14"/>
        </w:rPr>
        <w:t xml:space="preserve">Financial Condition </w:t>
      </w:r>
      <w:r>
        <w:rPr>
          <w:color w:val="000000"/>
        </w:rPr>
        <w:t xml:space="preserve">— </w:t>
      </w:r>
      <w:r>
        <w:rPr>
          <w:rFonts w:ascii="Arial;sans-serif" w:hAnsi="Arial;sans-serif"/>
          <w:b w:val="false"/>
          <w:color w:val="000000"/>
          <w:sz w:val="14"/>
        </w:rPr>
        <w:t xml:space="preserve">Allowance for Credit Losses </w:t>
      </w:r>
      <w:r>
        <w:rPr>
          <w:color w:val="000000"/>
        </w:rPr>
        <w:t xml:space="preserve">— </w:t>
      </w:r>
      <w:r>
        <w:rPr>
          <w:rFonts w:ascii="Arial;sans-serif" w:hAnsi="Arial;sans-serif"/>
          <w:b w:val="false"/>
          <w:color w:val="000000"/>
          <w:sz w:val="14"/>
        </w:rPr>
        <w:t>Allowance for Loan Losses” in this Item 2 for a reconciliation of the provisions for credit losses reported in the consolidated statements of operations.</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(3) </w:t>
      </w:r>
      <w:r>
        <w:rPr>
          <w:rFonts w:ascii="Arial;sans-serif" w:hAnsi="Arial;sans-serif"/>
          <w:b w:val="false"/>
          <w:color w:val="000000"/>
          <w:sz w:val="14"/>
        </w:rPr>
        <w:t xml:space="preserve">The above table excludes the initial allowance and immediate charge-off of $19.1 million of loans previously charged off by unconsolidated Private Education Loan Securitizations that were purchased by the Company during the three and nine months ended September 30, 2026 following the exercise of optional clean-up calls. </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(4) </w:t>
      </w:r>
      <w:r>
        <w:rPr>
          <w:rFonts w:ascii="Arial;sans-serif" w:hAnsi="Arial;sans-serif"/>
          <w:b w:val="false"/>
          <w:color w:val="000000"/>
          <w:sz w:val="14"/>
        </w:rPr>
        <w:t>Includes incremental provision for new commitments and changes to provision for existing commitments.</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(5) </w:t>
      </w:r>
      <w:r>
        <w:rPr>
          <w:rFonts w:ascii="Arial;sans-serif" w:hAnsi="Arial;sans-serif"/>
          <w:b w:val="false"/>
          <w:color w:val="000000"/>
          <w:sz w:val="14"/>
        </w:rPr>
        <w:t xml:space="preserve">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 </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(6) </w:t>
      </w:r>
      <w:r>
        <w:rPr>
          <w:rFonts w:ascii="Arial;sans-serif" w:hAnsi="Arial;sans-serif"/>
          <w:b w:val="false"/>
          <w:color w:val="000000"/>
          <w:sz w:val="14"/>
        </w:rPr>
        <w:t>The Total Allowance Percentage of Private Education Loan Exposure is the total allowance for credit losses as a percentage of ending total loans plus unfunded loan commitments and total accrued interest receivable on Private Education Loans.</w:t>
      </w:r>
    </w:p>
    <w:p>
      <w:pPr>
        <w:pStyle w:val="TextBody"/>
        <w:bidi w:val="0"/>
        <w:spacing w:lineRule="auto" w:line="288" w:before="90" w:after="120"/>
        <w:ind w:left="0" w:right="0" w:hanging="180"/>
        <w:jc w:val="left"/>
        <w:rPr/>
      </w:pPr>
      <w:r>
        <w:rPr>
          <w:rFonts w:ascii="Arial;sans-serif" w:hAnsi="Arial;sans-serif"/>
          <w:b w:val="false"/>
          <w:color w:val="000000"/>
          <w:sz w:val="9"/>
        </w:rPr>
        <w:t xml:space="preserve">(7) </w:t>
      </w:r>
      <w:r>
        <w:rPr>
          <w:rFonts w:ascii="Arial;sans-serif" w:hAnsi="Arial;sans-serif"/>
          <w:b w:val="false"/>
          <w:color w:val="000000"/>
          <w:sz w:val="14"/>
        </w:rPr>
        <w:t xml:space="preserve">Unfunded loan commitments for loans held for investment and the calculation of the Total Allowance Percentage of Private Education Loan Exposure do not include $672 million of unfunded loan commitments associated with loans classified as held for sale at September 30, 2026. Due to the near-term timing of the loan sale and credit quality of the loans, we believe there is no risk of credit loss and are not recording an allowance for the unfunded loan commitments related to the loans classified as held for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65</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Net charge-offs for the three months ended September 30, 2026 were $90 million, compared with $78 million in the three months ended September 30, 2025. Net charge-offs for the nine months ended September 30, 2026 were $292 million, compared with $248 million in the nine months ended September 30, 2025. The increases were primarily driven by misaligned third-party debt resolution practices affecting a segment of high-ability-to-pay borrowers resulting in their loans progressing straight through delinquency to default, and our resulting shift in recovery strategies, pausing the majority of third-party recovery activities while we continue to develop and implement a more effective, customer-aligned approach to delinquencies, charge-offs, and recoveries.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As part of concluding on the adequacy of the allowance for credit losses, we review key allowance and loan metrics. The most significant of these metrics considered are the allowance coverage of net charge-offs ratio; the Total Allowance Percentage of Private Education Loan Exposure; and delinquency and forbearance percentages.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Use of Forbearance and Rate Modifications as a Private Education Loan Collection Tool </w:t>
      </w:r>
    </w:p>
    <w:p>
      <w:pPr>
        <w:pStyle w:val="TextBody"/>
        <w:bidi w:val="0"/>
        <w:spacing w:lineRule="auto" w:line="288" w:before="90" w:after="283"/>
        <w:ind w:left="0" w:right="0" w:firstLine="495"/>
        <w:jc w:val="left"/>
        <w:rPr/>
      </w:pPr>
      <w:r>
        <w:rPr>
          <w:rFonts w:ascii="Arial;sans-serif" w:hAnsi="Arial;sans-serif"/>
          <w:b w:val="false"/>
          <w:color w:val="000000"/>
          <w:sz w:val="20"/>
        </w:rPr>
        <w:t>In recent years, we have made significant changes to our credit administration practices, enhancing our loss mitigation programs through both our forbearance and loan modification offerings.</w:t>
      </w:r>
      <w:r>
        <w:rPr>
          <w:color w:val="000000"/>
        </w:rPr>
        <w:t xml:space="preserve"> </w:t>
      </w:r>
      <w:r>
        <w:rPr>
          <w:rFonts w:ascii="Arial;sans-serif" w:hAnsi="Arial;sans-serif"/>
          <w:b w:val="false"/>
          <w:color w:val="000000"/>
          <w:sz w:val="20"/>
        </w:rPr>
        <w:t>We adjust the terms of loans for certain borrowers when we believe such changes will help our borrowers manage their student loan obligations, achieve better student outcomes and increase the collectability of the loans. These changes generally take the form of a temporary forbearance of payments, a temporary or permanent interest rate reduction, a temporary or permanent interest rate reduction with a permanent extension of the loan term and/or a short-term extended repayment or interest-only alternative.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continually monitor our credit administration practices and modify them from time to time based upon performance, industry conventions, and/or regulatory feedback.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See Note 5, “Allowance for Credit Losses and Unfunded Commitments — Loan Modifications to Borrowers Experiencing Financial Difficulty” in this Form 10-Q for additional information regarding loan modifications to borrowers experiencing financial difficulty. As discussed therein, our forbearance programs are not considered loan modifications to borrowers experiencing financial difficulty because they are either short-term in nature, and therefore, we believe, they do not provide a significant concession to the borrower, or they are provided for reasons other than financial difficulty being experienced by the borrower. </w:t>
      </w:r>
    </w:p>
    <w:p>
      <w:pPr>
        <w:pStyle w:val="TextBody"/>
        <w:bidi w:val="0"/>
        <w:spacing w:lineRule="auto" w:line="288" w:before="90" w:after="283"/>
        <w:ind w:left="0" w:right="0" w:firstLine="405"/>
        <w:jc w:val="left"/>
        <w:rPr>
          <w:rFonts w:ascii="Arial;sans-serif" w:hAnsi="Arial;sans-serif"/>
          <w:b w:val="false"/>
          <w:i/>
          <w:color w:val="000000"/>
          <w:sz w:val="20"/>
        </w:rPr>
      </w:pPr>
      <w:r>
        <w:rPr>
          <w:rFonts w:ascii="Arial;sans-serif" w:hAnsi="Arial;sans-serif"/>
          <w:b w:val="false"/>
          <w:i/>
          <w:color w:val="000000"/>
          <w:sz w:val="20"/>
        </w:rPr>
        <w:t>Forbearance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Forbearance allows a borrower to not make scheduled payments for a specified period of time. Our forbearance policies and practices vary depending upon whether a borrower is current or delinquent at the time forbearance is requested, generally with stricter requirements for delinquent borrowers. Using forbearance extends the original term of the loan by the term of forbearance taken. Forbearance does not grant any reduction in the total principal or interest repayment obligation. While a loan is in forbearance status, interest continues to accrue and is capitalized (added to principal) at the end of the forbearance. Interest will not capitalize at the end of certain types of forbearance, such as disaster forbearance, however.</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first six months following a borrower’s grace period, the borrower may be eligible for extended grace forbearance, which provides temporary payment relief to give the borrower additional time to be in a position to make regular principal and interest payments. We do not consider borrowers who are eligible for extended grace to be experiencing financial difficulty. </w:t>
      </w:r>
    </w:p>
    <w:p>
      <w:pPr>
        <w:pStyle w:val="TextBody"/>
        <w:bidi w:val="0"/>
        <w:spacing w:lineRule="auto" w:line="288" w:before="120" w:after="283"/>
        <w:ind w:left="0" w:right="0" w:firstLine="495"/>
        <w:jc w:val="left"/>
        <w:rPr/>
      </w:pPr>
      <w:r>
        <w:rPr>
          <w:rFonts w:ascii="Arial;sans-serif" w:hAnsi="Arial;sans-serif"/>
          <w:b w:val="false"/>
          <w:color w:val="000000"/>
          <w:sz w:val="20"/>
        </w:rPr>
        <w:t>Hardship forbearance may be granted in order to provide temporary payment relief to borrowers who are either current in their payments but demonstrate a need for relief, or who are delinquent in their payments but demonstrate an ability and willingness to repay their obligation.</w:t>
      </w:r>
      <w:r>
        <w:rPr>
          <w:color w:val="000000"/>
        </w:rPr>
        <w:t xml:space="preserve"> </w:t>
      </w:r>
      <w:r>
        <w:rPr>
          <w:rFonts w:ascii="Arial;sans-serif" w:hAnsi="Arial;sans-serif"/>
          <w:b w:val="false"/>
          <w:color w:val="000000"/>
          <w:sz w:val="20"/>
        </w:rPr>
        <w:t>In these circumstances, a borrower’s loan is placed into a forbearance status in limited monthly increments and is reflected in the forbearance status at month-end during this time. At the end of the forbearance period, for borrowers who were current when they entered forbearance or those who were delinquent but met specific payment requirements curing their delinquency, the borrower will enter repayment status as current. In all instances, the borrowers are expected to begin making scheduled monthly payments at the end of their forbearance periods.</w:t>
      </w:r>
      <w:r>
        <w:rPr>
          <w:color w:val="000000"/>
        </w:rPr>
        <w:t xml:space="preserve"> </w:t>
      </w:r>
      <w:r>
        <w:rPr>
          <w:rFonts w:ascii="Arial;sans-serif" w:hAnsi="Arial;sans-serif"/>
          <w:b w:val="false"/>
          <w:color w:val="000000"/>
          <w:sz w:val="20"/>
        </w:rPr>
        <w:t>This strategy is aimed at assisting borrowers while mitigating the risks of delinquency and default as well as encouraging resolution of delinquent loans.</w:t>
      </w:r>
    </w:p>
    <w:p>
      <w:pPr>
        <w:pStyle w:val="TextBody"/>
        <w:bidi w:val="0"/>
        <w:spacing w:lineRule="auto" w:line="288" w:before="12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Disaster forbearance is used to assist borrowers affected by material events, typically federally-declared disasters, including hurricanes, wildfires, floods, and pandemics. We typically grant disaster forbearance to affected borrowers in one-month increments, up to three months at a time, but the disaster forbearance granted generally does not apply toward the 12-month forbearance limit described below. Disaster forbearance is granted based on areas impacted by federally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66</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declared disasters, not because the borrower is experiencing financial difficulty. Loans in disaster forbearance are not assessed late or other fees. Due to the nature and limited timeframe of disaster forbearance, delinquent loans granted disaster forbearance are maintained in their pre-grant delinquency status, and as such, are not reflected in our loans in forbearance metrics.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offer certain other administrative forbearances (e.g., death and disability, bankruptcy, and military service) that are required by law (such as by the Servicemembers Civil Relief Act), as well as in school assistance, that are considered separate from our active loss mitigation programs, or do not exceed the significance threshold. We do not consider borrowers eligible for these other administrative forbearances to be experiencing financial difficulty.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Currently, we generally grant forbearance for up to 12 months over the life of the loan, in increments of one to two months at a time, although extended grace forbearance is typically granted in one six-month increment. Disaster forbearance and certain other limited instances do not apply toward the 12-month limit. We also currently require 12 months of positive payment performance by a borrower (meaning the borrower must make payment in a cumulative amount equivalent to 12 monthly required payments under the loan) between successive grants of forbearance and between forbearance grants and certain other repayment alternatives. This required period of positive payment performance is not necessary to receive additional increments of extended grace forbearance or for a borrower to receive a contractual interest rate reduction. In addition, we currently limit the participation of delinquent borrowers in certain short-term extended or interest-only repayment alternatives to once in 12 months and twice in five years. We also now count the number of months a borrower receives a short-term extended repayment alternative toward the 12-month forbearance limit described above.</w:t>
      </w:r>
    </w:p>
    <w:p>
      <w:pPr>
        <w:pStyle w:val="TextBody"/>
        <w:bidi w:val="0"/>
        <w:spacing w:lineRule="auto" w:line="288" w:before="120" w:after="283"/>
        <w:ind w:left="0" w:right="0" w:firstLine="405"/>
        <w:jc w:val="left"/>
        <w:rPr>
          <w:rFonts w:ascii="Arial;sans-serif" w:hAnsi="Arial;sans-serif"/>
          <w:b w:val="false"/>
          <w:i/>
          <w:color w:val="000000"/>
          <w:sz w:val="20"/>
        </w:rPr>
      </w:pPr>
      <w:r>
        <w:rPr>
          <w:rFonts w:ascii="Arial;sans-serif" w:hAnsi="Arial;sans-serif"/>
          <w:b w:val="false"/>
          <w:i/>
          <w:color w:val="000000"/>
          <w:sz w:val="20"/>
        </w:rPr>
        <w:t>Modification Programs other than Forbearances</w:t>
      </w:r>
    </w:p>
    <w:p>
      <w:pPr>
        <w:pStyle w:val="TextBody"/>
        <w:bidi w:val="0"/>
        <w:spacing w:lineRule="auto" w:line="288" w:before="120" w:after="283"/>
        <w:ind w:left="0" w:right="0" w:firstLine="495"/>
        <w:jc w:val="left"/>
        <w:rPr/>
      </w:pPr>
      <w:r>
        <w:rPr>
          <w:rFonts w:ascii="Arial;sans-serif" w:hAnsi="Arial;sans-serif"/>
          <w:b w:val="false"/>
          <w:color w:val="000000"/>
          <w:sz w:val="20"/>
        </w:rPr>
        <w:t>For borrowers experiencing more severe hardship, following evaluation of their ability and willingness to repay, we currently use modification programs tailored to the financial condition of the individual borrower.</w:t>
      </w:r>
      <w:r>
        <w:rPr>
          <w:color w:val="000000"/>
        </w:rPr>
        <w:t xml:space="preserve"> </w:t>
      </w:r>
      <w:r>
        <w:rPr>
          <w:rFonts w:ascii="Arial;sans-serif" w:hAnsi="Arial;sans-serif"/>
          <w:b w:val="false"/>
          <w:color w:val="000000"/>
          <w:sz w:val="20"/>
        </w:rPr>
        <w:t xml:space="preserve">Pursuant to our modification programs, we may reduce the contractual interest rate on a loan to a rate between 2 percent and 8 percent temporarily, and/or in some instances may permanently extend the final maturity of a loan. For borrowers experiencing the most severe financial conditions, we may permanently reduce the contractual interest rate on a loan to 2 percent for the remaining life of the loan and also permanently extend the final maturity of the loan. Following modification, borrowers who are delinquent but meet specific payment requirements curing their delinquency will be brought current. We currently limit the granting of a permanent extension of the final maturity date of a loan to once over the life of the loan, and the number of interest rate reductions to twice over the life of the loan.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Modifications under these programs are generally considered loan modifications to borrowers experiencing financial difficulty. See Note 5, “Allowance for Credit Losses and Unfunded Commitments — Loan Modifications to Borrowers Experiencing Financial Difficulty” in this Form 10-Q for disclosures related to these modification programs. However, in some situations, we may offer on a limited basis term extensions or rate reductions or a combination of both to borrowers to reduce consolidation activities. We do not consider these to be modifications of loans to borrowers experiencing financial difficulty. </w:t>
      </w:r>
    </w:p>
    <w:p>
      <w:pPr>
        <w:pStyle w:val="TextBody"/>
        <w:bidi w:val="0"/>
        <w:spacing w:lineRule="auto" w:line="288" w:before="120" w:after="283"/>
        <w:ind w:left="0" w:right="0" w:firstLine="405"/>
        <w:jc w:val="left"/>
        <w:rPr>
          <w:rFonts w:ascii="Arial;sans-serif" w:hAnsi="Arial;sans-serif"/>
          <w:b w:val="false"/>
          <w:i/>
          <w:color w:val="000000"/>
          <w:sz w:val="20"/>
        </w:rPr>
      </w:pPr>
      <w:r>
        <w:rPr>
          <w:rFonts w:ascii="Arial;sans-serif" w:hAnsi="Arial;sans-serif"/>
          <w:b w:val="false"/>
          <w:i/>
          <w:color w:val="000000"/>
          <w:sz w:val="20"/>
        </w:rPr>
        <w:t>Delinquency Trends by Active Repayment Status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tables below show the composition and status of the Private Education Loan portfolio held for investment aged by number of months in active repayment status (months for which a scheduled monthly payment was due). Active repayment status includes loans on which borrowers are making interest only or fixed payments, as well as loans that have entered full principal and interest repayment status after any applicable grace period. Our experience shows that the percentage of loans in forbearance status generally decreases the longer the loans have been in active repayment status. At September 30, 2026, Private Education Loans (held for investment) in forbearance that have been in active repayment status for fewer than 25 months as a percentage of all loans in repayment and forbearance were 1.7 percent. At September 30, 2026, approximately 74 percent of our Private Education Loans (held for investment) in forbearance status have been in active repayment status for fewer than 25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67</w:t>
                      </w:r>
                    </w:p>
                  </w:txbxContent>
                </v:textbox>
                <w10:wrap type="none"/>
              </v:rect>
            </w:pict>
          </mc:Fallback>
        </mc:AlternateContent>
      </w:r>
    </w:p>
    <w:p>
      <w:pPr>
        <w:pStyle w:val="TextBody"/>
        <w:bidi w:val="0"/>
        <w:spacing w:before="90" w:after="283"/>
        <w:jc w:val="left"/>
        <w:rPr/>
      </w:pPr>
      <w:r>
        <w:rPr/>
      </w:r>
    </w:p>
    <w:tbl>
      <w:tblPr>
        <w:tblW w:w="12164" w:type="dxa"/>
        <w:jc w:val="left"/>
        <w:tblInd w:w="0" w:type="dxa"/>
        <w:tblLayout w:type="fixed"/>
        <w:tblCellMar>
          <w:top w:w="28" w:type="dxa"/>
          <w:left w:w="28" w:type="dxa"/>
          <w:bottom w:w="28" w:type="dxa"/>
          <w:right w:w="28" w:type="dxa"/>
        </w:tblCellMar>
      </w:tblPr>
      <w:tblGrid>
        <w:gridCol w:w="1017"/>
        <w:gridCol w:w="658"/>
        <w:gridCol w:w="336"/>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6"/>
        <w:gridCol w:w="631"/>
        <w:gridCol w:w="279"/>
        <w:gridCol w:w="109"/>
        <w:gridCol w:w="109"/>
        <w:gridCol w:w="109"/>
        <w:gridCol w:w="211"/>
        <w:gridCol w:w="616"/>
        <w:gridCol w:w="271"/>
        <w:gridCol w:w="109"/>
        <w:gridCol w:w="109"/>
        <w:gridCol w:w="109"/>
        <w:gridCol w:w="211"/>
        <w:gridCol w:w="721"/>
        <w:gridCol w:w="316"/>
      </w:tblGrid>
      <w:tr>
        <w:trPr/>
        <w:tc>
          <w:tcPr>
            <w:tcW w:w="101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As of September 30, 2026</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 Loans Held for Investment</w:t>
              <w:br/>
              <w:t>Aged by Number of Months in Active Repayment 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Not Yet in</w:t>
              <w:br/>
              <w:t>Repayment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xml:space="preserve">Total </w:t>
            </w:r>
          </w:p>
        </w:tc>
      </w:tr>
      <w:tr>
        <w:trPr/>
        <w:tc>
          <w:tcPr>
            <w:tcW w:w="2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0 to 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13 to 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25 to 36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37 to 48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More than 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01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in-school/grace/deferment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current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4,035 </w:t>
            </w:r>
          </w:p>
        </w:tc>
        <w:tc>
          <w:tcPr>
            <w:tcW w:w="27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15,369 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delinquent 30-59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delinquent 60-89 days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7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- 90 days or greater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5,382 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27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21,966 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18"/>
              </w:rPr>
            </w:pPr>
            <w:r>
              <w:rPr>
                <w:rFonts w:ascii="Arial;sans-serif" w:hAnsi="Arial;sans-serif"/>
                <w:b w:val="false"/>
                <w:color w:val="144F82"/>
                <w:sz w:val="18"/>
              </w:rPr>
              <w:t>Total Private Education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forbearance as a percentage of total Private Education Loans in repayment and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80" w:after="283"/>
        <w:ind w:left="0" w:right="0" w:firstLine="495"/>
        <w:jc w:val="left"/>
        <w:rPr/>
      </w:pPr>
      <w:r>
        <w:rPr/>
      </w:r>
    </w:p>
    <w:p>
      <w:pPr>
        <w:pStyle w:val="TextBody"/>
        <w:bidi w:val="0"/>
        <w:spacing w:before="0" w:after="0"/>
        <w:jc w:val="center"/>
        <w:rPr/>
      </w:pPr>
      <w:r>
        <w:rPr/>
      </w:r>
    </w:p>
    <w:tbl>
      <w:tblPr>
        <w:tblW w:w="12164" w:type="dxa"/>
        <w:jc w:val="center"/>
        <w:tblInd w:w="0" w:type="dxa"/>
        <w:tblLayout w:type="fixed"/>
        <w:tblCellMar>
          <w:top w:w="28" w:type="dxa"/>
          <w:left w:w="28" w:type="dxa"/>
          <w:bottom w:w="28" w:type="dxa"/>
          <w:right w:w="28" w:type="dxa"/>
        </w:tblCellMar>
      </w:tblPr>
      <w:tblGrid>
        <w:gridCol w:w="1017"/>
        <w:gridCol w:w="658"/>
        <w:gridCol w:w="336"/>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6"/>
        <w:gridCol w:w="631"/>
        <w:gridCol w:w="279"/>
        <w:gridCol w:w="109"/>
        <w:gridCol w:w="109"/>
        <w:gridCol w:w="109"/>
        <w:gridCol w:w="211"/>
        <w:gridCol w:w="616"/>
        <w:gridCol w:w="271"/>
        <w:gridCol w:w="109"/>
        <w:gridCol w:w="109"/>
        <w:gridCol w:w="109"/>
        <w:gridCol w:w="211"/>
        <w:gridCol w:w="721"/>
        <w:gridCol w:w="316"/>
      </w:tblGrid>
      <w:tr>
        <w:trPr/>
        <w:tc>
          <w:tcPr>
            <w:tcW w:w="101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As of September 30, 2025</w:t>
            </w:r>
          </w:p>
          <w:p>
            <w:pPr>
              <w:pStyle w:val="TableContents"/>
              <w:bidi w:val="0"/>
              <w:spacing w:lineRule="auto" w:line="240" w:before="0" w:after="0"/>
              <w:jc w:val="left"/>
              <w:rPr>
                <w:rFonts w:ascii="Arial;sans-serif" w:hAnsi="Arial;sans-serif"/>
                <w:b/>
                <w:color w:val="144F82"/>
                <w:sz w:val="14"/>
              </w:rPr>
            </w:pPr>
            <w:r>
              <w:rPr>
                <w:rFonts w:ascii="Arial;sans-serif" w:hAnsi="Arial;sans-serif"/>
                <w:b/>
                <w:color w:val="144F82"/>
                <w:sz w:val="14"/>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Private Education Loans Held for Investment</w:t>
              <w:br/>
              <w:t>Aged by Number of Months in Active Repayment 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Not Yet in</w:t>
              <w:br/>
              <w:t>Repayment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 xml:space="preserve">Total </w:t>
            </w:r>
          </w:p>
        </w:tc>
      </w:tr>
      <w:tr>
        <w:trPr/>
        <w:tc>
          <w:tcPr>
            <w:tcW w:w="20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0 to 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13 to 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25 to 36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37 to 48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More than 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01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in-school/grace/deferment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6,406 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current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3,616 </w:t>
            </w:r>
          </w:p>
        </w:tc>
        <w:tc>
          <w:tcPr>
            <w:tcW w:w="27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15,639 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delinquent 30-59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delinquent 60-89 days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repayment - 90 days or greater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6,133 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2,098 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3,838 </w:t>
            </w:r>
          </w:p>
        </w:tc>
        <w:tc>
          <w:tcPr>
            <w:tcW w:w="27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6,406 </w:t>
            </w:r>
          </w:p>
        </w:tc>
        <w:tc>
          <w:tcPr>
            <w:tcW w:w="271"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23,030 </w:t>
            </w:r>
          </w:p>
        </w:tc>
        <w:tc>
          <w:tcPr>
            <w:tcW w:w="316"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origination costs and unamortized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w:t>
            </w:r>
          </w:p>
        </w:tc>
        <w:tc>
          <w:tcPr>
            <w:tcW w:w="31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44F82"/>
                <w:sz w:val="18"/>
              </w:rPr>
            </w:pPr>
            <w:r>
              <w:rPr>
                <w:rFonts w:ascii="Arial;sans-serif" w:hAnsi="Arial;sans-serif"/>
                <w:b w:val="false"/>
                <w:color w:val="144F82"/>
                <w:sz w:val="18"/>
              </w:rPr>
              <w:t>Total Private Education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in forbearance as a percentage of total Private Education Loans in repayment and forbearance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68</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Private Education Loans Held for Investment Types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regarding the loans in repayment balance and total loan balance by Private Education Loan held for investment product type at September 30, 2026 and December 31, 2025. </w:t>
      </w:r>
    </w:p>
    <w:p>
      <w:pPr>
        <w:pStyle w:val="TextBody"/>
        <w:bidi w:val="0"/>
        <w:spacing w:before="90" w:after="283"/>
        <w:ind w:left="0" w:right="0" w:firstLine="495"/>
        <w:jc w:val="left"/>
        <w:rPr/>
      </w:pPr>
      <w:r>
        <w:rPr/>
      </w:r>
    </w:p>
    <w:p>
      <w:pPr>
        <w:pStyle w:val="TextBody"/>
        <w:bidi w:val="0"/>
        <w:spacing w:lineRule="auto" w:line="288" w:before="0" w:after="0"/>
        <w:jc w:val="center"/>
        <w:rPr>
          <w:color w:val="000000"/>
        </w:rPr>
      </w:pPr>
      <w:r>
        <w:rPr>
          <w:color w:val="000000"/>
        </w:rPr>
        <w:t> </w:t>
      </w:r>
    </w:p>
    <w:tbl>
      <w:tblPr>
        <w:tblW w:w="9365"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109"/>
        <w:gridCol w:w="109"/>
        <w:gridCol w:w="109"/>
        <w:gridCol w:w="109"/>
        <w:gridCol w:w="211"/>
        <w:gridCol w:w="1081"/>
        <w:gridCol w:w="109"/>
        <w:gridCol w:w="109"/>
        <w:gridCol w:w="109"/>
        <w:gridCol w:w="109"/>
        <w:gridCol w:w="109"/>
        <w:gridCol w:w="109"/>
        <w:gridCol w:w="211"/>
        <w:gridCol w:w="976"/>
        <w:gridCol w:w="109"/>
        <w:gridCol w:w="109"/>
        <w:gridCol w:w="109"/>
        <w:gridCol w:w="109"/>
        <w:gridCol w:w="211"/>
        <w:gridCol w:w="826"/>
        <w:gridCol w:w="109"/>
        <w:gridCol w:w="109"/>
        <w:gridCol w:w="109"/>
        <w:gridCol w:w="109"/>
        <w:gridCol w:w="211"/>
        <w:gridCol w:w="108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September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Smart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Graduate</w:t>
              <w:br/>
              <w:t>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Other</w:t>
            </w:r>
            <w:r>
              <w:rPr>
                <w:rFonts w:ascii="Arial;sans-serif" w:hAnsi="Arial;sans-serif"/>
                <w:b/>
                <w:color w:val="144F82"/>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w:t>
            </w:r>
          </w:p>
        </w:tc>
      </w:tr>
      <w:tr>
        <w:trPr/>
        <w:tc>
          <w:tcPr>
            <w:tcW w:w="211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in repayment</w:t>
            </w:r>
            <w:r>
              <w:rPr>
                <w:rFonts w:ascii="Arial;sans-serif" w:hAnsi="Arial;sans-serif"/>
                <w:b w:val="false"/>
                <w:color w:val="000000"/>
                <w:sz w:val="12"/>
              </w:rPr>
              <w:t>(2)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13,576,307 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2,158,715 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308,419 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16,043,441 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in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21,966,017 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p>
    <w:p>
      <w:pPr>
        <w:pStyle w:val="TextBody"/>
        <w:bidi w:val="0"/>
        <w:spacing w:before="90" w:after="60"/>
        <w:ind w:left="0" w:right="0" w:firstLine="495"/>
        <w:jc w:val="center"/>
        <w:rPr/>
      </w:pPr>
      <w:r>
        <w:rPr/>
      </w:r>
    </w:p>
    <w:p>
      <w:pPr>
        <w:pStyle w:val="TextBody"/>
        <w:bidi w:val="0"/>
        <w:spacing w:lineRule="auto" w:line="288" w:before="90" w:after="283"/>
        <w:ind w:left="0" w:right="0" w:firstLine="495"/>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071"/>
        <w:gridCol w:w="938"/>
        <w:gridCol w:w="944"/>
        <w:gridCol w:w="109"/>
        <w:gridCol w:w="109"/>
        <w:gridCol w:w="109"/>
        <w:gridCol w:w="109"/>
        <w:gridCol w:w="109"/>
        <w:gridCol w:w="109"/>
        <w:gridCol w:w="109"/>
        <w:gridCol w:w="211"/>
        <w:gridCol w:w="1081"/>
        <w:gridCol w:w="109"/>
        <w:gridCol w:w="109"/>
        <w:gridCol w:w="109"/>
        <w:gridCol w:w="109"/>
        <w:gridCol w:w="109"/>
        <w:gridCol w:w="109"/>
        <w:gridCol w:w="211"/>
        <w:gridCol w:w="976"/>
        <w:gridCol w:w="109"/>
        <w:gridCol w:w="109"/>
        <w:gridCol w:w="109"/>
        <w:gridCol w:w="109"/>
        <w:gridCol w:w="211"/>
        <w:gridCol w:w="826"/>
        <w:gridCol w:w="109"/>
        <w:gridCol w:w="109"/>
        <w:gridCol w:w="109"/>
        <w:gridCol w:w="109"/>
        <w:gridCol w:w="211"/>
        <w:gridCol w:w="1081"/>
        <w:gridCol w:w="155"/>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December 31, 2025 (dollars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Smart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Graduate</w:t>
              <w:br/>
              <w:t>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Other</w:t>
            </w:r>
            <w:r>
              <w:rPr>
                <w:rFonts w:ascii="Arial;sans-serif" w:hAnsi="Arial;sans-serif"/>
                <w:b/>
                <w:color w:val="144F82"/>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w:t>
            </w:r>
          </w:p>
        </w:tc>
      </w:tr>
      <w:tr>
        <w:trPr/>
        <w:tc>
          <w:tcPr>
            <w:tcW w:w="2953"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in repayment</w:t>
            </w:r>
            <w:r>
              <w:rPr>
                <w:rFonts w:ascii="Arial;sans-serif" w:hAnsi="Arial;sans-serif"/>
                <w:b w:val="false"/>
                <w:color w:val="000000"/>
                <w:sz w:val="12"/>
              </w:rPr>
              <w:t>(2)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13,806,666 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1,765,589 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322,572 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15,894,827 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in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21,660,434 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hanging="270"/>
        <w:jc w:val="left"/>
        <w:rPr>
          <w:rFonts w:ascii="Arial;sans-serif" w:hAnsi="Arial;sans-serif"/>
          <w:b w:val="false"/>
          <w:color w:val="000000"/>
          <w:sz w:val="14"/>
        </w:rPr>
      </w:pPr>
      <w:r>
        <w:rPr>
          <w:rFonts w:ascii="Arial;sans-serif" w:hAnsi="Arial;sans-serif"/>
          <w:b w:val="false"/>
          <w:color w:val="000000"/>
          <w:sz w:val="14"/>
        </w:rPr>
        <w:t>(1) Other includes Parent Loan and Career training loan products, both of which were discontinued, with final disbursements made in 2023.</w:t>
      </w:r>
    </w:p>
    <w:p>
      <w:pPr>
        <w:pStyle w:val="TextBody"/>
        <w:bidi w:val="0"/>
        <w:spacing w:lineRule="auto" w:line="288" w:before="90" w:after="283"/>
        <w:ind w:left="0" w:right="0" w:hanging="270"/>
        <w:jc w:val="left"/>
        <w:rPr>
          <w:rFonts w:ascii="Arial;sans-serif" w:hAnsi="Arial;sans-serif"/>
          <w:b w:val="false"/>
          <w:color w:val="000000"/>
          <w:sz w:val="14"/>
        </w:rPr>
      </w:pPr>
      <w:r>
        <w:rPr>
          <w:rFonts w:ascii="Arial;sans-serif" w:hAnsi="Arial;sans-serif"/>
          <w:b w:val="false"/>
          <w:color w:val="000000"/>
          <w:sz w:val="14"/>
        </w:rPr>
        <w:t>(2) Loans in repayment include loans on which borrowers are making interest only or fixed payments, as well as loans that have entered full principal and interest repayment status after any applicable grace period (but, for purposes of the table, do not include loans in the “loans in forbearance” metric).</w:t>
      </w:r>
    </w:p>
    <w:p>
      <w:pPr>
        <w:pStyle w:val="TextBody"/>
        <w:bidi w:val="0"/>
        <w:spacing w:before="90" w:after="283"/>
        <w:ind w:left="0" w:right="0" w:hanging="27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69</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Accrued Interest Receivable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regarding accrued interest receivable on our Private Education Loans. The table also discloses the amount of accrued interest on loans 90 days or greater past due as compared to our allowance for uncollectible interest. The majority of the total accrued interest receivable represents accrued interest on deferred loans where no payments are due while the borrower is in school and fixed-pay loans where the borrower makes a $25 monthly payment that is smaller than the interest accruing on the loan in that month. The accrued interest on these loans will be capitalized to the balance of the loans when the borrower exits the grace period after separation from school. The allowance for credit losses considers both the collectibility of principal and accrued interest. The allowance for uncollectible interest estimates the additional uncollectible interest that is not captured in the allowance for credit losses. </w:t>
      </w:r>
    </w:p>
    <w:tbl>
      <w:tblPr>
        <w:tblW w:w="8374" w:type="dxa"/>
        <w:jc w:val="center"/>
        <w:tblInd w:w="0" w:type="dxa"/>
        <w:tblLayout w:type="fixed"/>
        <w:tblCellMar>
          <w:top w:w="28" w:type="dxa"/>
          <w:left w:w="28" w:type="dxa"/>
          <w:bottom w:w="28" w:type="dxa"/>
          <w:right w:w="28" w:type="dxa"/>
        </w:tblCellMar>
      </w:tblPr>
      <w:tblGrid>
        <w:gridCol w:w="645"/>
        <w:gridCol w:w="568"/>
        <w:gridCol w:w="571"/>
        <w:gridCol w:w="109"/>
        <w:gridCol w:w="109"/>
        <w:gridCol w:w="109"/>
        <w:gridCol w:w="334"/>
        <w:gridCol w:w="1548"/>
        <w:gridCol w:w="172"/>
        <w:gridCol w:w="109"/>
        <w:gridCol w:w="109"/>
        <w:gridCol w:w="109"/>
        <w:gridCol w:w="520"/>
        <w:gridCol w:w="1520"/>
        <w:gridCol w:w="269"/>
        <w:gridCol w:w="109"/>
        <w:gridCol w:w="109"/>
        <w:gridCol w:w="109"/>
        <w:gridCol w:w="242"/>
        <w:gridCol w:w="827"/>
        <w:gridCol w:w="17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Private Education Loans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7"/>
              </w:rPr>
              <w:t>Accrued Interest Receivable</w:t>
            </w:r>
            <w:r>
              <w:rPr>
                <w:color w:val="144F82"/>
              </w:rPr>
              <w:t xml:space="preserve"> </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Total Interest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90 Days or Greater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7"/>
              </w:rPr>
            </w:pPr>
            <w:r>
              <w:rPr>
                <w:rFonts w:ascii="Arial;sans-serif" w:hAnsi="Arial;sans-serif"/>
                <w:b/>
                <w:color w:val="144F82"/>
                <w:sz w:val="17"/>
              </w:rPr>
              <w:t>Allowance for</w:t>
            </w:r>
          </w:p>
          <w:p>
            <w:pPr>
              <w:pStyle w:val="TableContents"/>
              <w:bidi w:val="0"/>
              <w:spacing w:lineRule="auto" w:line="240" w:before="0" w:after="0"/>
              <w:jc w:val="center"/>
              <w:rPr>
                <w:rFonts w:ascii="Arial;sans-serif" w:hAnsi="Arial;sans-serif"/>
                <w:b/>
                <w:color w:val="144F82"/>
                <w:sz w:val="17"/>
              </w:rPr>
            </w:pPr>
            <w:r>
              <w:rPr>
                <w:rFonts w:ascii="Arial;sans-serif" w:hAnsi="Arial;sans-serif"/>
                <w:b/>
                <w:color w:val="144F82"/>
                <w:sz w:val="17"/>
              </w:rPr>
              <w:t>Uncollectible</w:t>
            </w:r>
          </w:p>
          <w:p>
            <w:pPr>
              <w:pStyle w:val="TableContents"/>
              <w:bidi w:val="0"/>
              <w:spacing w:lineRule="auto" w:line="240" w:before="0" w:after="0"/>
              <w:jc w:val="center"/>
              <w:rPr/>
            </w:pPr>
            <w:r>
              <w:rPr>
                <w:rFonts w:ascii="Arial;sans-serif" w:hAnsi="Arial;sans-serif"/>
                <w:b/>
                <w:color w:val="144F82"/>
                <w:sz w:val="17"/>
              </w:rPr>
              <w:t>Interest</w:t>
            </w:r>
            <w:r>
              <w:rPr>
                <w:rFonts w:ascii="Arial;sans-serif" w:hAnsi="Arial;sans-serif"/>
                <w:b/>
                <w:color w:val="144F82"/>
                <w:sz w:val="11"/>
              </w:rPr>
              <w:t>(1)(2)</w:t>
            </w:r>
          </w:p>
        </w:tc>
      </w:tr>
      <w:tr>
        <w:trPr/>
        <w:tc>
          <w:tcPr>
            <w:tcW w:w="178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30, 2026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1,674,856 </w:t>
            </w:r>
          </w:p>
        </w:tc>
        <w:tc>
          <w:tcPr>
            <w:tcW w:w="172"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6,073 </w:t>
            </w:r>
          </w:p>
        </w:tc>
        <w:tc>
          <w:tcPr>
            <w:tcW w:w="26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13,025 </w:t>
            </w:r>
          </w:p>
        </w:tc>
        <w:tc>
          <w:tcPr>
            <w:tcW w:w="17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1,570,069 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30, 2025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8"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1,693,268 </w:t>
            </w:r>
          </w:p>
        </w:tc>
        <w:tc>
          <w:tcPr>
            <w:tcW w:w="17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6,378 </w:t>
            </w:r>
          </w:p>
        </w:tc>
        <w:tc>
          <w:tcPr>
            <w:tcW w:w="2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13,187 </w:t>
            </w:r>
          </w:p>
        </w:tc>
        <w:tc>
          <w:tcPr>
            <w:tcW w:w="17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left"/>
        <w:rPr/>
      </w:pPr>
      <w:r>
        <w:rPr>
          <w:rFonts w:ascii="Arial;sans-serif" w:hAnsi="Arial;sans-serif"/>
          <w:b w:val="false"/>
          <w:color w:val="000000"/>
          <w:sz w:val="9"/>
        </w:rPr>
        <w:t>(1)</w:t>
      </w:r>
      <w:r>
        <w:rPr>
          <w:rFonts w:ascii="Arial;sans-serif" w:hAnsi="Arial;sans-serif"/>
          <w:b w:val="false"/>
          <w:color w:val="000000"/>
          <w:sz w:val="14"/>
        </w:rPr>
        <w:t>The allowance for uncollectible interest at September 30, 2026 and 2025 represents the expected losses related to the portion of accrued interest receivable on those loans that are in repayment (at September 30, 2026 and 2025, relates to $156 million and $155 million, respectively, of accrued interest receivable) that is/was not expected to be capitalized. The accrued interest receivable that is/was expected to be capitalized ($1.5 billion at both September 30, 2026 and 2025) is/was reserved in the allowance for credit losses.</w:t>
      </w:r>
    </w:p>
    <w:p>
      <w:pPr>
        <w:pStyle w:val="TextBody"/>
        <w:bidi w:val="0"/>
        <w:spacing w:lineRule="auto" w:line="288" w:before="180" w:after="283"/>
        <w:ind w:left="0" w:right="0" w:hanging="180"/>
        <w:jc w:val="left"/>
        <w:rPr/>
      </w:pPr>
      <w:r>
        <w:rPr>
          <w:rFonts w:ascii="Arial;sans-serif" w:hAnsi="Arial;sans-serif"/>
          <w:b w:val="false"/>
          <w:color w:val="000000"/>
          <w:sz w:val="9"/>
        </w:rPr>
        <w:t>(2)</w:t>
      </w:r>
      <w:r>
        <w:rPr>
          <w:rFonts w:ascii="Arial;sans-serif" w:hAnsi="Arial;sans-serif"/>
          <w:b w:val="false"/>
          <w:color w:val="000000"/>
          <w:sz w:val="14"/>
        </w:rPr>
        <w:t>The allowance for uncollectible interest at December 31, 2025 represents the expected losses related to the portion of accrued interest receivable on those loans in repayment ($164 million of accrued interest receivable) that was not expected to be capitalized. The accrued interest receivable that was expected to be capitalized ($1.4 billion) was reserved in the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70</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70" w:after="283"/>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90" w:after="283"/>
        <w:jc w:val="left"/>
        <w:rPr>
          <w:rFonts w:ascii="Arial;sans-serif" w:hAnsi="Arial;sans-serif"/>
          <w:b/>
          <w:i/>
          <w:color w:val="000000"/>
          <w:sz w:val="20"/>
        </w:rPr>
      </w:pPr>
      <w:r>
        <w:rPr>
          <w:rFonts w:ascii="Arial;sans-serif" w:hAnsi="Arial;sans-serif"/>
          <w:b/>
          <w:i/>
          <w:color w:val="000000"/>
          <w:sz w:val="20"/>
        </w:rPr>
        <w:t>Funding and Liquidity Risk Management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primary funding and liquidity objective is to support our businesses throughout market cycles, including during periods of financial stress. Our business needs primarily include funding originations of Private Education Loans and meeting any deposits outflows at the Bank. To achieve these objectives, we maintain access to a diverse set of funding sources, such as retail deposits, brokered deposits, asset-backed securitizations, unsecured debt, other financing facilities, strategic partnerships, and loan sales. We maintained liquidity reserves in the form of unrestricted cash and liquid investments of $4.3 billion and $5.4 billion as of September 30, 2026 and December 31, 2025, respectively, as noted in the table below.</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At September 30, 2026 and December 31, 2025, our sources of liquidity included unrestricted cash, primarily held at the Federal Reserve Bank, and liquid investments with unrealized losses of $100.5 million and $61.2 million, respectively. It is our policy to maintain a liquidity stockpile that is sufficient in size and quality to meet our financial obligations in normal and stressed times. Our liquidity risk management is governed by policies approved by our Board of Directors. Oversight of these policies is performed at the Asset and Liability Committee, a management-level committee. These policies consider the volatility of cash flow forecasts, expected asset and liability maturities, anticipated loan demand, and a variety of other factors to establish minimum liquidity guidelines.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Key risks associated with our liquidity relate to our ability to access the capital markets and deposit markets at reasonable rates. This ability can be, and at times is, affected by our performance, competitive pressures, the macroeconomic environment, interest rate fluctuations, and the impact they have on the availability of funding sources in the market. We target maintaining sufficient on-balance sheet and contingent sources of liquidity to enable us to meet all contractual and contingent obligations under various stress scenarios, including severe macroeconomic stresses and specific stresses that test the resiliency of our balance sheet. At September 30, 2026, we held a significant liquidity buffer of unrestricted cash and government-backed investments, which we expect to maintain in the future. Due to the seasonal nature of our business, our liquidity levels, and the funding sources we are using to manage them, vary from quarter to quarter.</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Sources of Liquidity and Available Capacity</w:t>
      </w:r>
    </w:p>
    <w:p>
      <w:pPr>
        <w:pStyle w:val="TextBody"/>
        <w:bidi w:val="0"/>
        <w:spacing w:lineRule="auto" w:line="288" w:before="90" w:after="283"/>
        <w:jc w:val="left"/>
        <w:rPr>
          <w:rFonts w:ascii="Arial;sans-serif" w:hAnsi="Arial;sans-serif"/>
          <w:b w:val="false"/>
          <w:i/>
          <w:color w:val="000000"/>
          <w:sz w:val="20"/>
        </w:rPr>
      </w:pPr>
      <w:r>
        <w:rPr>
          <w:rFonts w:ascii="Arial;sans-serif" w:hAnsi="Arial;sans-serif"/>
          <w:b w:val="false"/>
          <w:i/>
          <w:color w:val="000000"/>
          <w:sz w:val="20"/>
        </w:rPr>
        <w:t>Ending Balances</w:t>
      </w:r>
    </w:p>
    <w:tbl>
      <w:tblPr>
        <w:tblW w:w="8199" w:type="dxa"/>
        <w:jc w:val="center"/>
        <w:tblInd w:w="0" w:type="dxa"/>
        <w:tblLayout w:type="fixed"/>
        <w:tblCellMar>
          <w:top w:w="28" w:type="dxa"/>
          <w:left w:w="28" w:type="dxa"/>
          <w:bottom w:w="28" w:type="dxa"/>
          <w:right w:w="28" w:type="dxa"/>
        </w:tblCellMar>
      </w:tblPr>
      <w:tblGrid>
        <w:gridCol w:w="1552"/>
        <w:gridCol w:w="1366"/>
        <w:gridCol w:w="1372"/>
        <w:gridCol w:w="109"/>
        <w:gridCol w:w="109"/>
        <w:gridCol w:w="109"/>
        <w:gridCol w:w="266"/>
        <w:gridCol w:w="1232"/>
        <w:gridCol w:w="137"/>
        <w:gridCol w:w="109"/>
        <w:gridCol w:w="109"/>
        <w:gridCol w:w="109"/>
        <w:gridCol w:w="255"/>
        <w:gridCol w:w="1179"/>
        <w:gridCol w:w="186"/>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December 31, 2025</w:t>
            </w:r>
          </w:p>
        </w:tc>
      </w:tr>
      <w:tr>
        <w:trPr/>
        <w:tc>
          <w:tcPr>
            <w:tcW w:w="4290"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Sources of primary liquidity:</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Unrestricted cash and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Holding Company and other non-bank subsidiaries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13,236 </w:t>
            </w:r>
          </w:p>
        </w:tc>
        <w:tc>
          <w:tcPr>
            <w:tcW w:w="13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4,421 </w:t>
            </w:r>
          </w:p>
        </w:tc>
        <w:tc>
          <w:tcPr>
            <w:tcW w:w="1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Sallie Mae Bank</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2,151,939 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4,236,844 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Available-for-sale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2,138,820 </w:t>
            </w:r>
          </w:p>
        </w:tc>
        <w:tc>
          <w:tcPr>
            <w:tcW w:w="13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1,135,886 </w:t>
            </w:r>
          </w:p>
        </w:tc>
        <w:tc>
          <w:tcPr>
            <w:tcW w:w="1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unrestricted cash and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4,303,995 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5,377,151 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15"/>
        <w:jc w:val="left"/>
        <w:rPr/>
      </w:pPr>
      <w:r>
        <w:rPr/>
      </w:r>
    </w:p>
    <w:p>
      <w:pPr>
        <w:pStyle w:val="TextBody"/>
        <w:bidi w:val="0"/>
        <w:spacing w:lineRule="auto" w:line="288" w:before="0" w:after="0"/>
        <w:ind w:left="0" w:right="0" w:hanging="315"/>
        <w:jc w:val="left"/>
        <w:rPr>
          <w:rFonts w:ascii="Arial;sans-serif" w:hAnsi="Arial;sans-serif"/>
          <w:b w:val="false"/>
          <w:color w:val="000000"/>
          <w:sz w:val="14"/>
        </w:rPr>
      </w:pPr>
      <w:r>
        <w:rPr>
          <w:rFonts w:ascii="Arial;sans-serif" w:hAnsi="Arial;sans-serif"/>
          <w:b w:val="false"/>
          <w:color w:val="000000"/>
          <w:sz w:val="14"/>
        </w:rPr>
        <w:t xml:space="preserve">(1) This amount will be used primarily to originate Private Education Loans at the Bank. </w:t>
      </w:r>
    </w:p>
    <w:p>
      <w:pPr>
        <w:pStyle w:val="TextBody"/>
        <w:bidi w:val="0"/>
        <w:spacing w:before="120" w:after="283"/>
        <w:ind w:left="0" w:right="0" w:hanging="315"/>
        <w:jc w:val="left"/>
        <w:rPr/>
      </w:pPr>
      <w:r>
        <w:rPr/>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Average Balances</w:t>
      </w:r>
    </w:p>
    <w:p>
      <w:pPr>
        <w:pStyle w:val="TextBody"/>
        <w:bidi w:val="0"/>
        <w:spacing w:lineRule="auto" w:line="288" w:before="12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42"/>
        <w:gridCol w:w="1110"/>
        <w:gridCol w:w="111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4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Three Months Ended </w:t>
              <w:br/>
              <w:t>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Nine Months Ended </w:t>
              <w:br/>
              <w:t> September 30,</w:t>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7"/>
              </w:rPr>
            </w:pPr>
            <w:r>
              <w:rPr>
                <w:rFonts w:ascii="Arial;sans-serif" w:hAnsi="Arial;sans-serif"/>
                <w:b/>
                <w:color w:val="144F82"/>
                <w:sz w:val="17"/>
              </w:rPr>
              <w:t>2025</w:t>
            </w:r>
          </w:p>
        </w:tc>
      </w:tr>
      <w:tr>
        <w:trPr/>
        <w:tc>
          <w:tcPr>
            <w:tcW w:w="366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Sources of primary liquidity:</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Unrestricted cash and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Holding Company and other non-bank subsidiaries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8,216 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Sallie Mae Bank</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2,366,728 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1,127,728 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1,560,943 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1,182,684 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unrestricted cash and liquid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4,990,350 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5,415,915 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5,176,437 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5,199,539 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(1) This amount will be used primarily to originate Private Education Loans at the Bank. </w:t>
      </w:r>
    </w:p>
    <w:p>
      <w:pPr>
        <w:pStyle w:val="TextBody"/>
        <w:bidi w:val="0"/>
        <w:spacing w:before="12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71</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 xml:space="preserve">Deposits </w:t>
      </w:r>
    </w:p>
    <w:p>
      <w:pPr>
        <w:pStyle w:val="TextBody"/>
        <w:bidi w:val="0"/>
        <w:spacing w:lineRule="auto" w:line="288" w:before="120" w:after="283"/>
        <w:ind w:left="0" w:right="0" w:firstLine="495"/>
        <w:jc w:val="left"/>
        <w:rPr/>
      </w:pPr>
      <w:r>
        <w:rPr>
          <w:rFonts w:ascii="Arial;sans-serif" w:hAnsi="Arial;sans-serif"/>
          <w:b w:val="false"/>
          <w:color w:val="000000"/>
          <w:sz w:val="20"/>
        </w:rPr>
        <w:t>The following table summarizes total deposits at September 30, 2026 and December 31, 2025.</w:t>
      </w:r>
      <w:r>
        <w:rPr>
          <w:color w:val="000000"/>
        </w:rPr>
        <w:t xml:space="preserve"> </w:t>
      </w:r>
    </w:p>
    <w:tbl>
      <w:tblPr>
        <w:tblW w:w="6265" w:type="dxa"/>
        <w:jc w:val="center"/>
        <w:tblInd w:w="0" w:type="dxa"/>
        <w:tblLayout w:type="fixed"/>
        <w:tblCellMar>
          <w:top w:w="28" w:type="dxa"/>
          <w:left w:w="28" w:type="dxa"/>
          <w:bottom w:w="28" w:type="dxa"/>
          <w:right w:w="28" w:type="dxa"/>
        </w:tblCellMar>
      </w:tblPr>
      <w:tblGrid>
        <w:gridCol w:w="960"/>
        <w:gridCol w:w="846"/>
        <w:gridCol w:w="849"/>
        <w:gridCol w:w="109"/>
        <w:gridCol w:w="109"/>
        <w:gridCol w:w="109"/>
        <w:gridCol w:w="211"/>
        <w:gridCol w:w="1081"/>
        <w:gridCol w:w="109"/>
        <w:gridCol w:w="109"/>
        <w:gridCol w:w="109"/>
        <w:gridCol w:w="109"/>
        <w:gridCol w:w="109"/>
        <w:gridCol w:w="211"/>
        <w:gridCol w:w="1081"/>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265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 interest-bearing</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20,759,720 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21,059,967 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 non-interest-bearing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20,760,905 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21,060,151 </w:t>
            </w:r>
          </w:p>
        </w:tc>
        <w:tc>
          <w:tcPr>
            <w:tcW w:w="154"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center"/>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total deposits of $20.8 billion were comprised of $9.3 billion in brokered deposits and $11.5 billion in retail and other deposits at September 30, 2026, compared with total deposits of $21.1 billion, which were comprised of $8.8 billion in brokered deposits and $12.3 billion in retail and other deposits, at December 31,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Interest-bearing deposits as of September 30, 2026 and December 31, 2025 consisted of retail and brokered non-maturity savings deposits, retail and brokered non-maturity MMDAs, and retail and brokered CDs. Interest-bearing deposits also include deposits from Educational 529 and Health Savings plans that diversify our funding sources and that we consider to be core. These and other large omnibus accounts, aggregating the deposits of many individual depositors, represented $6.5 billion and $7.6 billion of our deposit total as of September 30, 2026 and December 31, 2025, respectively. The omnibus accounts are structured in such a way that entitles the individual depositor pass-through deposit insurance (subject to FDIC rules and limitations), and the majority of these deposits have contractual minimum balances and maturity terms.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Some of our deposit products are serviced by third-party providers. Placement fees associated with the brokered CDs are amortized into interest expense using the effective interest rate method. We recognized placement fee expense of $2 million in both the three months ended September 30, 2026 and 2025 and placement fee expense of $6 million in both the nine months ended September 30, 2026 and 2025. There were $9 million fees paid to third-party brokers related to brokered CDs in the three months ended September 30, 2026 and $14 million in fees paid to third-party brokers related to brokered CDs for the nine months ended September 30, 2026. There were $4 million in fees paid to third-party brokers related to brokered CDs for both the three and nine months ended September 30, 2025. </w:t>
      </w:r>
    </w:p>
    <w:p>
      <w:pPr>
        <w:pStyle w:val="TextBody"/>
        <w:bidi w:val="0"/>
        <w:spacing w:lineRule="auto" w:line="288" w:before="100" w:after="180"/>
        <w:ind w:left="0" w:right="0" w:firstLine="495"/>
        <w:jc w:val="left"/>
        <w:rPr>
          <w:rFonts w:ascii="Arial;sans-serif" w:hAnsi="Arial;sans-serif"/>
          <w:b w:val="false"/>
          <w:color w:val="000000"/>
          <w:sz w:val="20"/>
        </w:rPr>
      </w:pPr>
      <w:r>
        <w:rPr>
          <w:rFonts w:ascii="Arial;sans-serif" w:hAnsi="Arial;sans-serif"/>
          <w:b w:val="false"/>
          <w:color w:val="000000"/>
          <w:sz w:val="20"/>
        </w:rPr>
        <w:t>Interest bearing deposits at September 30, 2026 and December 31, 2025 are summarized as follows:</w:t>
      </w:r>
    </w:p>
    <w:tbl>
      <w:tblPr>
        <w:tblW w:w="8938" w:type="dxa"/>
        <w:jc w:val="center"/>
        <w:tblInd w:w="0" w:type="dxa"/>
        <w:tblLayout w:type="fixed"/>
        <w:tblCellMar>
          <w:top w:w="28" w:type="dxa"/>
          <w:left w:w="28" w:type="dxa"/>
          <w:bottom w:w="28" w:type="dxa"/>
          <w:right w:w="28" w:type="dxa"/>
        </w:tblCellMar>
      </w:tblPr>
      <w:tblGrid>
        <w:gridCol w:w="862"/>
        <w:gridCol w:w="760"/>
        <w:gridCol w:w="762"/>
        <w:gridCol w:w="109"/>
        <w:gridCol w:w="109"/>
        <w:gridCol w:w="109"/>
        <w:gridCol w:w="211"/>
        <w:gridCol w:w="1081"/>
        <w:gridCol w:w="109"/>
        <w:gridCol w:w="109"/>
        <w:gridCol w:w="109"/>
        <w:gridCol w:w="109"/>
        <w:gridCol w:w="255"/>
        <w:gridCol w:w="256"/>
        <w:gridCol w:w="634"/>
        <w:gridCol w:w="109"/>
        <w:gridCol w:w="109"/>
        <w:gridCol w:w="109"/>
        <w:gridCol w:w="211"/>
        <w:gridCol w:w="1081"/>
        <w:gridCol w:w="109"/>
        <w:gridCol w:w="109"/>
        <w:gridCol w:w="109"/>
        <w:gridCol w:w="109"/>
        <w:gridCol w:w="255"/>
        <w:gridCol w:w="256"/>
        <w:gridCol w:w="634"/>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Qtr.-End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Average</w:t>
            </w:r>
          </w:p>
          <w:p>
            <w:pPr>
              <w:pStyle w:val="TableContents"/>
              <w:bidi w:val="0"/>
              <w:spacing w:lineRule="auto" w:line="240" w:before="0" w:after="0"/>
              <w:jc w:val="center"/>
              <w:rPr/>
            </w:pPr>
            <w:r>
              <w:rPr>
                <w:rFonts w:ascii="Arial;sans-serif" w:hAnsi="Arial;sans-serif"/>
                <w:b/>
                <w:color w:val="144F82"/>
                <w:sz w:val="16"/>
              </w:rPr>
              <w:t>Stated Rate</w:t>
            </w:r>
            <w:r>
              <w:rPr>
                <w:rFonts w:ascii="Arial;sans-serif" w:hAnsi="Arial;sans-serif"/>
                <w:b/>
                <w:color w:val="144F82"/>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Year-End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Weighted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Average</w:t>
            </w:r>
          </w:p>
          <w:p>
            <w:pPr>
              <w:pStyle w:val="TableContents"/>
              <w:bidi w:val="0"/>
              <w:spacing w:lineRule="auto" w:line="240" w:before="0" w:after="0"/>
              <w:jc w:val="center"/>
              <w:rPr/>
            </w:pPr>
            <w:r>
              <w:rPr>
                <w:rFonts w:ascii="Arial;sans-serif" w:hAnsi="Arial;sans-serif"/>
                <w:b/>
                <w:color w:val="144F82"/>
                <w:sz w:val="16"/>
              </w:rPr>
              <w:t>Stated Rate</w:t>
            </w:r>
            <w:r>
              <w:rPr>
                <w:rFonts w:ascii="Arial;sans-serif" w:hAnsi="Arial;sans-serif"/>
                <w:b/>
                <w:color w:val="144F82"/>
                <w:sz w:val="1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8,676,240 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6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10,004,845 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63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10,413,511 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6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9,877,945 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63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Deposits - interest 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20,759,720 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21,059,967 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effect of interest rate swaps in effective hedge relationships.</w:t>
      </w:r>
    </w:p>
    <w:p>
      <w:pPr>
        <w:pStyle w:val="TextBody"/>
        <w:bidi w:val="0"/>
        <w:spacing w:lineRule="auto" w:line="26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As of September 30, 2026 and December 31, 2025, there were $734 million and $557 million, respectively, of deposits exceeding FDIC insurance limits. Accrued interest on deposits was $56 million and $71 million at September 30, 2026 and December 31, 2025, respectively. </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Exposure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Counterparty exposure related to financial instruments arises from the risk that a lending, investment, or derivative counterparty will not be able to meet its obligations to us.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Excess cash is generally invested with the FRB on an overnight basis or in the FRB’s Term Deposit Facility, minimizing counterparty exposure on cash balances.</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investment portfolio is primarily comprised of a small portfolio of mortgage-backed securities issued by government agencies and government-sponsored enterprises that are purchased to meet CRA targets. Additionally,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72</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investing activity is governed by Board-approved limits on the amount that is allowed to be invested with any one issuer based on the credit rating of the issuer, further minimizing our counterparty exposure. Counterparty credit risk is considered when valuing investments and considering impairment.</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Related to derivative transactions, protection against counterparty risk is generally provided by International Swaps and Derivatives Association, Inc. Credit Support Annexes (“CSAs”), or clearinghouses for over-the-counter derivatives. CSAs require a counterparty to post collateral if a potential default would expose the other party to a loss. All derivative contracts entered into by the Bank are covered under CSAs or clearinghouse agreements and require collateral to be exchanged based on the net fair value of derivatives with each counterparty. Our exposure to the counterparty is limited to the value of the derivative contracts in a gain position, less any collateral held by us and plus collateral posted with the counterparty.</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Title VII of the Dodd-Frank Act requires all standardized derivatives, including most interest rate swaps, to be submitted for clearing to central counterparties to reduce counterparty risk. Two of the central counterparties we use are the CME and the LCH. All variation margin payments on derivatives cleared through the CME and LCH are accounted for as legal settlement. As of September 30, 2026, $9 million notional of our derivative contracts were cleared on the CME and $2 million were cleared on the LCH. The derivative contracts cleared through the CME and LCH represent 86.0 percent and 14.0 percent, respectively, of our total notional derivative contracts of $11 million at September 30, 2026.</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derivatives cleared through the CME and LCH, the net gain (loss) position includes the variation margin amounts as settlement of the derivative and not collateral against the fair value of the derivative. The amount of variation margin included as settlement as of September 30, 2026 was immaterial for both the CME and LCH. Changes in fair value for derivatives not designated as hedging instruments are presented as realized gains (losses).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exposure to the counterparty is limited to the value of the derivative contracts in a gain position less any collateral held and plus any collateral posted. When there is a net negative exposure, we consider our exposure to the counterparty to be zero. At both September 30, 2026 and December 31, 2025, we had a net positive exposure (derivative gain/loss positions to us, less collateral held by us and plus collateral posted with counterparties) related to derivatives of $0.1 million.</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have liquidity exposure related to collateral movements between us and our derivative counterparties. Movements in the value of the derivatives, which are primarily affected by changes in interest rates, may require us to return cash collateral held or may require us to access primary liquidity to post collateral to counterparties.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highlights exposure related to our derivative counterparties as of September 30, 2026.</w:t>
      </w:r>
    </w:p>
    <w:p>
      <w:pPr>
        <w:pStyle w:val="TextBody"/>
        <w:bidi w:val="0"/>
        <w:spacing w:before="180" w:after="283"/>
        <w:ind w:left="0" w:right="0" w:firstLine="495"/>
        <w:jc w:val="left"/>
        <w:rPr/>
      </w:pPr>
      <w:r>
        <w:rPr/>
      </w:r>
    </w:p>
    <w:tbl>
      <w:tblPr>
        <w:tblW w:w="9027" w:type="dxa"/>
        <w:jc w:val="center"/>
        <w:tblInd w:w="0" w:type="dxa"/>
        <w:tblLayout w:type="fixed"/>
        <w:tblCellMar>
          <w:top w:w="28" w:type="dxa"/>
          <w:left w:w="28" w:type="dxa"/>
          <w:bottom w:w="28" w:type="dxa"/>
          <w:right w:w="28" w:type="dxa"/>
        </w:tblCellMar>
      </w:tblPr>
      <w:tblGrid>
        <w:gridCol w:w="2627"/>
        <w:gridCol w:w="2304"/>
        <w:gridCol w:w="2313"/>
        <w:gridCol w:w="109"/>
        <w:gridCol w:w="109"/>
        <w:gridCol w:w="109"/>
        <w:gridCol w:w="345"/>
        <w:gridCol w:w="591"/>
        <w:gridCol w:w="520"/>
      </w:tblGrid>
      <w:tr>
        <w:trPr/>
        <w:tc>
          <w:tcPr>
            <w:tcW w:w="2627"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4"/>
              </w:rPr>
            </w:pPr>
            <w:r>
              <w:rPr>
                <w:rFonts w:ascii="Arial;sans-serif" w:hAnsi="Arial;sans-serif"/>
                <w:b/>
                <w:color w:val="144F82"/>
                <w:sz w:val="14"/>
              </w:rPr>
              <w:t>As of September 30, 2026</w:t>
              <w:b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4"/>
              </w:rPr>
            </w:pPr>
            <w:r>
              <w:rPr>
                <w:rFonts w:ascii="Arial;sans-serif" w:hAnsi="Arial;sans-serif"/>
                <w:b/>
                <w:color w:val="144F82"/>
                <w:sz w:val="14"/>
              </w:rPr>
              <w:t>SLM Corporation</w:t>
              <w:br/>
              <w:t>and Sallie Mae Bank</w:t>
              <w:br/>
              <w:t>Contracts</w:t>
            </w:r>
          </w:p>
        </w:tc>
      </w:tr>
      <w:tr>
        <w:trPr/>
        <w:tc>
          <w:tcPr>
            <w:tcW w:w="724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Total exposure, net of collateral</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520"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Exposure to counterparties with credit ratings, net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 of exposure to counterparties with credit ratings below S&amp;P AA- or Moody’s Aa3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 of exposure to counterparties with credit ratings below S&amp;P A- or Moody’s A3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Capital</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Bank is subject to various regulatory capital requirements administered by federal and state banking authorities. Failure to meet minimum capital requirements can initiate certain mandatory and possibly additional discretionary actions by regulators that, if undertaken, could have a direct material adverse effect on our business, results of operations, and financial condition. Under U.S. Basel III and the regulatory framework for prompt corrective action, the Bank must meet specific capital standards that involve quantitative measures of its assets, liabilities, and certain off-balance sheet items as calculated under regulatory accounting practices. The Bank’s capital amounts and its classification under the prompt corrective action framework are also subject to qualitative judgments by the regulators about components of capital, risk weightings,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73</w:t>
                      </w:r>
                    </w:p>
                  </w:txbxContent>
                </v:textbox>
                <w10:wrap type="none"/>
              </v:rect>
            </w:pict>
          </mc:Fallback>
        </mc:AlternateContent>
      </w:r>
    </w:p>
    <w:p>
      <w:pPr>
        <w:pStyle w:val="TextBody"/>
        <w:bidi w:val="0"/>
        <w:spacing w:before="90" w:after="283"/>
        <w:jc w:val="left"/>
        <w:rPr/>
      </w:pPr>
      <w:r>
        <w:rPr/>
      </w:r>
    </w:p>
    <w:p>
      <w:pPr>
        <w:pStyle w:val="TextBody"/>
        <w:bidi w:val="0"/>
        <w:spacing w:lineRule="auto" w:line="417" w:before="180" w:after="283"/>
        <w:jc w:val="left"/>
        <w:rPr/>
      </w:pPr>
      <w:r>
        <w:rPr>
          <w:color w:val="000000"/>
        </w:rPr>
        <w:t> </w:t>
      </w:r>
      <w:r>
        <w:rPr>
          <w:rFonts w:ascii="Arial;sans-serif" w:hAnsi="Arial;sans-serif"/>
          <w:b/>
          <w:i/>
          <w:color w:val="000000"/>
          <w:sz w:val="20"/>
        </w:rPr>
        <w:t>Capital Management</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Bank intends to maintain at all times regulatory capital levels that meet both the minimum levels required under U.S. Basel III (including applicable buffers) and the levels necessary to be considered “well capitalized” under the FDIC’s prompt corrective action framework, in order to support asset growth and operating needs, address unexpected credit risks, and protect the interests of depositors and the Deposit Insurance Fund administered by the FDIC. The Bank’s Capital Policy requires management to monitor these capital standards and the Bank’s compliance with them. The Board of Directors and management periodically evaluate the quality of assets, the stability of earnings, and the adequacy of the allowance for credit losses for the Bank. The Company is a source of strength for the Bank and will provide additional capital if necessary.</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believe that current and projected capital levels are appropriate for 2026. As of September 30, 2026, the Bank’s risk-based and leverage capital ratios exceed the required minimum ratios and the applicable buffers under the fully phased-in U.S. Basel III standards as well as the “well capitalized” standards under the prompt corrective action framework.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Under U.S. Basel III, the Bank is required to maintain the following minimum regulatory capital ratios: a Common Equity Tier 1 risk-based capital ratio of 4.5 percent, a Tier 1 risk-based capital ratio of 6.0 percent, a Total risk-based capital ratio of 8.0 percent, and a Tier 1 leverage ratio of 4.0 percent. In addition, the Bank is subject to a Common Equity Tier 1 capital conservation buffer of greater than 2.5 percent. Failure to maintain the buffer will result in restrictions on the Bank’s ability to make capital distributions, including the payment of dividends, and to pay discretionary bonuses to executive officers. Including the buffer, the Bank is required to maintain the following capital ratios under U.S. Basel III in order to avoid such restrictions: a Common Equity Tier 1 risk-based capital ratio of greater than 7.0 percent, a Tier 1 risk-based capital ratio of greater than 8.5 percent, and a Total risk-based capital ratio of greater than 10.5 percent.</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To qualify as “well capitalized” under the prompt corrective action framework for insured depository institutions, the Bank must maintain a Common Equity Tier 1 risk-based capital ratio of at least 6.5 percent, a Tier 1 risk-based capital ratio of at least 8.0 percent, a Total risk-based capital ratio of at least 10.0 percent, and a Tier 1 leverage ratio of at least 5.0 percent.</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Bank’s required and actual regulatory capital amounts and ratios, including applicable capital conservation buffers, under U.S. Basel III are shown in the following table. The following capital amounts and ratios are based upon the Bank’s average assets and risk-weighted assets, as indicated. The Bank has elected to exclude accumulated other comprehensive income related to both available-for-sale investments and swap valuations from Common Equity Tier 1 Capital.</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3"/>
        <w:gridCol w:w="1446"/>
        <w:gridCol w:w="1447"/>
        <w:gridCol w:w="109"/>
        <w:gridCol w:w="109"/>
        <w:gridCol w:w="109"/>
        <w:gridCol w:w="211"/>
        <w:gridCol w:w="976"/>
        <w:gridCol w:w="109"/>
        <w:gridCol w:w="255"/>
        <w:gridCol w:w="256"/>
        <w:gridCol w:w="310"/>
        <w:gridCol w:w="109"/>
        <w:gridCol w:w="109"/>
        <w:gridCol w:w="109"/>
        <w:gridCol w:w="258"/>
        <w:gridCol w:w="1196"/>
        <w:gridCol w:w="132"/>
        <w:gridCol w:w="132"/>
        <w:gridCol w:w="132"/>
        <w:gridCol w:w="132"/>
        <w:gridCol w:w="255"/>
        <w:gridCol w:w="256"/>
        <w:gridCol w:w="395"/>
      </w:tblGrid>
      <w:tr>
        <w:trPr/>
        <w:tc>
          <w:tcPr>
            <w:tcW w:w="165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5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8"/>
              </w:rPr>
            </w:pPr>
            <w:r>
              <w:rPr>
                <w:rFonts w:ascii="Arial;sans-serif" w:hAnsi="Arial;sans-serif"/>
                <w:b/>
                <w:color w:val="144F82"/>
                <w:sz w:val="18"/>
              </w:rPr>
              <w:t>U.S. Basel III Minimum</w:t>
            </w:r>
          </w:p>
          <w:p>
            <w:pPr>
              <w:pStyle w:val="TableContents"/>
              <w:bidi w:val="0"/>
              <w:spacing w:lineRule="auto" w:line="240" w:before="0" w:after="0"/>
              <w:jc w:val="center"/>
              <w:rPr/>
            </w:pPr>
            <w:r>
              <w:rPr>
                <w:rFonts w:ascii="Arial;sans-serif" w:hAnsi="Arial;sans-serif"/>
                <w:b/>
                <w:color w:val="144F82"/>
                <w:sz w:val="18"/>
              </w:rPr>
              <w:t>Requirements Plus Buffer</w:t>
            </w:r>
            <w:r>
              <w:rPr>
                <w:rFonts w:ascii="Arial;sans-serif" w:hAnsi="Arial;sans-serif"/>
                <w:b/>
                <w:color w:val="144F82"/>
                <w:sz w:val="12"/>
              </w:rPr>
              <w:t>(1)(2)</w:t>
            </w:r>
          </w:p>
        </w:tc>
      </w:tr>
      <w:tr>
        <w:trPr/>
        <w:tc>
          <w:tcPr>
            <w:tcW w:w="4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Amount</w:t>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Amount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Ratio</w:t>
            </w:r>
          </w:p>
        </w:tc>
      </w:tr>
      <w:tr>
        <w:trPr/>
        <w:tc>
          <w:tcPr>
            <w:tcW w:w="454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As of September 30, 2026: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1,855,452 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2,958,577 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2,253,049 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2,783,178 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Average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2,958,577 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40"/>
              <w:jc w:val="left"/>
              <w:rPr/>
            </w:pPr>
            <w:r>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1,147,761 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8"/>
              </w:rPr>
            </w:pPr>
            <w:r>
              <w:rPr>
                <w:rFonts w:ascii="Arial;sans-serif" w:hAnsi="Arial;sans-serif"/>
                <w:b/>
                <w:color w:val="144F82"/>
                <w:sz w:val="18"/>
              </w:rPr>
              <w:t>As of December 31, 2025: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2,245,930 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2,774,384 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4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Average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2,929,973 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31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1,186,335 </w:t>
            </w:r>
          </w:p>
        </w:tc>
        <w:tc>
          <w:tcPr>
            <w:tcW w:w="132"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&gt;</w:t>
            </w:r>
          </w:p>
        </w:tc>
        <w:tc>
          <w:tcPr>
            <w:tcW w:w="511"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95"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firstLine="495"/>
        <w:jc w:val="left"/>
        <w:rPr>
          <w:color w:val="000000"/>
        </w:rPr>
      </w:pPr>
      <w:r>
        <w:rPr>
          <w:color w:val="000000"/>
        </w:rPr>
        <w:t>            </w:t>
      </w:r>
    </w:p>
    <w:p>
      <w:pPr>
        <w:pStyle w:val="TextBody"/>
        <w:bidi w:val="0"/>
        <w:spacing w:lineRule="auto" w:line="288" w:before="0" w:after="0"/>
        <w:ind w:left="0" w:right="0" w:hanging="315"/>
        <w:jc w:val="left"/>
        <w:rPr>
          <w:color w:val="000000"/>
        </w:rPr>
      </w:pPr>
      <w:r>
        <w:rPr>
          <w:color w:val="000000"/>
        </w:rPr>
        <w:t>             </w:t>
      </w:r>
    </w:p>
    <w:p>
      <w:pPr>
        <w:pStyle w:val="TextBody"/>
        <w:bidi w:val="0"/>
        <w:spacing w:lineRule="auto" w:line="288" w:before="0" w:after="0"/>
        <w:ind w:left="0" w:right="0" w:hanging="270"/>
        <w:jc w:val="left"/>
        <w:rPr/>
      </w:pPr>
      <w:r>
        <w:rPr>
          <w:rFonts w:ascii="Arial;sans-serif" w:hAnsi="Arial;sans-serif"/>
          <w:b w:val="false"/>
          <w:color w:val="000000"/>
          <w:sz w:val="9"/>
        </w:rPr>
        <w:t>(1)</w:t>
      </w:r>
      <w:r>
        <w:rPr>
          <w:color w:val="000000"/>
        </w:rPr>
        <w:t>    </w:t>
      </w:r>
      <w:r>
        <w:rPr>
          <w:rFonts w:ascii="Arial;sans-serif" w:hAnsi="Arial;sans-serif"/>
          <w:b w:val="false"/>
          <w:color w:val="000000"/>
          <w:sz w:val="16"/>
        </w:rPr>
        <w:t xml:space="preserve">Reflects the U.S. Basel III minimum required ratio plus the applicable capital conservation buffer. </w:t>
      </w:r>
    </w:p>
    <w:p>
      <w:pPr>
        <w:pStyle w:val="TextBody"/>
        <w:bidi w:val="0"/>
        <w:spacing w:lineRule="auto" w:line="288" w:before="0" w:after="0"/>
        <w:ind w:left="0" w:right="0" w:hanging="270"/>
        <w:jc w:val="left"/>
        <w:rPr/>
      </w:pPr>
      <w:r>
        <w:rPr>
          <w:rFonts w:ascii="Arial;sans-serif" w:hAnsi="Arial;sans-serif"/>
          <w:b w:val="false"/>
          <w:color w:val="000000"/>
          <w:sz w:val="9"/>
        </w:rPr>
        <w:t>(2)</w:t>
      </w:r>
      <w:r>
        <w:rPr>
          <w:color w:val="000000"/>
        </w:rPr>
        <w:t>    </w:t>
      </w:r>
      <w:r>
        <w:rPr>
          <w:rFonts w:ascii="Arial;sans-serif" w:hAnsi="Arial;sans-serif"/>
          <w:b w:val="false"/>
          <w:color w:val="000000"/>
          <w:sz w:val="16"/>
        </w:rPr>
        <w:t xml:space="preserve">The Bank’s regulatory capital ratios also exceeded all applicable standards for the Bank to qualify as “well capitalized” under the prompt corrective action framework.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74</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180" w:after="283"/>
        <w:ind w:left="0" w:right="0" w:firstLine="450"/>
        <w:jc w:val="left"/>
        <w:rPr>
          <w:rFonts w:ascii="Arial;sans-serif" w:hAnsi="Arial;sans-serif"/>
          <w:b w:val="false"/>
          <w:color w:val="000000"/>
          <w:sz w:val="20"/>
        </w:rPr>
      </w:pPr>
      <w:r>
        <w:rPr>
          <w:rFonts w:ascii="Arial;sans-serif" w:hAnsi="Arial;sans-serif"/>
          <w:b w:val="false"/>
          <w:color w:val="000000"/>
          <w:sz w:val="20"/>
        </w:rPr>
        <w:t xml:space="preserve">The Bank is chartered under the laws of the State of Utah, and its deposits are insured by the FDIC. The Bank’s ability to pay dividends is subject to the laws of Utah and the regulations of the FDIC. Generally, under Utah’s industrial bank laws and regulations as well as FDIC regulations, the Bank may pay dividends from its net profits without regulatory approval if, following the payment of the dividend, the Bank’s capital and surplus would not be impaired. The Company relies on dividends from the Bank, as necessary, to enable the Company to pay any declared dividends and other payments and consummate share repurchases, as described herein. The Bank declared $50 million and $450 million in dividends to the Company for the three and nine months ended September 30, 2026, respectively, and $100 million and $294 million in dividends to the Company for the three and nine months ended September 30, 2025, respectively, with the proceeds primarily used to fund share repurchase programs and stock dividends. We expect that the Bank will pay dividends to the Company as may be necessary to enable the Company to pay any declared dividends on its Series B Preferred Stock and common stock and to consummate any common share repurchases by the Company under the share repurchase programs.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Borrowings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Outstanding borrowings consist of unsecured debt and secured borrowings issued through our term ABS program, our Secured Borrowing Facility, and our Secured Warehouse Facility. The issuing entities for those secured borrowings are VIEs and are consolidated for accounting purposes. The following table summarizes our borrowings at September 30, 2026 and December 31, 2025, respectively. For additional information, see Note 8, “Borrowings” in this Form 10-Q.</w:t>
      </w:r>
    </w:p>
    <w:p>
      <w:pPr>
        <w:pStyle w:val="TextBody"/>
        <w:bidi w:val="0"/>
        <w:spacing w:before="100" w:after="283"/>
        <w:ind w:left="0" w:right="0" w:firstLine="495"/>
        <w:jc w:val="left"/>
        <w:rPr/>
      </w:pPr>
      <w:r>
        <w:rPr/>
      </w:r>
    </w:p>
    <w:tbl>
      <w:tblPr>
        <w:tblW w:w="10774" w:type="dxa"/>
        <w:jc w:val="center"/>
        <w:tblInd w:w="0" w:type="dxa"/>
        <w:tblLayout w:type="fixed"/>
        <w:tblCellMar>
          <w:top w:w="28" w:type="dxa"/>
          <w:left w:w="28" w:type="dxa"/>
          <w:bottom w:w="28" w:type="dxa"/>
          <w:right w:w="28" w:type="dxa"/>
        </w:tblCellMar>
      </w:tblPr>
      <w:tblGrid>
        <w:gridCol w:w="668"/>
        <w:gridCol w:w="311"/>
        <w:gridCol w:w="312"/>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December 31, 2025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6"/>
              </w:rPr>
            </w:pPr>
            <w:r>
              <w:rPr>
                <w:rFonts w:ascii="Arial;sans-serif" w:hAnsi="Arial;sans-serif"/>
                <w:b/>
                <w:color w:val="144F82"/>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Total</w:t>
            </w:r>
          </w:p>
        </w:tc>
      </w:tr>
      <w:tr>
        <w:trPr/>
        <w:tc>
          <w:tcPr>
            <w:tcW w:w="129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Unsecured borrowings:</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debt (fixed-rate)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unsecured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988,466 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988,466 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493,415 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991,830 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Secured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 term securitizations: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Variable-rate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599,866 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599,866 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694,566 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694,566 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Private Education Loan term securitizations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Borrowing Facility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Warehouse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secured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4,547,457 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5,446,186 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4,869,079 </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898,729 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5,535,923 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6,434,652 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5,860,909 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Arial;sans-serif" w:hAnsi="Arial;sans-serif"/>
          <w:b/>
          <w:i/>
          <w:color w:val="000000"/>
          <w:sz w:val="20"/>
        </w:rPr>
      </w:pPr>
      <w:r>
        <w:rPr>
          <w:rFonts w:ascii="Arial;sans-serif" w:hAnsi="Arial;sans-serif"/>
          <w:b/>
          <w:i/>
          <w:color w:val="000000"/>
          <w:sz w:val="20"/>
        </w:rPr>
        <w:t>Long-term Borrowings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Unsecured Borrowings Transactions</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January 31, 2025, we issued $500 million of 6.50 percent unsecured Senior Notes due January 31, 2030 (the “2030 Senior Notes”), at a price of 99.78 percent. At September 30, 2026, the outstanding carrying value, net of deferred financing fees, was $494 million.</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February 18, 2025, we redeemed $500 million of the 4.20 percent unsecured Senior Notes due October 29, 2025 (the “2025 Senior Notes”). The 2025 Senior Notes were redeemed at 100 percent of their principal amount, plus the accrued and unpaid interest thereon through the redemption date. As a result of the redemption, we recognized a $1 million loss on the transaction.</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May 15, 2026, we issued $500 million of 6.495 percent unsecured Senior Notes due May 15, 2032 (the “2032 Senior Notes”), at a price of 100 percent. At September 30, 2026, the outstanding carrying value, net of deferred financing fees, was $494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75</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80" w:after="120"/>
        <w:ind w:left="0" w:right="0" w:firstLine="495"/>
        <w:jc w:val="left"/>
        <w:rPr>
          <w:rFonts w:ascii="Arial;sans-serif" w:hAnsi="Arial;sans-serif"/>
          <w:b w:val="false"/>
          <w:i/>
          <w:color w:val="000000"/>
          <w:sz w:val="20"/>
        </w:rPr>
      </w:pPr>
      <w:r>
        <w:rPr>
          <w:rFonts w:ascii="Arial;sans-serif" w:hAnsi="Arial;sans-serif"/>
          <w:b w:val="false"/>
          <w:i/>
          <w:color w:val="000000"/>
          <w:sz w:val="20"/>
        </w:rPr>
        <w:t xml:space="preserve">Tender Offer </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May 12, 2026, we completed a cash tender offer for any and all of the $500 million of 3.125 percent unsecured Senior Notes due November 2, 2026 (the “2026 Senior Notes”), which was made concurrently with the offerings of the 2032 Notes (the “Tender Offer”). We paid an aggregate consideration of $447 million in the Tender Offer to repurchase $448 million principal amount of the 2026 Senior Notes at a repurchase price equal to 99.58 percent of the principal amount plus accrued and unpaid interest. The repurchase of the 2026 Senior Notes accepted for purchase in the Tender Offer was accounted for as a debt extinguishment.</w:t>
      </w:r>
    </w:p>
    <w:p>
      <w:pPr>
        <w:pStyle w:val="TextBody"/>
        <w:bidi w:val="0"/>
        <w:spacing w:lineRule="auto" w:line="288" w:before="120" w:after="120"/>
        <w:ind w:left="0" w:right="0" w:firstLine="495"/>
        <w:jc w:val="left"/>
        <w:rPr>
          <w:rFonts w:ascii="Arial;sans-serif" w:hAnsi="Arial;sans-serif"/>
          <w:b w:val="false"/>
          <w:i/>
          <w:color w:val="000000"/>
          <w:sz w:val="20"/>
        </w:rPr>
      </w:pPr>
      <w:r>
        <w:rPr>
          <w:rFonts w:ascii="Arial;sans-serif" w:hAnsi="Arial;sans-serif"/>
          <w:b w:val="false"/>
          <w:i/>
          <w:color w:val="000000"/>
          <w:sz w:val="20"/>
        </w:rPr>
        <w:t>Satisfaction and Discharge of 2026 Senior Notes</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May 15, 2026, we irrevocably deposited funds with the 2026 Senior Notes’ trustee that were used to purchase a sufficient amount of U.S. government obligations to satisfy and discharge the indenture governing the 2026 Senior Notes, fund the payment of accrued and unpaid interest on the remaining $52 million principal amount of the 2026 Senior Notes as it becomes due, and fund the principal amount of those 2026 Senior Notes on their November 2, 2026 maturity date. The U.S. government obligations were purchased using a portion of the net proceeds from the offering of the 2032 Senior Notes. After the deposit of such funds with the trustee, our obligations under the 2026 Senior Notes indenture were satisfied and discharged and the transaction was accounted for as a debt extinguishment. </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a result of the debt extinguishment of the 2026 Senior Notes, we recognized a gain of less than $1 million on the transactions described above. </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Secured Borrowing Facility</w:t>
      </w:r>
    </w:p>
    <w:p>
      <w:pPr>
        <w:pStyle w:val="TextBody"/>
        <w:bidi w:val="0"/>
        <w:spacing w:lineRule="auto" w:line="288" w:before="100" w:after="120"/>
        <w:ind w:left="0" w:right="0" w:firstLine="495"/>
        <w:jc w:val="left"/>
        <w:rPr>
          <w:rFonts w:ascii="Arial;sans-serif" w:hAnsi="Arial;sans-serif"/>
          <w:b w:val="false"/>
          <w:color w:val="000000"/>
          <w:sz w:val="20"/>
        </w:rPr>
      </w:pPr>
      <w:r>
        <w:rPr>
          <w:rFonts w:ascii="Arial;sans-serif" w:hAnsi="Arial;sans-serif"/>
          <w:b w:val="false"/>
          <w:color w:val="000000"/>
          <w:sz w:val="20"/>
        </w:rPr>
        <w:t>On July 27, 2026, we amended our Secured Borrowing Facility to decrease the amount to be borrowed under the facility from $2.5 billion to $2 billion and extended the maturity. We hold 100 percent of the residual interest in the Secured Borrowing Facility Trust. The amendment extended the revolving period, during which we may borrow, repay, and reborrow funds, until July 26, 2027. The scheduled amortization period, during which amounts outstanding under the Secured Borrowing Facility must be repaid, ends on July 26, 2028 (or earlier, if certain material adverse events occur). The one-year revolving period plus the one-year amortization period results in a contractual maturity that is two years from the date of inception or renewal. At both September 30, 2026 and December 31, 2025, there were no outstanding borrowings under the Secured Borrowing Facility.</w:t>
      </w:r>
    </w:p>
    <w:p>
      <w:pPr>
        <w:pStyle w:val="TextBody"/>
        <w:bidi w:val="0"/>
        <w:spacing w:lineRule="auto" w:line="288" w:before="180" w:after="60"/>
        <w:jc w:val="left"/>
        <w:rPr>
          <w:rFonts w:ascii="Arial;sans-serif" w:hAnsi="Arial;sans-serif"/>
          <w:b w:val="false"/>
          <w:i/>
          <w:color w:val="000000"/>
          <w:sz w:val="20"/>
        </w:rPr>
      </w:pPr>
      <w:r>
        <w:rPr>
          <w:rFonts w:ascii="Arial;sans-serif" w:hAnsi="Arial;sans-serif"/>
          <w:b w:val="false"/>
          <w:i/>
          <w:color w:val="000000"/>
          <w:sz w:val="20"/>
        </w:rPr>
        <w:t>Secured Warehouse Facility</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August 31, 2026, we entered into the Secured Warehouse Facility with certain financial institutions. The Secured Warehouse Facility is intended to provide financing for the acquisition and holding of eligible Private Education Loans prior to their disposition through sale or other financing transactions, including sale to strategic partners.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Under the Secured Warehouse Facility, we may borrow up to an aggregate principal amount of $1.5 billion for the period between August 31, 2026 and February 28, 2027 and $500 million between March 1, 2027 and August 31, 2027, subject to borrowing base requirements, eligibility criteria, concentration limits, and other customary conditions. Borrowings under the Secured Warehouse Facility are secured by substantially all of the assets held by the warehouse vehicle, including the financed Private Education Loan portfolio and related collections.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Secured Warehouse Facility matures with respect to third-party financial institutions on August 30, 2027. Until such date, we may make borrowings and repayments under the facility, subject to the terms of the Secured Warehouse Facility agreement. All outstanding borrowings become due and payable on the applicable maturity date, unless repaid earlier in accordance with the terms of the Secured Warehouse Facility.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Borrowings under the Secured Warehouse Facility bear interest at rates based on either a commercial paper rate or daily compounded SOFR plus a spread of 1.10 percent. The benchmark rate applicable to a particular borrowing is determined by the funding source of the lender providing such advance, as specified in the Secured Warehouse Facility agreement. As of September 30, 2026, outstanding borrowings under the Secured Warehouse Facility accrued interest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76</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00" w:after="60"/>
        <w:jc w:val="left"/>
        <w:rPr>
          <w:rFonts w:ascii="Arial;sans-serif" w:hAnsi="Arial;sans-serif"/>
          <w:b w:val="false"/>
          <w:color w:val="000000"/>
          <w:sz w:val="20"/>
        </w:rPr>
      </w:pPr>
      <w:r>
        <w:rPr>
          <w:rFonts w:ascii="Arial;sans-serif" w:hAnsi="Arial;sans-serif"/>
          <w:b w:val="false"/>
          <w:color w:val="000000"/>
          <w:sz w:val="20"/>
        </w:rPr>
        <w:t xml:space="preserve">a weighted-average rate of 4.75 percent. We are also subject to certain unused commitment fees and other customary fees.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September 30, 2026, we had $900 million of borrowings outstanding and $600 million of additional borrowing capacity available under the Secured Warehouse Facility. The pledged loans continue to be recognized on our consolidated balance sheet because the transaction did not qualify for sale treatment. </w:t>
      </w:r>
    </w:p>
    <w:p>
      <w:pPr>
        <w:pStyle w:val="TextBody"/>
        <w:bidi w:val="0"/>
        <w:spacing w:lineRule="auto" w:line="288" w:before="100" w:after="6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Secured Warehouse Facility contains customary representations and warranties, affirmative and negative covenants, eligibility requirements, and events of default. Upon the occurrence of certain events of default, the lenders may accelerate repayment obligations and exercise remedies against the pledged collateral.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Other Borrowing Sources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maintain discretionary uncommitted Federal Funds lines of credit with various correspondent banks, which totaled $125 million at September 30, 2026. The interest rate we are charged on these lines of credit is priced at Fed Funds plus a spread at the time of borrowing and is payable daily. We did not utilize these lines of credit in the nine months ended September 30, 2026, nor in the year ended December 31,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We established an account at the FRB to meet eligibility requirements for access to the Primary Credit borrowing facility at the FRB’s Window. The Primary Credit borrowing facility is a lending program available to depository institutions that are in generally sound financial condition. All borrowings at the Window must be fully collateralized. We can pledge asset-backed and mortgage-backed securities, as well as Private Education Loans, to the FRB as collateral for borrowings at the Window. Generally, collateral value is assigned based on the estimated fair value of the pledged assets. At September 30, 2026 and December 31, 2025, the value of our pledged collateral at the FRB totaled $3.3 billion and $2.5 billion, respectively. The interest rate charged to us is the discount rate set by the FRB. We did not utilize this facility in the nine months ended September 30, 2026, nor in the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Contractual Loan Commitments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When we approve a Private Education Loan at the beginning of an academic year, that approval may cover the borrowing for the entire academic year. As such, we do not always disburse the full amount of the loan at the time of such approval but, instead, have a commitment to fund a portion of the loan later (usually at the start of the second semester or subsequent trimesters). We estimate expected credit losses over the contractual period in which we are exposed to credit risk via a contractual obligation to extend credit, unless that obligation is unconditionally cancellable by us. At September 30, 2026, we had $3.2 billion of outstanding contractual loan commitments that we expect to fund during the remainder of the 2026/2027 academic year, including $672 million of contractual loan commitments associated with loans classified as held for sale. At September 30, 2026, we had a $94 million reserve recorded in “Other Liabilities” to cover lifetime expected credit losses on the unfunded commitments. See Note 2, “Significant Accounting Policies — Allowance for Credit Losses — Off-Balance Sheet Exposure for Contractual Loan Commitments” in our 2025 Form 10-K and Note 5, “Allowance for Credit Losses and Unfunded Loan Commitments” in this Form 10-Q for additional information.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Critical Accounting Estimates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Management’s Discussion and Analysis of Financial Condition and Results of Operations addresses our consolidated financial statements, which have been prepared in accordance with GAAP. In preparing our consolidated financial statements, we have identified certain accounting estimates and assumptions that we consider to be the most critical to an understanding of our financial statements because they involve significant judgments and uncertainties. </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critical accounting estimates we have identified relate to the allowance for credit losses. These estimates reflect our best judgment about current and, for some estimates, including management overlays, future economic and market conditions. These estimates are based on information available as of the date of these financial statements. If conditions change from those expected, it is reasonably possible that these judgments and estimates could change, which may result in a change in the allowance for credit losses or material changes to our consolidated financial statements. A discussion of our critical accounting policies can be found in our 2025 Form 10-K. </w:t>
      </w:r>
    </w:p>
    <w:p>
      <w:pPr>
        <w:pStyle w:val="TextBody"/>
        <w:bidi w:val="0"/>
        <w:spacing w:lineRule="auto" w:line="256" w:before="120" w:after="283"/>
        <w:ind w:left="0" w:right="0" w:firstLine="495"/>
        <w:jc w:val="left"/>
        <w:rPr>
          <w:rFonts w:ascii="Arial;sans-serif" w:hAnsi="Arial;sans-serif"/>
          <w:b/>
          <w:i/>
          <w:color w:val="000000"/>
          <w:sz w:val="20"/>
        </w:rPr>
      </w:pPr>
      <w:r>
        <w:rPr>
          <w:rFonts w:ascii="Arial;sans-serif" w:hAnsi="Arial;sans-serif"/>
          <w:b/>
          <w:i/>
          <w:color w:val="000000"/>
          <w:sz w:val="20"/>
        </w:rPr>
        <w:t>Allowance for Credit Losses</w:t>
      </w:r>
    </w:p>
    <w:p>
      <w:pPr>
        <w:pStyle w:val="TextBody"/>
        <w:bidi w:val="0"/>
        <w:spacing w:lineRule="auto" w:line="256"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maintain an allowance for credit losses for the lifetime expected credit losses on loans in our portfolios, as well as for future loan commitments, at the reporting date.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determining the lifetime expected credit losses on our Private Education Loan portfolio loan segments, we use a discounted cash flow method. This method requires us to project future principal and interest cash flows on our loans in those portfolios.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77</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To estimate the future expected cash flows, we use statistical loan-level models that consider life of loan expectations for defaults, prepayments, recoveries, and any other qualitative adjustments deemed necessary, to determine the adequacy of the allowance at each balance sheet date. These cash flows are discounted at the loan’s effective interest rate to calculate the present value of those cash flows. Management adjusts the effective interest rate used to discount expected cash flows to incorporate expected prepayments. The difference between the present value of those cash flows and the amortized cost basis of the underlying loans is the allowance for credit losses. Entities that measure credit losses based on the present value of expected future cash flows are permitted to report the entire change in present value as credit loss expense but may alternatively report the change in present value due to the passage of time as interest income. We have elected to report the entire change in present value as credit loss expense.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We estimate future default rates used in our current expected credit losses at a loan level using historical loss experience, current borrower characteristics, current conditions, and economic factors forecasted over a reasonable and supportable period. At the end of the reasonable and supportable forecast period, we immediately revert our forecasted economic factors to long-term historical averages. We estimate future prepayment speeds used in our current expected credit losses at a loan level using historical prepayment experience, current borrower characteristics, current conditions, and economic factors forecasted over a reasonable and supportable period.</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reasonable and supportable forecast period is meant to represent the period in which we believe we can estimate the impact of forecasted economic factors in our expected losses. We use a two-year reasonable and supportable forecast period, although this period is subject to change as our view evolves on our ability to reasonably forecast economic conditions to estimate future losses.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In estimating future default rates and prepayment speeds in our current expected credit losses, we use a combination of expected economic scenarios coupled with our historical experience and adjust for any qualitative factors (as described below). We also develop an adverse and favorable economic scenario. At each reporting date, we determine the appropriate weighting of these alternate scenarios based upon the current economic conditions and our view of the risks of alternate outcomes. This weighting of expectations is used in calculating our current expected credit losses recorded each period.</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We obtain forecasts for our expected loss model from an external economic data provider who provides a range of economic forecasts with various likelihoods of occurrence. Management reviews and weighs the economic forecasts for each of these inputs to calculate our allowance for credit losses. Our forecasting process reflects management’s continuous review of forecasting assumptions and model inputs and is consistent with our internal governance, risk management framework and CECL methodologies. Management continues to review both the scenarios and their respective weightings each quarter in determining the allowance for credit losses. The most recent adjustment to scenario weightings occurred in the first quarter of 2025.</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 estimating recoveries, we use both estimates of what we expect to receive from the sale of defaulted loans as well as historical borrower payment behavior to estimate the timing and amount of future recoveries on charged-off loans.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In addition to the above modeling approach, we also take certain other qualitative factors into consideration when calculating the allowance for credit losses, which could result in management overlays (increases or decreases to the allowance for credit losses). These management overlays can encompass a broad array of factors not captured by model inputs, including, but not limited to, changes in lending policies and procedures, including changes in underwriting standards, changes in servicing policies and collection administration practices, including changes we have implemented to our loan modification programs, state law changes that could impact servicing and collection practices, charge-offs, recoveries not already included in the analysis, the effect of other external factors such as shifts in the macroeconomic environment or legal and regulatory requirements that impact the level of estimated current expected credit losses or prepayments, the performance of the model over time versus actual losses, and any other operational or regulatory changes that could materially affect our estimate of future losses.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The evaluation of the allowance for credit losses is inherently subjective, as it requires material estimates that may be susceptible to significant changes. If actual future performance in delinquency, charge-offs, and recoveries is significantly different than estimated, or management assumptions or practices were to change, this could materially affect the estimate of the allowance for credit losses, the timing of when losses are recognized, and the related provision for credit losses in our consolidated statements of operations.</w:t>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When calculating our allowance for credit losses and liability for unfunded commitments, we incorporate several inputs that are subject to change period to period. These include, but are not limited to, CECL model inputs and any overlays deemed necessary by management. The most impactful CECL model inputs include: </w:t>
      </w:r>
    </w:p>
    <w:p>
      <w:pPr>
        <w:pStyle w:val="TextBody"/>
        <w:bidi w:val="0"/>
        <w:spacing w:lineRule="auto" w:line="288" w:before="100" w:after="283"/>
        <w:ind w:left="0" w:right="0" w:firstLine="495"/>
        <w:jc w:val="left"/>
        <w:rPr/>
      </w:pPr>
      <w:r>
        <w:rPr>
          <w:color w:val="000000"/>
        </w:rPr>
        <w:t>•</w:t>
      </w:r>
      <w:r>
        <w:rPr>
          <w:rFonts w:ascii="Arial;sans-serif" w:hAnsi="Arial;sans-serif"/>
          <w:b w:val="false"/>
          <w:color w:val="000000"/>
          <w:sz w:val="20"/>
        </w:rPr>
        <w:t>Economic forecasts;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78</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00" w:after="283"/>
        <w:ind w:left="0" w:right="0" w:firstLine="495"/>
        <w:jc w:val="left"/>
        <w:rPr/>
      </w:pPr>
      <w:r>
        <w:rPr>
          <w:color w:val="000000"/>
        </w:rPr>
        <w:t>•</w:t>
      </w:r>
      <w:r>
        <w:rPr>
          <w:rFonts w:ascii="Arial;sans-serif" w:hAnsi="Arial;sans-serif"/>
          <w:b w:val="false"/>
          <w:color w:val="000000"/>
          <w:sz w:val="20"/>
        </w:rPr>
        <w:t>Weighting of economic forecasts; and</w:t>
      </w:r>
    </w:p>
    <w:p>
      <w:pPr>
        <w:pStyle w:val="TextBody"/>
        <w:bidi w:val="0"/>
        <w:spacing w:lineRule="auto" w:line="288" w:before="100" w:after="283"/>
        <w:ind w:left="0" w:right="0" w:firstLine="495"/>
        <w:jc w:val="left"/>
        <w:rPr/>
      </w:pPr>
      <w:r>
        <w:rPr>
          <w:color w:val="000000"/>
        </w:rPr>
        <w:t>•</w:t>
      </w:r>
      <w:r>
        <w:rPr>
          <w:rFonts w:ascii="Arial;sans-serif" w:hAnsi="Arial;sans-serif"/>
          <w:b w:val="false"/>
          <w:color w:val="000000"/>
          <w:sz w:val="20"/>
        </w:rPr>
        <w:t>Recovery rates.</w:t>
      </w:r>
    </w:p>
    <w:p>
      <w:pPr>
        <w:pStyle w:val="TextBody"/>
        <w:bidi w:val="0"/>
        <w:spacing w:lineRule="auto" w:line="26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Of the model inputs outlined above, economic forecasts, weighting of economic forecasts, and recovery rates are subject to estimation uncertainty, and changes in these inputs could have a material impact to our allowance for credit losses and the related provision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79</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ind w:left="0" w:right="0" w:hanging="1215"/>
        <w:jc w:val="left"/>
        <w:rPr/>
      </w:pPr>
      <w:r>
        <w:rPr>
          <w:rFonts w:ascii="Arial;sans-serif" w:hAnsi="Arial;sans-serif"/>
          <w:b/>
          <w:color w:val="144F82"/>
          <w:sz w:val="20"/>
        </w:rPr>
        <w:t xml:space="preserve">Item 3. </w:t>
      </w:r>
      <w:r>
        <w:rPr>
          <w:color w:val="144F82"/>
        </w:rPr>
        <w:t>    </w:t>
      </w:r>
      <w:r>
        <w:rPr>
          <w:rFonts w:ascii="Arial;sans-serif" w:hAnsi="Arial;sans-serif"/>
          <w:b/>
          <w:color w:val="144F82"/>
          <w:sz w:val="20"/>
        </w:rPr>
        <w:t>Quantitative and Qualitative Disclosures about Market Risk</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Interest Rate Sensitivity Analysis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interest rate risk management program seeks to manage interest rate risk, thereby reducing our exposure to fluctuations in interest rates and lowering the volatility of net interest income and economic value in varying interest rate environments. We evaluate and monitor interest rate risk primarily through two measurements:</w:t>
      </w:r>
    </w:p>
    <w:p>
      <w:pPr>
        <w:pStyle w:val="TextBody"/>
        <w:bidi w:val="0"/>
        <w:spacing w:lineRule="auto" w:line="288" w:before="200" w:after="283"/>
        <w:ind w:left="0" w:right="0" w:hanging="270"/>
        <w:jc w:val="left"/>
        <w:rPr/>
      </w:pPr>
      <w:r>
        <w:rPr>
          <w:color w:val="000000"/>
        </w:rPr>
        <w:t>•</w:t>
      </w:r>
      <w:r>
        <w:rPr>
          <w:rFonts w:ascii="Arial;sans-serif" w:hAnsi="Arial;sans-serif"/>
          <w:b w:val="false"/>
          <w:color w:val="000000"/>
          <w:sz w:val="20"/>
        </w:rPr>
        <w:t>Earnings at Risk (“EAR”), which measures the estimated impact on net interest income to changes in interest rates; and</w:t>
      </w:r>
    </w:p>
    <w:p>
      <w:pPr>
        <w:pStyle w:val="TextBody"/>
        <w:bidi w:val="0"/>
        <w:spacing w:lineRule="auto" w:line="288" w:before="200" w:after="283"/>
        <w:ind w:left="0" w:right="0" w:hanging="270"/>
        <w:jc w:val="left"/>
        <w:rPr/>
      </w:pPr>
      <w:r>
        <w:rPr>
          <w:color w:val="000000"/>
        </w:rPr>
        <w:t>•</w:t>
      </w:r>
      <w:r>
        <w:rPr>
          <w:rFonts w:ascii="Arial;sans-serif" w:hAnsi="Arial;sans-serif"/>
          <w:b w:val="false"/>
          <w:color w:val="000000"/>
          <w:sz w:val="20"/>
        </w:rPr>
        <w:t>Economic Value of Equity (“EVE”), which measures the estimated sensitivity or change in the economic value of equity to changes in interest rates.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simulate several potential interest rate scenarios using our asset liability management system. The Bank is the primary source of interest rate risk within the Company. Currently, a significant portion of the Bank’s earning assets and deposits are indexed to 30-day average SOFR. Therefore, the 30-day average SOFR rate is considered a core rate in our interest rate risk analysis. The 30-day average SOFR rate and other rates are shocked in parallel for shock scenarios unless otherwise indicated. Rates are adjusted up or down via a set of scenarios that includes both rate shocks and ramps. Rate shocks represent an immediate and sustained change in key rates, with the resulting changes in other indices correlated accordingly. Interest rate ramps represent a linear increase in those key rates over the course of 12 months, with the resulting changes in other indices correlated accordingly.</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potential effect of certain rate-change scenarios on earnings over the next 24 months and on the market values of assets and liabilities at September 30, 2026 and 2025. This analysis shows four scenarios where interest rates are shocked up and down 100 basis points and 300 basis points while credit and funding spreads remain constant. The EAR analysis shown below assumes a static balance sheet, with maturities of each product replaced with assumed issuance of new products of the same type. The EVE sensitivity is applied only to financial assets and liabilities, including hedging instruments, that existed at the balance sheet date, and does not reflect any impact of loan sales, new assets, liabilities, commitments, or hedging instruments that may arise in the future. </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EAR results for September 30, 2026 indicate a market risk profile of low sensitivity to interest rate changes, based on static balance sheet assumptions over the next two years. The higher mix of fixed-rate versus variable-rate loan disbursements continues, which results in our liabilities repricing more quickly than our assets over time. This exposure to higher interest rates is less than it was at the end of 2025 as a result of the Company taking actions to extend the duration of a portion of our liabilities. Additionally, planned loan sales, which are not included in the static EVE modeling, significantly reduce our EVE exposure. </w:t>
      </w:r>
    </w:p>
    <w:tbl>
      <w:tblPr>
        <w:tblW w:w="10205" w:type="dxa"/>
        <w:jc w:val="center"/>
        <w:tblInd w:w="0" w:type="dxa"/>
        <w:tblLayout w:type="fixed"/>
        <w:tblCellMar>
          <w:top w:w="28" w:type="dxa"/>
          <w:left w:w="28" w:type="dxa"/>
          <w:bottom w:w="28" w:type="dxa"/>
          <w:right w:w="28" w:type="dxa"/>
        </w:tblCellMar>
      </w:tblPr>
      <w:tblGrid>
        <w:gridCol w:w="465"/>
        <w:gridCol w:w="410"/>
        <w:gridCol w:w="411"/>
        <w:gridCol w:w="272"/>
        <w:gridCol w:w="272"/>
        <w:gridCol w:w="273"/>
        <w:gridCol w:w="109"/>
        <w:gridCol w:w="109"/>
        <w:gridCol w:w="109"/>
        <w:gridCol w:w="272"/>
        <w:gridCol w:w="272"/>
        <w:gridCol w:w="273"/>
        <w:gridCol w:w="109"/>
        <w:gridCol w:w="109"/>
        <w:gridCol w:w="109"/>
        <w:gridCol w:w="272"/>
        <w:gridCol w:w="272"/>
        <w:gridCol w:w="273"/>
        <w:gridCol w:w="109"/>
        <w:gridCol w:w="109"/>
        <w:gridCol w:w="109"/>
        <w:gridCol w:w="334"/>
        <w:gridCol w:w="334"/>
        <w:gridCol w:w="335"/>
        <w:gridCol w:w="109"/>
        <w:gridCol w:w="109"/>
        <w:gridCol w:w="109"/>
        <w:gridCol w:w="272"/>
        <w:gridCol w:w="272"/>
        <w:gridCol w:w="273"/>
        <w:gridCol w:w="109"/>
        <w:gridCol w:w="109"/>
        <w:gridCol w:w="109"/>
        <w:gridCol w:w="272"/>
        <w:gridCol w:w="272"/>
        <w:gridCol w:w="273"/>
        <w:gridCol w:w="109"/>
        <w:gridCol w:w="109"/>
        <w:gridCol w:w="109"/>
        <w:gridCol w:w="272"/>
        <w:gridCol w:w="272"/>
        <w:gridCol w:w="273"/>
        <w:gridCol w:w="109"/>
        <w:gridCol w:w="109"/>
        <w:gridCol w:w="109"/>
        <w:gridCol w:w="207"/>
        <w:gridCol w:w="207"/>
        <w:gridCol w:w="311"/>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2025</w:t>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September 30,</w:t>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+300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144F82"/>
              </w:rPr>
            </w:pPr>
            <w:r>
              <w:rPr>
                <w:color w:val="144F82"/>
              </w:rPr>
              <w:t> </w:t>
            </w:r>
            <w:r>
              <w:rPr>
                <w:rFonts w:ascii="Arial;sans-serif" w:hAnsi="Arial;sans-serif"/>
                <w:b/>
                <w:color w:val="144F82"/>
                <w:sz w:val="16"/>
              </w:rPr>
              <w:t>-300 Basis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+300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-100</w:t>
              <w:br/>
              <w:t>Basis Points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144F82"/>
              </w:rPr>
            </w:pPr>
            <w:r>
              <w:rPr>
                <w:color w:val="144F82"/>
              </w:rPr>
              <w:t> </w:t>
            </w:r>
            <w:r>
              <w:rPr>
                <w:rFonts w:ascii="Arial;sans-serif" w:hAnsi="Arial;sans-serif"/>
                <w:b/>
                <w:color w:val="144F82"/>
                <w:sz w:val="16"/>
              </w:rPr>
              <w:t>-300</w:t>
              <w:br/>
              <w:t>Basis</w:t>
              <w:br/>
              <w:t>Points</w:t>
            </w:r>
          </w:p>
        </w:tc>
      </w:tr>
      <w:tr>
        <w:trPr/>
        <w:tc>
          <w:tcPr>
            <w:tcW w:w="128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 - Shock</w:t>
            </w:r>
          </w:p>
        </w:tc>
        <w:tc>
          <w:tcPr>
            <w:tcW w:w="81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 - Ramp</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r>
      <w:tr>
        <w:trPr/>
        <w:tc>
          <w:tcPr>
            <w:tcW w:w="1286"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EVE</w:t>
            </w:r>
          </w:p>
        </w:tc>
        <w:tc>
          <w:tcPr>
            <w:tcW w:w="81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w:t>
            </w:r>
          </w:p>
        </w:tc>
      </w:tr>
    </w:tbl>
    <w:p>
      <w:pPr>
        <w:pStyle w:val="TextBody"/>
        <w:bidi w:val="0"/>
        <w:spacing w:lineRule="auto" w:line="288" w:before="0" w:after="0"/>
        <w:ind w:left="0" w:right="0" w:firstLine="495"/>
        <w:jc w:val="left"/>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the preceding tables, the interest rate sensitivity analysis reflects the balance sheet mix of fully variable SOFR and fixed-rate loans, fully variable funding, and fixed-rate funding. The analysis assumes that retail MMDAs and retail savings balances, while relatively sensitive to interest rate changes, will not correlate 100 percent to the full interest rate shocks or ramps.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Although we believe that these measurements provide an estimate of our interest rate sensitivity, they do not account for potential changes in credit quality, balance sheet mix, and size of our balance sheet. They also do not account for other business developments that could affect net income, or for management actions that could affect net income or could be taken to change our risk profile. Accordingly, we can give no assurance that actual results would not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80</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materially from the estimated outcomes of our simulations. Further, such simulations do not represent our current view of expected future interest rate movements.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Asset and Liability Funding Gap</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 table below presents our assets and liabilities (funding) arranged by underlying indices as of September 30, 2026. In the following GAAP presentation, the funding gap only includes derivatives that qualify as effective hedges (those derivatives which are reflected in net interest income, as opposed to those reflected in the “gains (losses) on derivatives and hedging activities, net” line on the consolidated statements of operations). The difference between the asset and the funding is the funding gap for the specified index. This represents at a high level our exposure to interest rate risk in the form of basis risk and repricing risk, which is the risk that the different indices may reset at different frequencies or may not move in the same direction or at the same magnitude. (Note that all fixed-rate assets and liabilities are aggregated into one line item, which does not capture the differences in time due to maturity.)</w:t>
      </w:r>
    </w:p>
    <w:p>
      <w:pPr>
        <w:pStyle w:val="TextBody"/>
        <w:bidi w:val="0"/>
        <w:spacing w:before="200" w:after="283"/>
        <w:ind w:left="0" w:right="0" w:firstLine="495"/>
        <w:jc w:val="left"/>
        <w:rPr/>
      </w:pPr>
      <w:r>
        <w:rPr/>
      </w:r>
    </w:p>
    <w:tbl>
      <w:tblPr>
        <w:tblW w:w="8809" w:type="dxa"/>
        <w:jc w:val="center"/>
        <w:tblInd w:w="0" w:type="dxa"/>
        <w:tblLayout w:type="fixed"/>
        <w:tblCellMar>
          <w:top w:w="28" w:type="dxa"/>
          <w:left w:w="28" w:type="dxa"/>
          <w:bottom w:w="28" w:type="dxa"/>
          <w:right w:w="28" w:type="dxa"/>
        </w:tblCellMar>
      </w:tblPr>
      <w:tblGrid>
        <w:gridCol w:w="765"/>
        <w:gridCol w:w="674"/>
        <w:gridCol w:w="675"/>
        <w:gridCol w:w="109"/>
        <w:gridCol w:w="109"/>
        <w:gridCol w:w="109"/>
        <w:gridCol w:w="599"/>
        <w:gridCol w:w="599"/>
        <w:gridCol w:w="601"/>
        <w:gridCol w:w="109"/>
        <w:gridCol w:w="109"/>
        <w:gridCol w:w="109"/>
        <w:gridCol w:w="211"/>
        <w:gridCol w:w="871"/>
        <w:gridCol w:w="109"/>
        <w:gridCol w:w="109"/>
        <w:gridCol w:w="109"/>
        <w:gridCol w:w="109"/>
        <w:gridCol w:w="211"/>
        <w:gridCol w:w="871"/>
        <w:gridCol w:w="109"/>
        <w:gridCol w:w="109"/>
        <w:gridCol w:w="109"/>
        <w:gridCol w:w="109"/>
        <w:gridCol w:w="211"/>
        <w:gridCol w:w="84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September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(dollars in millions)</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Frequency of</w:t>
              <w:br/>
              <w:t>Variable</w:t>
              <w:br/>
              <w:t>Resets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6"/>
              </w:rPr>
              <w:t>Funding</w:t>
            </w:r>
            <w:r>
              <w:rPr>
                <w:color w:val="144F82"/>
              </w:rPr>
              <w:t> </w:t>
            </w:r>
            <w:r>
              <w:rPr>
                <w:rFonts w:ascii="Arial;sans-serif" w:hAnsi="Arial;sans-serif"/>
                <w:b/>
                <w:color w:val="144F82"/>
                <w:sz w:val="10"/>
              </w:rPr>
              <w:t>(1)</w:t>
            </w:r>
            <w:r>
              <w:rPr>
                <w:color w:val="144F8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6"/>
              </w:rPr>
            </w:pPr>
            <w:r>
              <w:rPr>
                <w:rFonts w:ascii="Arial;sans-serif" w:hAnsi="Arial;sans-serif"/>
                <w:b/>
                <w:color w:val="144F82"/>
                <w:sz w:val="16"/>
              </w:rPr>
              <w:t>Funding</w:t>
              <w:br/>
              <w:t>Gap</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SOFR Rate</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daily/weekly/monthly</w:t>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5,142.3 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6,195.7 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(1,053.4)</w:t>
            </w:r>
          </w:p>
        </w:tc>
        <w:tc>
          <w:tcPr>
            <w:tcW w:w="15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quarterly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monthly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Non-Discrete reset</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daily/weekly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Fixed-Rate</w:t>
            </w:r>
            <w:r>
              <w:rPr>
                <w:rFonts w:ascii="Arial;sans-serif" w:hAnsi="Arial;sans-serif"/>
                <w:b w:val="false"/>
                <w:color w:val="000000"/>
                <w:sz w:val="12"/>
              </w:rPr>
              <w:t>(3)</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22,218.3 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19,428.2 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2,790.1 </w:t>
            </w:r>
          </w:p>
        </w:tc>
        <w:tc>
          <w:tcPr>
            <w:tcW w:w="15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lineRule="auto" w:line="288" w:before="90" w:after="283"/>
        <w:ind w:left="0" w:right="0" w:hanging="315"/>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Funding (by index) includes the impact of all derivatives that qualify as effective hedges.</w:t>
      </w:r>
    </w:p>
    <w:p>
      <w:pPr>
        <w:pStyle w:val="TextBody"/>
        <w:bidi w:val="0"/>
        <w:spacing w:lineRule="auto" w:line="288" w:before="90" w:after="283"/>
        <w:ind w:left="0" w:right="0" w:hanging="315"/>
        <w:jc w:val="left"/>
        <w:rPr/>
      </w:pPr>
      <w:r>
        <w:rPr>
          <w:rFonts w:ascii="Arial;sans-serif" w:hAnsi="Arial;sans-serif"/>
          <w:b w:val="false"/>
          <w:color w:val="000000"/>
          <w:sz w:val="10"/>
        </w:rPr>
        <w:t>(2)</w:t>
      </w:r>
      <w:r>
        <w:rPr>
          <w:color w:val="000000"/>
        </w:rPr>
        <w:t>     </w:t>
      </w:r>
      <w:r>
        <w:rPr>
          <w:rFonts w:ascii="Arial;sans-serif" w:hAnsi="Arial;sans-serif"/>
          <w:b w:val="false"/>
          <w:color w:val="000000"/>
          <w:sz w:val="16"/>
        </w:rPr>
        <w:t xml:space="preserve">Assets include restricted and unrestricted cash equivalents and other overnight type instruments. Funding includes liquid retail deposits and the obligation to return cash collateral held related to derivatives exposures. </w:t>
      </w:r>
    </w:p>
    <w:p>
      <w:pPr>
        <w:pStyle w:val="TextBody"/>
        <w:bidi w:val="0"/>
        <w:spacing w:lineRule="auto" w:line="288" w:before="90" w:after="283"/>
        <w:ind w:left="0" w:right="0" w:hanging="315"/>
        <w:jc w:val="left"/>
        <w:rPr/>
      </w:pPr>
      <w:r>
        <w:rPr>
          <w:rFonts w:ascii="Arial;sans-serif" w:hAnsi="Arial;sans-serif"/>
          <w:b w:val="false"/>
          <w:color w:val="000000"/>
          <w:sz w:val="10"/>
        </w:rPr>
        <w:t>(3)</w:t>
      </w:r>
      <w:r>
        <w:rPr>
          <w:color w:val="000000"/>
        </w:rPr>
        <w:t>     </w:t>
      </w:r>
      <w:r>
        <w:rPr>
          <w:rFonts w:ascii="Arial;sans-serif" w:hAnsi="Arial;sans-serif"/>
          <w:b w:val="false"/>
          <w:color w:val="000000"/>
          <w:sz w:val="16"/>
        </w:rPr>
        <w:t xml:space="preserve">Assets include receivables and other assets (including premiums and reserves). Funding includes unswapped time deposits, liquid MMDAs swapped to fixed-rates, and stockholders' equity. </w:t>
      </w:r>
    </w:p>
    <w:p>
      <w:pPr>
        <w:pStyle w:val="TextBody"/>
        <w:bidi w:val="0"/>
        <w:spacing w:before="90" w:after="283"/>
        <w:ind w:left="0" w:right="0" w:hanging="315"/>
        <w:jc w:val="left"/>
        <w:rPr/>
      </w:pPr>
      <w:r>
        <w:rPr/>
      </w:r>
    </w:p>
    <w:p>
      <w:pPr>
        <w:pStyle w:val="TextBody"/>
        <w:bidi w:val="0"/>
        <w:spacing w:lineRule="auto" w:line="276" w:before="0" w:after="0"/>
        <w:ind w:left="0" w:right="0" w:firstLine="495"/>
        <w:jc w:val="left"/>
        <w:rPr>
          <w:rFonts w:ascii="Arial;sans-serif" w:hAnsi="Arial;sans-serif"/>
          <w:b w:val="false"/>
          <w:color w:val="000000"/>
          <w:sz w:val="20"/>
        </w:rPr>
      </w:pPr>
      <w:r>
        <w:rPr>
          <w:rFonts w:ascii="Arial;sans-serif" w:hAnsi="Arial;sans-serif"/>
          <w:b w:val="false"/>
          <w:color w:val="000000"/>
          <w:sz w:val="20"/>
        </w:rPr>
        <w:t>The “Funding Gap” in the above table primarily shows mismatches in the Fed Funds Effective Rate, SOFR rate, 3-month SOFR, Non-Discrete Reset, and Fixed-Rate categories. Changes in the Fed Funds Effective Rate, the Non-Discrete Reset, and the daily, weekly, and monthly SOFR, and 3-month SOFR categories are generally quite highly correlated and should offset each other effectively. The funding in the fixed-rate bucket includes $2.0 billion of stockholders’ equity and $0.4 billion of non-interest-bearing liabilities. We consider the overall repricing risk to be low.</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We use interest rate swaps and other derivatives to achieve our risk management objectives. Our asset liability management strategy is to match assets with debt (in combination with derivatives) that have the same underlying index and reset frequency or have interest rate characteristics that we believe are highly correlated. The use of funding with index types and reset frequencies that are different from our assets exposes us to interest rate risk in the form of basis and repricing risk. This could result in our cost of funds not moving in the same direction or with the same magnitude as the yield on our assets. While we believe this risk is low, as all of these indices are short-term with rate movements that are highly correlated over a long period of time, market disruptions (which have occurred in recent years) can lead to a temporary divergence between indices, resulting in a negative impact to our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81</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270" w:after="283"/>
        <w:jc w:val="left"/>
        <w:rPr>
          <w:rFonts w:ascii="Arial;sans-serif" w:hAnsi="Arial;sans-serif"/>
          <w:b/>
          <w:color w:val="000000"/>
          <w:sz w:val="20"/>
        </w:rPr>
      </w:pPr>
      <w:r>
        <w:rPr>
          <w:rFonts w:ascii="Arial;sans-serif" w:hAnsi="Arial;sans-serif"/>
          <w:b/>
          <w:color w:val="000000"/>
          <w:sz w:val="20"/>
        </w:rPr>
        <w:t>Weighted Average Life</w:t>
      </w:r>
    </w:p>
    <w:p>
      <w:pPr>
        <w:pStyle w:val="TextBody"/>
        <w:bidi w:val="0"/>
        <w:spacing w:lineRule="auto" w:line="288" w:before="270" w:after="283"/>
        <w:jc w:val="left"/>
        <w:rPr>
          <w:rFonts w:ascii="Arial;sans-serif" w:hAnsi="Arial;sans-serif"/>
          <w:b w:val="false"/>
          <w:color w:val="000000"/>
          <w:sz w:val="20"/>
        </w:rPr>
      </w:pPr>
      <w:r>
        <w:rPr>
          <w:rFonts w:ascii="Arial;sans-serif" w:hAnsi="Arial;sans-serif"/>
          <w:b w:val="false"/>
          <w:color w:val="000000"/>
          <w:sz w:val="20"/>
        </w:rPr>
        <w:t>The following table reflects the weighted average lives of our earning assets and liabilities at September 30, 2026.</w:t>
      </w:r>
    </w:p>
    <w:p>
      <w:pPr>
        <w:pStyle w:val="TextBody"/>
        <w:bidi w:val="0"/>
        <w:spacing w:lineRule="auto" w:line="288" w:before="270" w:after="283"/>
        <w:jc w:val="center"/>
        <w:rPr>
          <w:color w:val="000000"/>
        </w:rPr>
      </w:pPr>
      <w:r>
        <w:rPr>
          <w:color w:val="000000"/>
        </w:rPr>
        <w:t> </w:t>
      </w:r>
    </w:p>
    <w:tbl>
      <w:tblPr>
        <w:tblW w:w="4198" w:type="dxa"/>
        <w:jc w:val="center"/>
        <w:tblInd w:w="0" w:type="dxa"/>
        <w:tblLayout w:type="fixed"/>
        <w:tblCellMar>
          <w:top w:w="28" w:type="dxa"/>
          <w:left w:w="28" w:type="dxa"/>
          <w:bottom w:w="28" w:type="dxa"/>
          <w:right w:w="28" w:type="dxa"/>
        </w:tblCellMar>
      </w:tblPr>
      <w:tblGrid>
        <w:gridCol w:w="765"/>
        <w:gridCol w:w="674"/>
        <w:gridCol w:w="675"/>
        <w:gridCol w:w="610"/>
        <w:gridCol w:w="610"/>
        <w:gridCol w:w="86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As of September 30, 2026</w:t>
            </w:r>
          </w:p>
          <w:p>
            <w:pPr>
              <w:pStyle w:val="TableContents"/>
              <w:bidi w:val="0"/>
              <w:spacing w:lineRule="auto" w:line="240" w:before="0" w:after="0"/>
              <w:jc w:val="left"/>
              <w:rPr>
                <w:rFonts w:ascii="Arial;sans-serif" w:hAnsi="Arial;sans-serif"/>
                <w:b/>
                <w:color w:val="144F82"/>
                <w:sz w:val="16"/>
              </w:rPr>
            </w:pPr>
            <w:r>
              <w:rPr>
                <w:rFonts w:ascii="Arial;sans-serif" w:hAnsi="Arial;sans-serif"/>
                <w:b/>
                <w:color w:val="144F82"/>
                <w:sz w:val="16"/>
              </w:rPr>
              <w:t>(averages in years)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Weighted Average Life</w:t>
            </w:r>
          </w:p>
        </w:tc>
      </w:tr>
      <w:tr>
        <w:trPr/>
        <w:tc>
          <w:tcPr>
            <w:tcW w:w="2114"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Earning assets</w:t>
            </w:r>
          </w:p>
        </w:tc>
        <w:tc>
          <w:tcPr>
            <w:tcW w:w="208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Education Loans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investments</w:t>
            </w:r>
          </w:p>
        </w:tc>
        <w:tc>
          <w:tcPr>
            <w:tcW w:w="122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86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earning assets</w:t>
            </w:r>
          </w:p>
        </w:tc>
        <w:tc>
          <w:tcPr>
            <w:tcW w:w="12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Deposits</w:t>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deposits</w:t>
            </w:r>
          </w:p>
        </w:tc>
        <w:tc>
          <w:tcPr>
            <w:tcW w:w="122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86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deposits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1220"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86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Borrowings</w:t>
            </w:r>
          </w:p>
        </w:tc>
        <w:tc>
          <w:tcPr>
            <w:tcW w:w="208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0.92 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122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86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borrowings</w:t>
            </w:r>
          </w:p>
        </w:tc>
        <w:tc>
          <w:tcPr>
            <w:tcW w:w="12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15"/>
        <w:jc w:val="left"/>
        <w:rPr/>
      </w:pPr>
      <w:r>
        <w:rPr>
          <w:rFonts w:ascii="Arial;sans-serif" w:hAnsi="Arial;sans-serif"/>
          <w:b/>
          <w:color w:val="144F82"/>
          <w:sz w:val="20"/>
        </w:rPr>
        <w:t xml:space="preserve">Item 4. </w:t>
      </w:r>
      <w:r>
        <w:rPr>
          <w:color w:val="144F82"/>
        </w:rPr>
        <w:t>    </w:t>
      </w:r>
      <w:r>
        <w:rPr>
          <w:rFonts w:ascii="Arial;sans-serif" w:hAnsi="Arial;sans-serif"/>
          <w:b/>
          <w:color w:val="144F82"/>
          <w:sz w:val="20"/>
        </w:rPr>
        <w:t xml:space="preserve">Controls and Procedures </w:t>
      </w:r>
    </w:p>
    <w:p>
      <w:pPr>
        <w:pStyle w:val="TextBody"/>
        <w:bidi w:val="0"/>
        <w:spacing w:lineRule="auto" w:line="288" w:before="270" w:after="283"/>
        <w:jc w:val="left"/>
        <w:rPr>
          <w:rFonts w:ascii="Arial;sans-serif" w:hAnsi="Arial;sans-serif"/>
          <w:b/>
          <w:i/>
          <w:color w:val="000000"/>
          <w:sz w:val="20"/>
        </w:rPr>
      </w:pPr>
      <w:r>
        <w:rPr>
          <w:rFonts w:ascii="Arial;sans-serif" w:hAnsi="Arial;sans-serif"/>
          <w:b/>
          <w:i/>
          <w:color w:val="000000"/>
          <w:sz w:val="20"/>
        </w:rPr>
        <w:t xml:space="preserve">Disclosure Controls and Procedures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principal executive officer and principal financial officer, evaluated the effectiveness of our disclosure controls and procedures (as defined in Rules 13a-15(e) and 15d-15(e) under the Securities Exchange Act of 1934, as amended (the “Exchange Act”)) as of September 30, 2026. Based on this evaluation, our principal executive officer and principal financial officer concluded that, as of September 30, 2026, our disclosure controls and procedures were effective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270" w:after="283"/>
        <w:jc w:val="left"/>
        <w:rPr>
          <w:rFonts w:ascii="Arial;sans-serif" w:hAnsi="Arial;sans-serif"/>
          <w:b/>
          <w:i/>
          <w:color w:val="000000"/>
          <w:sz w:val="20"/>
        </w:rPr>
      </w:pPr>
      <w:r>
        <w:rPr>
          <w:rFonts w:ascii="Arial;sans-serif" w:hAnsi="Arial;sans-serif"/>
          <w:b/>
          <w:i/>
          <w:color w:val="000000"/>
          <w:sz w:val="20"/>
        </w:rPr>
        <w:t xml:space="preserve">Changes in Internal Control over Financial Reporting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 change in our internal control over financial reporting (as defined in Rules 13a-15(f) and 15d-15(f) under the Exchange Act) occurred during the fiscal quarter ended September 30, 2026 that has materially affected, or is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44F82"/>
                          <w:sz w:val="22"/>
                        </w:rPr>
                      </w:pPr>
                      <w:r>
                        <w:rPr>
                          <w:rFonts w:ascii="Arial Narrow;sans-serif" w:hAnsi="Arial Narrow;sans-serif"/>
                          <w:b/>
                          <w:color w:val="144F82"/>
                          <w:sz w:val="22"/>
                        </w:rPr>
                        <w:t>82</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PART II. OTHER INFORMATION </w:t>
      </w:r>
    </w:p>
    <w:p>
      <w:pPr>
        <w:pStyle w:val="TextBody"/>
        <w:bidi w:val="0"/>
        <w:spacing w:lineRule="auto" w:line="288" w:before="180" w:after="283"/>
        <w:ind w:left="0" w:right="0" w:hanging="945"/>
        <w:jc w:val="left"/>
        <w:rPr/>
      </w:pPr>
      <w:r>
        <w:rPr>
          <w:rFonts w:ascii="Arial;sans-serif" w:hAnsi="Arial;sans-serif"/>
          <w:b/>
          <w:color w:val="144F82"/>
          <w:sz w:val="20"/>
        </w:rPr>
        <w:t>Item 1.</w:t>
      </w:r>
      <w:r>
        <w:rPr>
          <w:color w:val="144F82"/>
        </w:rPr>
        <w:t>    </w:t>
      </w:r>
      <w:r>
        <w:rPr>
          <w:rFonts w:ascii="Arial;sans-serif" w:hAnsi="Arial;sans-serif"/>
          <w:b/>
          <w:color w:val="144F82"/>
          <w:sz w:val="20"/>
        </w:rPr>
        <w:t>Legal Proceedings</w:t>
      </w:r>
      <w:r>
        <w:rPr>
          <w:color w:val="000000"/>
        </w:rPr>
        <w:t xml:space="preserve">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information required by this item is set forth in the “Commitments, Contingencies and Guarantees” discussion in Note 14 to our consolidated financial statements included elsewhere in this Form 10-Q, which discussion is incorporated herein by reference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ind w:left="0" w:right="0" w:hanging="1260"/>
        <w:jc w:val="left"/>
        <w:rPr>
          <w:rFonts w:ascii="Arial;sans-serif" w:hAnsi="Arial;sans-serif"/>
          <w:b/>
          <w:color w:val="144F82"/>
          <w:sz w:val="20"/>
        </w:rPr>
      </w:pPr>
      <w:r>
        <w:rPr>
          <w:rFonts w:ascii="Arial;sans-serif" w:hAnsi="Arial;sans-serif"/>
          <w:b/>
          <w:color w:val="144F82"/>
          <w:sz w:val="20"/>
        </w:rPr>
        <w:t xml:space="preserve">Item 1A. Risk Factors </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Our business activities involve a variety of risks. Readers should carefully consider the risk factors disclosed in Part I, Item 1A. “Risk Factors” of our 2025 Form 10-K.</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0" w:after="283"/>
        <w:jc w:val="left"/>
        <w:rPr>
          <w:rFonts w:ascii="Arial;sans-serif" w:hAnsi="Arial;sans-serif"/>
          <w:b/>
          <w:color w:val="144F82"/>
          <w:sz w:val="20"/>
        </w:rPr>
      </w:pPr>
      <w:r>
        <w:rPr>
          <w:rFonts w:ascii="Arial;sans-serif" w:hAnsi="Arial;sans-serif"/>
          <w:b/>
          <w:color w:val="144F82"/>
          <w:sz w:val="20"/>
        </w:rPr>
        <w:t>Item 2.    Unregistered Sales of Equity Securities and Use of Proceeds</w:t>
      </w:r>
    </w:p>
    <w:p>
      <w:pPr>
        <w:pStyle w:val="TextBody"/>
        <w:bidi w:val="0"/>
        <w:spacing w:lineRule="auto" w:line="288" w:before="90" w:after="283"/>
        <w:jc w:val="left"/>
        <w:rPr>
          <w:rFonts w:ascii="Arial;sans-serif" w:hAnsi="Arial;sans-serif"/>
          <w:b/>
          <w:i/>
          <w:color w:val="000000"/>
          <w:sz w:val="20"/>
        </w:rPr>
      </w:pPr>
      <w:r>
        <w:rPr>
          <w:rFonts w:ascii="Arial;sans-serif" w:hAnsi="Arial;sans-serif"/>
          <w:b/>
          <w:i/>
          <w:color w:val="000000"/>
          <w:sz w:val="20"/>
        </w:rPr>
        <w:t>Share Repurchases</w:t>
      </w:r>
    </w:p>
    <w:p>
      <w:pPr>
        <w:pStyle w:val="TextBody"/>
        <w:bidi w:val="0"/>
        <w:spacing w:lineRule="auto" w:line="288" w:before="6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provides information relating to our purchase of shares of our common stock in the three months ended September 30, 2026.</w:t>
      </w:r>
    </w:p>
    <w:p>
      <w:pPr>
        <w:pStyle w:val="TextBody"/>
        <w:bidi w:val="0"/>
        <w:spacing w:lineRule="auto" w:line="288" w:before="60" w:after="283"/>
        <w:ind w:left="0" w:right="0" w:firstLine="495"/>
        <w:jc w:val="center"/>
        <w:rPr>
          <w:color w:val="000000"/>
        </w:rPr>
      </w:pPr>
      <w:r>
        <w:rPr>
          <w:color w:val="000000"/>
        </w:rPr>
        <w:t> </w:t>
      </w:r>
    </w:p>
    <w:tbl>
      <w:tblPr>
        <w:tblW w:w="9811" w:type="dxa"/>
        <w:jc w:val="center"/>
        <w:tblInd w:w="0" w:type="dxa"/>
        <w:tblLayout w:type="fixed"/>
        <w:tblCellMar>
          <w:top w:w="28" w:type="dxa"/>
          <w:left w:w="28" w:type="dxa"/>
          <w:bottom w:w="28" w:type="dxa"/>
          <w:right w:w="28" w:type="dxa"/>
        </w:tblCellMar>
      </w:tblPr>
      <w:tblGrid>
        <w:gridCol w:w="1081"/>
        <w:gridCol w:w="950"/>
        <w:gridCol w:w="954"/>
        <w:gridCol w:w="488"/>
        <w:gridCol w:w="488"/>
        <w:gridCol w:w="396"/>
        <w:gridCol w:w="109"/>
        <w:gridCol w:w="109"/>
        <w:gridCol w:w="109"/>
        <w:gridCol w:w="267"/>
        <w:gridCol w:w="780"/>
        <w:gridCol w:w="139"/>
        <w:gridCol w:w="109"/>
        <w:gridCol w:w="109"/>
        <w:gridCol w:w="109"/>
        <w:gridCol w:w="510"/>
        <w:gridCol w:w="510"/>
        <w:gridCol w:w="511"/>
        <w:gridCol w:w="109"/>
        <w:gridCol w:w="109"/>
        <w:gridCol w:w="109"/>
        <w:gridCol w:w="311"/>
        <w:gridCol w:w="1217"/>
        <w:gridCol w:w="228"/>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5"/>
              </w:rPr>
            </w:pPr>
            <w:r>
              <w:rPr>
                <w:rFonts w:ascii="Arial;sans-serif" w:hAnsi="Arial;sans-serif"/>
                <w:b/>
                <w:color w:val="144F82"/>
                <w:sz w:val="15"/>
              </w:rPr>
              <w:t xml:space="preserve">(Dollars in thousands, </w:t>
              <w:br/>
              <w:t>except per share data)</w:t>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Total Number</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of Shares</w:t>
            </w:r>
          </w:p>
          <w:p>
            <w:pPr>
              <w:pStyle w:val="TableContents"/>
              <w:bidi w:val="0"/>
              <w:spacing w:lineRule="auto" w:line="240" w:before="0" w:after="0"/>
              <w:jc w:val="center"/>
              <w:rPr/>
            </w:pPr>
            <w:r>
              <w:rPr>
                <w:rFonts w:ascii="Arial;sans-serif" w:hAnsi="Arial;sans-serif"/>
                <w:b/>
                <w:color w:val="144F82"/>
                <w:sz w:val="16"/>
              </w:rPr>
              <w:t>Purchased</w:t>
            </w:r>
            <w:r>
              <w:rPr>
                <w:rFonts w:ascii="Arial;sans-serif" w:hAnsi="Arial;sans-serif"/>
                <w:b/>
                <w:color w:val="144F82"/>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Average Price</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Paid per</w:t>
            </w:r>
          </w:p>
          <w:p>
            <w:pPr>
              <w:pStyle w:val="TableContents"/>
              <w:bidi w:val="0"/>
              <w:spacing w:lineRule="auto" w:line="240" w:before="0" w:after="0"/>
              <w:jc w:val="center"/>
              <w:rPr/>
            </w:pPr>
            <w:r>
              <w:rPr>
                <w:rFonts w:ascii="Arial;sans-serif" w:hAnsi="Arial;sans-serif"/>
                <w:b/>
                <w:color w:val="144F82"/>
                <w:sz w:val="16"/>
              </w:rPr>
              <w:t>Share</w:t>
            </w:r>
            <w:r>
              <w:rPr>
                <w:color w:val="144F8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Total Number of</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Shares Purchased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as Part of Publicly</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Announced Plans</w:t>
            </w:r>
          </w:p>
          <w:p>
            <w:pPr>
              <w:pStyle w:val="TableContents"/>
              <w:bidi w:val="0"/>
              <w:spacing w:lineRule="auto" w:line="240" w:before="0" w:after="0"/>
              <w:jc w:val="center"/>
              <w:rPr/>
            </w:pPr>
            <w:r>
              <w:rPr>
                <w:rFonts w:ascii="Arial;sans-serif" w:hAnsi="Arial;sans-serif"/>
                <w:b/>
                <w:color w:val="144F82"/>
                <w:sz w:val="16"/>
              </w:rPr>
              <w:t>or Programs</w:t>
            </w:r>
            <w:r>
              <w:rPr>
                <w:rFonts w:ascii="Arial;sans-serif" w:hAnsi="Arial;sans-serif"/>
                <w:b/>
                <w:color w:val="144F82"/>
                <w:sz w:val="10"/>
              </w:rPr>
              <w:t>(2)(3)</w:t>
            </w:r>
            <w:r>
              <w:rPr>
                <w:color w:val="144F82"/>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Approximate Dollar</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Value</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of Shares That</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May Yet Be</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Purchased Under</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Publicly Announced</w:t>
            </w:r>
          </w:p>
          <w:p>
            <w:pPr>
              <w:pStyle w:val="TableContents"/>
              <w:bidi w:val="0"/>
              <w:spacing w:lineRule="auto" w:line="240" w:before="0" w:after="0"/>
              <w:jc w:val="center"/>
              <w:rPr>
                <w:rFonts w:ascii="Arial;sans-serif" w:hAnsi="Arial;sans-serif"/>
                <w:b/>
                <w:color w:val="144F82"/>
                <w:sz w:val="16"/>
              </w:rPr>
            </w:pPr>
            <w:r>
              <w:rPr>
                <w:rFonts w:ascii="Arial;sans-serif" w:hAnsi="Arial;sans-serif"/>
                <w:b/>
                <w:color w:val="144F82"/>
                <w:sz w:val="16"/>
              </w:rPr>
              <w:t>Plans or</w:t>
            </w:r>
          </w:p>
          <w:p>
            <w:pPr>
              <w:pStyle w:val="TableContents"/>
              <w:bidi w:val="0"/>
              <w:spacing w:lineRule="auto" w:line="240" w:before="0" w:after="0"/>
              <w:jc w:val="center"/>
              <w:rPr/>
            </w:pPr>
            <w:r>
              <w:rPr>
                <w:rFonts w:ascii="Arial;sans-serif" w:hAnsi="Arial;sans-serif"/>
                <w:b/>
                <w:color w:val="144F82"/>
                <w:sz w:val="16"/>
              </w:rPr>
              <w:t>Programs</w:t>
            </w:r>
            <w:r>
              <w:rPr>
                <w:rFonts w:ascii="Arial;sans-serif" w:hAnsi="Arial;sans-serif"/>
                <w:b/>
                <w:color w:val="144F82"/>
                <w:sz w:val="10"/>
              </w:rPr>
              <w:t>(2)</w:t>
            </w:r>
          </w:p>
        </w:tc>
      </w:tr>
      <w:tr>
        <w:trPr/>
        <w:tc>
          <w:tcPr>
            <w:tcW w:w="2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Period:</w:t>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1 - July 31, 2026</w:t>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1,621,344 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25.20 </w:t>
            </w:r>
          </w:p>
        </w:tc>
        <w:tc>
          <w:tcPr>
            <w:tcW w:w="13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1,613,441 </w:t>
            </w:r>
          </w:p>
        </w:tc>
        <w:tc>
          <w:tcPr>
            <w:tcW w:w="5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201,000 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1 - August 31,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1,341,187 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1,341,187 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1 - September 30, 2026</w:t>
            </w:r>
          </w:p>
        </w:tc>
        <w:tc>
          <w:tcPr>
            <w:tcW w:w="976"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2,191,483 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25.17 </w:t>
            </w:r>
          </w:p>
        </w:tc>
        <w:tc>
          <w:tcPr>
            <w:tcW w:w="13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2,191,483 </w:t>
            </w:r>
          </w:p>
        </w:tc>
        <w:tc>
          <w:tcPr>
            <w:tcW w:w="5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7"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111,000 </w:t>
            </w:r>
          </w:p>
        </w:tc>
        <w:tc>
          <w:tcPr>
            <w:tcW w:w="228"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18"/>
              </w:rPr>
            </w:pPr>
            <w:r>
              <w:rPr>
                <w:rFonts w:ascii="Arial;sans-serif" w:hAnsi="Arial;sans-serif"/>
                <w:b/>
                <w:color w:val="144F82"/>
                <w:sz w:val="18"/>
              </w:rPr>
              <w:t>Total Third Quarter 2026</w:t>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5,154,014 </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5,146,111 </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120" w:after="283"/>
        <w:ind w:left="0" w:right="0" w:hanging="225"/>
        <w:jc w:val="left"/>
        <w:rPr/>
      </w:pPr>
      <w:r>
        <w:rPr>
          <w:rFonts w:ascii="Arial;sans-serif" w:hAnsi="Arial;sans-serif"/>
          <w:b w:val="false"/>
          <w:color w:val="000000"/>
          <w:sz w:val="9"/>
        </w:rPr>
        <w:t>(1)</w:t>
      </w:r>
      <w:r>
        <w:rPr>
          <w:color w:val="000000"/>
        </w:rPr>
        <w:t>      </w:t>
      </w:r>
      <w:r>
        <w:rPr>
          <w:rFonts w:ascii="Arial;sans-serif" w:hAnsi="Arial;sans-serif"/>
          <w:b w:val="false"/>
          <w:color w:val="000000"/>
          <w:sz w:val="14"/>
        </w:rPr>
        <w:t>The total number of shares purchased includes: (i) shares purchased under the stock repurchase programs discussed herein, and (ii) 7,903 shares of our common stock tendered to us to satisfy the exercise price in connection with cashless exercises of stock options, and tax withholding obligations in connection with exercises of stock options and vesting of restricted stock, restricted stock units, performance stock units, and dividend equivalent units.</w:t>
      </w:r>
    </w:p>
    <w:p>
      <w:pPr>
        <w:pStyle w:val="TextBody"/>
        <w:bidi w:val="0"/>
        <w:spacing w:lineRule="auto" w:line="268" w:before="120" w:after="283"/>
        <w:ind w:left="0" w:right="0" w:hanging="225"/>
        <w:jc w:val="left"/>
        <w:rPr/>
      </w:pPr>
      <w:r>
        <w:rPr>
          <w:rFonts w:ascii="Arial;sans-serif" w:hAnsi="Arial;sans-serif"/>
          <w:b w:val="false"/>
          <w:color w:val="000000"/>
          <w:sz w:val="9"/>
        </w:rPr>
        <w:t>(2) </w:t>
      </w:r>
      <w:r>
        <w:rPr>
          <w:color w:val="000000"/>
        </w:rPr>
        <w:t>    </w:t>
      </w:r>
      <w:r>
        <w:rPr>
          <w:rFonts w:ascii="Arial;sans-serif" w:hAnsi="Arial;sans-serif"/>
          <w:b w:val="false"/>
          <w:color w:val="000000"/>
          <w:sz w:val="14"/>
        </w:rPr>
        <w:t>The 2024 Share Repurchase Program expired on February 6, 2026. The 2026 Share Repurchase Program was announced on January 22, 2026, with an effective date of January 22, 2026, and expires on February 4, 2028. As of September 30, 2026, there was $111 million in capacity remaining under the 2026 Share Repurchase Program. See Note 10, “Stockholders’ Equity” to our consolidated financial statements in this Form 10-Q for further discussion.</w:t>
      </w:r>
    </w:p>
    <w:p>
      <w:pPr>
        <w:pStyle w:val="TextBody"/>
        <w:bidi w:val="0"/>
        <w:spacing w:lineRule="auto" w:line="288" w:before="120" w:after="283"/>
        <w:ind w:left="0" w:right="0" w:hanging="225"/>
        <w:jc w:val="left"/>
        <w:rPr/>
      </w:pPr>
      <w:r>
        <w:rPr>
          <w:rFonts w:ascii="Arial;sans-serif" w:hAnsi="Arial;sans-serif"/>
          <w:b w:val="false"/>
          <w:color w:val="000000"/>
          <w:sz w:val="9"/>
        </w:rPr>
        <w:t xml:space="preserve">(3)    </w:t>
      </w:r>
      <w:r>
        <w:rPr>
          <w:rFonts w:ascii="Arial;sans-serif" w:hAnsi="Arial;sans-serif"/>
          <w:b w:val="false"/>
          <w:color w:val="000000"/>
          <w:sz w:val="14"/>
        </w:rPr>
        <w:t>In the third quarter of 2026, we repurchased 5.1 million</w:t>
      </w:r>
      <w:r>
        <w:rPr>
          <w:color w:val="000000"/>
        </w:rPr>
        <w:t xml:space="preserve"> </w:t>
      </w:r>
      <w:r>
        <w:rPr>
          <w:rFonts w:ascii="Arial;sans-serif" w:hAnsi="Arial;sans-serif"/>
          <w:b w:val="false"/>
          <w:color w:val="000000"/>
          <w:sz w:val="14"/>
        </w:rPr>
        <w:t xml:space="preserve">shares under 10b5-1 trading plans. See Note 10, “Stockholders’ Equity” to our consolidated financial statements in this Form 10-Q for further discussion. </w:t>
      </w:r>
    </w:p>
    <w:p>
      <w:pPr>
        <w:pStyle w:val="TextBody"/>
        <w:bidi w:val="0"/>
        <w:spacing w:before="0" w:after="0"/>
        <w:ind w:left="0" w:right="0" w:hanging="225"/>
        <w:jc w:val="left"/>
        <w:rPr/>
      </w:pPr>
      <w:r>
        <w:rPr/>
      </w:r>
    </w:p>
    <w:p>
      <w:pPr>
        <w:pStyle w:val="TextBody"/>
        <w:bidi w:val="0"/>
        <w:spacing w:lineRule="auto" w:line="288" w:before="140" w:after="283"/>
        <w:ind w:left="0" w:right="0" w:firstLine="495"/>
        <w:jc w:val="left"/>
        <w:rPr>
          <w:rFonts w:ascii="Arial;sans-serif" w:hAnsi="Arial;sans-serif"/>
          <w:b w:val="false"/>
          <w:color w:val="000000"/>
          <w:sz w:val="20"/>
        </w:rPr>
      </w:pPr>
      <w:r>
        <w:rPr>
          <w:rFonts w:ascii="Arial;sans-serif" w:hAnsi="Arial;sans-serif"/>
          <w:b w:val="false"/>
          <w:color w:val="000000"/>
          <w:sz w:val="20"/>
        </w:rPr>
        <w:t>The closing price of our common stock on the NASDAQ Global Select Market on September 30, 2026 was $22.63.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ind w:left="0" w:right="0" w:hanging="945"/>
        <w:jc w:val="left"/>
        <w:rPr/>
      </w:pPr>
      <w:r>
        <w:rPr>
          <w:rFonts w:ascii="Arial;sans-serif" w:hAnsi="Arial;sans-serif"/>
          <w:b/>
          <w:color w:val="144F82"/>
          <w:sz w:val="20"/>
        </w:rPr>
        <w:t>Item 3.</w:t>
      </w:r>
      <w:r>
        <w:rPr>
          <w:color w:val="144F82"/>
        </w:rPr>
        <w:t>    </w:t>
      </w:r>
      <w:r>
        <w:rPr>
          <w:rFonts w:ascii="Arial;sans-serif" w:hAnsi="Arial;sans-serif"/>
          <w:b/>
          <w:color w:val="144F82"/>
          <w:sz w:val="20"/>
        </w:rPr>
        <w:t xml:space="preserve">Defaults Upon Senior Securities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Nothing to report. </w:t>
      </w:r>
    </w:p>
    <w:p>
      <w:pPr>
        <w:pStyle w:val="TextBody"/>
        <w:bidi w:val="0"/>
        <w:spacing w:lineRule="auto" w:line="288" w:before="270" w:after="283"/>
        <w:ind w:left="0" w:right="0" w:hanging="945"/>
        <w:jc w:val="left"/>
        <w:rPr/>
      </w:pPr>
      <w:r>
        <w:rPr>
          <w:rFonts w:ascii="Arial;sans-serif" w:hAnsi="Arial;sans-serif"/>
          <w:b/>
          <w:color w:val="144F82"/>
          <w:sz w:val="20"/>
        </w:rPr>
        <w:t>Item 4.</w:t>
      </w:r>
      <w:r>
        <w:rPr>
          <w:color w:val="144F82"/>
        </w:rPr>
        <w:t>    </w:t>
      </w:r>
      <w:r>
        <w:rPr>
          <w:rFonts w:ascii="Arial;sans-serif" w:hAnsi="Arial;sans-serif"/>
          <w:b/>
          <w:color w:val="144F82"/>
          <w:sz w:val="20"/>
        </w:rPr>
        <w:t xml:space="preserve">Mine Safety Disclosures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90" w:after="283"/>
        <w:ind w:left="0" w:right="0" w:firstLine="495"/>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83</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left"/>
        <w:rPr/>
      </w:pPr>
      <w:r>
        <w:rPr>
          <w:rFonts w:ascii="Arial;sans-serif" w:hAnsi="Arial;sans-serif"/>
          <w:b/>
          <w:color w:val="144F82"/>
          <w:sz w:val="20"/>
        </w:rPr>
        <w:t>Item 5.</w:t>
      </w:r>
      <w:r>
        <w:rPr>
          <w:color w:val="144F82"/>
        </w:rPr>
        <w:t>    </w:t>
      </w:r>
      <w:r>
        <w:rPr>
          <w:rFonts w:ascii="Arial;sans-serif" w:hAnsi="Arial;sans-serif"/>
          <w:b/>
          <w:color w:val="144F82"/>
          <w:sz w:val="20"/>
        </w:rPr>
        <w:t xml:space="preserve">Other Information </w:t>
      </w:r>
    </w:p>
    <w:p>
      <w:pPr>
        <w:pStyle w:val="TextBody"/>
        <w:bidi w:val="0"/>
        <w:spacing w:lineRule="auto" w:line="288" w:before="120" w:after="283"/>
        <w:ind w:left="0" w:right="0" w:firstLine="495"/>
        <w:jc w:val="left"/>
        <w:rPr>
          <w:rFonts w:ascii="Arial;sans-serif" w:hAnsi="Arial;sans-serif"/>
          <w:b/>
          <w:i/>
          <w:color w:val="000000"/>
          <w:sz w:val="20"/>
        </w:rPr>
      </w:pPr>
      <w:r>
        <w:rPr>
          <w:rFonts w:ascii="Arial;sans-serif" w:hAnsi="Arial;sans-serif"/>
          <w:b/>
          <w:i/>
          <w:color w:val="000000"/>
          <w:sz w:val="20"/>
        </w:rPr>
        <w:t xml:space="preserve">Insider Trading Arrangements </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individual adopted a “Rule 10b5-1 trading arrangement” (as that term is defined in Item 408 of Regulation S-K) during the third quarter of fiscal year 2026:</w:t>
      </w:r>
    </w:p>
    <w:tbl>
      <w:tblPr>
        <w:tblW w:w="10205" w:type="dxa"/>
        <w:jc w:val="left"/>
        <w:tblInd w:w="0" w:type="dxa"/>
        <w:tblLayout w:type="fixed"/>
        <w:tblCellMar>
          <w:top w:w="28" w:type="dxa"/>
          <w:left w:w="28" w:type="dxa"/>
          <w:bottom w:w="28" w:type="dxa"/>
          <w:right w:w="28" w:type="dxa"/>
        </w:tblCellMar>
      </w:tblPr>
      <w:tblGrid>
        <w:gridCol w:w="964"/>
        <w:gridCol w:w="850"/>
        <w:gridCol w:w="855"/>
        <w:gridCol w:w="604"/>
        <w:gridCol w:w="604"/>
        <w:gridCol w:w="605"/>
        <w:gridCol w:w="315"/>
        <w:gridCol w:w="315"/>
        <w:gridCol w:w="316"/>
        <w:gridCol w:w="554"/>
        <w:gridCol w:w="554"/>
        <w:gridCol w:w="537"/>
        <w:gridCol w:w="915"/>
        <w:gridCol w:w="915"/>
        <w:gridCol w:w="1302"/>
      </w:tblGrid>
      <w:tr>
        <w:trPr/>
        <w:tc>
          <w:tcPr>
            <w:tcW w:w="9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Name and Title</w:t>
            </w:r>
          </w:p>
        </w:tc>
        <w:tc>
          <w:tcPr>
            <w:tcW w:w="1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8"/>
              </w:rPr>
              <w:t>Character of Trading Arrangement</w:t>
            </w:r>
            <w:r>
              <w:rPr>
                <w:rFonts w:ascii="Arial;sans-serif" w:hAnsi="Arial;sans-serif"/>
                <w:b/>
                <w:color w:val="144F82"/>
                <w:sz w:val="12"/>
              </w:rPr>
              <w:t>(1)</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Date Adopted</w:t>
            </w:r>
          </w:p>
        </w:tc>
        <w:tc>
          <w:tcPr>
            <w:tcW w:w="1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44F82"/>
                <w:sz w:val="18"/>
              </w:rPr>
              <w:t>Duration</w:t>
            </w:r>
            <w:r>
              <w:rPr>
                <w:rFonts w:ascii="Arial;sans-serif" w:hAnsi="Arial;sans-serif"/>
                <w:b/>
                <w:color w:val="144F82"/>
                <w:sz w:val="12"/>
              </w:rPr>
              <w:t>(2)</w:t>
            </w:r>
          </w:p>
        </w:tc>
        <w:tc>
          <w:tcPr>
            <w:tcW w:w="3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44F82"/>
                <w:sz w:val="18"/>
              </w:rPr>
            </w:pPr>
            <w:r>
              <w:rPr>
                <w:rFonts w:ascii="Arial;sans-serif" w:hAnsi="Arial;sans-serif"/>
                <w:b/>
                <w:color w:val="144F82"/>
                <w:sz w:val="18"/>
              </w:rPr>
              <w:t>Aggregate Number of Shares of Common Stock to be Sold Pursuant to Trading Arrangement</w:t>
            </w:r>
          </w:p>
        </w:tc>
      </w:tr>
      <w:tr>
        <w:trPr/>
        <w:tc>
          <w:tcPr>
            <w:tcW w:w="2669"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Nicolas Jafarieh,</w:t>
            </w:r>
          </w:p>
          <w:p>
            <w:pPr>
              <w:pStyle w:val="TableContents"/>
              <w:bidi w:val="0"/>
              <w:spacing w:lineRule="auto" w:line="240" w:before="0" w:after="0"/>
              <w:jc w:val="left"/>
              <w:rPr/>
            </w:pPr>
            <w:r>
              <w:rPr>
                <w:rFonts w:ascii="Arial;sans-serif" w:hAnsi="Arial;sans-serif"/>
                <w:b w:val="false"/>
                <w:color w:val="000000"/>
                <w:sz w:val="18"/>
              </w:rPr>
              <w:t>EVP &amp; Chief Legal, Government Affairs and Communications Officer</w:t>
            </w:r>
            <w:r>
              <w:rPr>
                <w:rFonts w:ascii="Arial;sans-serif" w:hAnsi="Arial;sans-serif"/>
                <w:b w:val="false"/>
                <w:color w:val="000000"/>
                <w:sz w:val="12"/>
              </w:rPr>
              <w:t>(3)</w:t>
            </w:r>
          </w:p>
        </w:tc>
        <w:tc>
          <w:tcPr>
            <w:tcW w:w="1813"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Rule 10b5-1 </w:t>
              <w:br/>
              <w:t>Trading Arrangement</w:t>
            </w:r>
          </w:p>
        </w:tc>
        <w:tc>
          <w:tcPr>
            <w:tcW w:w="946"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30, 2026</w:t>
            </w:r>
          </w:p>
        </w:tc>
        <w:tc>
          <w:tcPr>
            <w:tcW w:w="1645"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3, 2026 to November 10, 2027</w:t>
            </w:r>
          </w:p>
        </w:tc>
        <w:tc>
          <w:tcPr>
            <w:tcW w:w="3132"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90,000</w:t>
            </w:r>
          </w:p>
        </w:tc>
      </w:tr>
    </w:tbl>
    <w:p>
      <w:pPr>
        <w:pStyle w:val="TextBody"/>
        <w:bidi w:val="0"/>
        <w:spacing w:lineRule="auto" w:line="288" w:before="90" w:after="283"/>
        <w:ind w:left="0" w:right="0" w:firstLine="54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The trading arrangement is intended to satisfy the affirmative defense of Rule 10b5-1(c), as amended (the “Rule”).</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The trading arrangement permits transactions through and including the earlier to occur of (a) the completion of all sales or (b) the date listed in the table. The trading arrangement marked as a “Rule 10b5-1 Trading Arrangement” only permits transactions upon expiration of the applicable mandatory cooling-off period under the Rule.</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The trading arrangement provides for the potential sale of up to 90,000 shares of common stock, subject to specified price conditions.</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144F82"/>
          <w:sz w:val="20"/>
        </w:rPr>
        <w:t>Item 6.</w:t>
      </w:r>
      <w:r>
        <w:rPr>
          <w:color w:val="144F82"/>
        </w:rPr>
        <w:t>    </w:t>
      </w:r>
      <w:r>
        <w:rPr>
          <w:rFonts w:ascii="Arial;sans-serif" w:hAnsi="Arial;sans-serif"/>
          <w:b/>
          <w:color w:val="144F82"/>
          <w:sz w:val="20"/>
        </w:rPr>
        <w:t>Exhibits</w:t>
      </w:r>
    </w:p>
    <w:p>
      <w:pPr>
        <w:pStyle w:val="TextBody"/>
        <w:bidi w:val="0"/>
        <w:spacing w:lineRule="auto" w:line="288" w:before="9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following exhibits are furnished or filed, as applicable: </w:t>
      </w:r>
    </w:p>
    <w:tbl>
      <w:tblPr>
        <w:tblW w:w="10205" w:type="dxa"/>
        <w:jc w:val="left"/>
        <w:tblInd w:w="0" w:type="dxa"/>
        <w:tblLayout w:type="fixed"/>
        <w:tblCellMar>
          <w:top w:w="28" w:type="dxa"/>
          <w:left w:w="28" w:type="dxa"/>
          <w:bottom w:w="28" w:type="dxa"/>
          <w:right w:w="28" w:type="dxa"/>
        </w:tblCellMar>
      </w:tblPr>
      <w:tblGrid>
        <w:gridCol w:w="278"/>
        <w:gridCol w:w="235"/>
        <w:gridCol w:w="236"/>
        <w:gridCol w:w="2763"/>
        <w:gridCol w:w="2763"/>
        <w:gridCol w:w="3930"/>
      </w:tblGrid>
      <w:tr>
        <w:trPr/>
        <w:tc>
          <w:tcPr>
            <w:tcW w:w="2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20260930ex311.htm">
              <w:r>
                <w:rPr>
                  <w:rStyle w:val="InternetLink"/>
                  <w:rFonts w:ascii="Arial;sans-serif" w:hAnsi="Arial;sans-serif"/>
                  <w:b w:val="false"/>
                  <w:color w:val="0000FF"/>
                  <w:sz w:val="20"/>
                  <w:u w:val="single"/>
                </w:rPr>
                <w:t>Certification Pursuant to Section 302 of the Sarbanes-Oxley Act of 2002.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20260930ex312.htm">
              <w:r>
                <w:rPr>
                  <w:rStyle w:val="InternetLink"/>
                  <w:rFonts w:ascii="Arial;sans-serif" w:hAnsi="Arial;sans-serif"/>
                  <w:b w:val="false"/>
                  <w:color w:val="0000FF"/>
                  <w:sz w:val="20"/>
                  <w:u w:val="single"/>
                </w:rPr>
                <w:t>Certification Pursuant to Section 302 of the Sarbanes-Oxley Act of 2002.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20260930ex321.htm">
              <w:r>
                <w:rPr>
                  <w:rStyle w:val="InternetLink"/>
                  <w:rFonts w:ascii="Arial;sans-serif" w:hAnsi="Arial;sans-serif"/>
                  <w:b w:val="false"/>
                  <w:color w:val="0000FF"/>
                  <w:sz w:val="20"/>
                  <w:u w:val="single"/>
                </w:rPr>
                <w:t>Certification Pursuant to 18 U.S.C. Section 1350, as Adopted Pursuant to Section 906 of the Sarbanes-Oxley Act of 2002.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20260930ex322.htm">
              <w:r>
                <w:rPr>
                  <w:rStyle w:val="InternetLink"/>
                  <w:rFonts w:ascii="Arial;sans-serif" w:hAnsi="Arial;sans-serif"/>
                  <w:b w:val="false"/>
                  <w:color w:val="0000FF"/>
                  <w:sz w:val="20"/>
                  <w:u w:val="single"/>
                </w:rPr>
                <w:t>Certification Pursuant to 18 U.S.C. Section 1350, as Adopted Pursuant to Section 906 of the Sarbanes-Oxley Act of 2002.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101.INS</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101.SCH</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101.CAL</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101.DEF</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101.LAB</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101.PRE</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before="60" w:after="283"/>
        <w:ind w:left="0" w:right="0" w:hanging="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Arial Narrow;sans-serif" w:hAnsi="Arial Narrow;sans-serif"/>
                                <w:b/>
                                <w:color w:val="144F82"/>
                                <w:sz w:val="22"/>
                              </w:rPr>
                            </w:pPr>
                            <w:r>
                              <w:rPr>
                                <w:rFonts w:ascii="Arial Narrow;sans-serif" w:hAnsi="Arial Narrow;sans-serif"/>
                                <w:b/>
                                <w:color w:val="144F82"/>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color w:val="144F82"/>
                          <w:sz w:val="22"/>
                        </w:rPr>
                      </w:pPr>
                      <w:r>
                        <w:rPr>
                          <w:rFonts w:ascii="Arial Narrow;sans-serif" w:hAnsi="Arial Narrow;sans-serif"/>
                          <w:b/>
                          <w:color w:val="144F82"/>
                          <w:sz w:val="22"/>
                        </w:rPr>
                        <w:t>84</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180" w:after="283"/>
        <w:ind w:left="0" w:right="0" w:firstLine="495"/>
        <w:jc w:val="left"/>
        <w:rPr/>
      </w:pPr>
      <w:r>
        <w:rPr/>
      </w:r>
    </w:p>
    <w:p>
      <w:pPr>
        <w:pStyle w:val="TextBody"/>
        <w:bidi w:val="0"/>
        <w:spacing w:lineRule="auto" w:line="288" w:before="0" w:after="0"/>
        <w:jc w:val="right"/>
        <w:rPr>
          <w:color w:val="000000"/>
        </w:rPr>
      </w:pPr>
      <w:r>
        <w:rPr>
          <w:color w:val="000000"/>
        </w:rPr>
        <w:t> </w:t>
      </w:r>
    </w:p>
    <w:tbl>
      <w:tblPr>
        <w:tblW w:w="5443" w:type="dxa"/>
        <w:jc w:val="right"/>
        <w:tblInd w:w="0" w:type="dxa"/>
        <w:tblLayout w:type="fixed"/>
        <w:tblCellMar>
          <w:top w:w="28" w:type="dxa"/>
          <w:left w:w="28" w:type="dxa"/>
          <w:bottom w:w="28" w:type="dxa"/>
          <w:right w:w="28" w:type="dxa"/>
        </w:tblCellMar>
      </w:tblPr>
      <w:tblGrid>
        <w:gridCol w:w="186"/>
        <w:gridCol w:w="163"/>
        <w:gridCol w:w="163"/>
        <w:gridCol w:w="163"/>
        <w:gridCol w:w="163"/>
        <w:gridCol w:w="163"/>
        <w:gridCol w:w="1289"/>
        <w:gridCol w:w="1289"/>
        <w:gridCol w:w="1292"/>
        <w:gridCol w:w="163"/>
        <w:gridCol w:w="163"/>
        <w:gridCol w:w="246"/>
      </w:tblGrid>
      <w:tr>
        <w:trPr/>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SLM CORPORATION</w:t>
            </w:r>
          </w:p>
          <w:p>
            <w:pPr>
              <w:pStyle w:val="TableContents"/>
              <w:bidi w:val="0"/>
              <w:spacing w:lineRule="auto" w:line="240" w:before="0" w:after="15"/>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w:t>
            </w:r>
            <w:r>
              <w:rPr>
                <w:rFonts w:ascii="Arial;sans-serif" w:hAnsi="Arial;sans-serif"/>
                <w:b w:val="false"/>
                <w:color w:val="000000"/>
                <w:sz w:val="14"/>
              </w:rPr>
              <w:t>S</w:t>
            </w:r>
            <w:r>
              <w:rPr>
                <w:rFonts w:ascii="Arial;sans-serif" w:hAnsi="Arial;sans-serif"/>
                <w:b w:val="false"/>
                <w:color w:val="000000"/>
                <w:sz w:val="20"/>
              </w:rPr>
              <w:t>/ PETER M. GRAHAM</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Peter M. Graham</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Co-President and Chief Financial Officer</w:t>
            </w:r>
          </w:p>
          <w:p>
            <w:pPr>
              <w:pStyle w:val="TableContents"/>
              <w:bidi w:val="0"/>
              <w:spacing w:lineRule="auto" w:line="240" w:before="0" w:after="15"/>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October 22,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color w:val="134F82"/>
                          <w:sz w:val="22"/>
                        </w:rPr>
                      </w:pPr>
                      <w:r>
                        <w:rPr>
                          <w:rFonts w:ascii="Arial Narrow;sans-serif" w:hAnsi="Arial Narrow;sans-serif"/>
                          <w:b/>
                          <w:color w:val="134F82"/>
                          <w:sz w:val="22"/>
                        </w:rPr>
                        <w:t>85</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31.1</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 Jonathan W. Witter, certify that: </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SLM Corporation; </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left"/>
        <w:rPr/>
      </w:pPr>
      <w:r>
        <w:rPr/>
      </w:r>
    </w:p>
    <w:p>
      <w:pPr>
        <w:pStyle w:val="TextBody"/>
        <w:bidi w:val="0"/>
        <w:spacing w:lineRule="auto" w:line="288" w:before="0" w:after="0"/>
        <w:jc w:val="left"/>
        <w:rPr>
          <w:color w:val="000000"/>
        </w:rPr>
      </w:pPr>
      <w:r>
        <w:rPr>
          <w:color w:val="000000"/>
        </w:rPr>
        <w:t>    </w:t>
      </w:r>
    </w:p>
    <w:tbl>
      <w:tblPr>
        <w:tblW w:w="2610" w:type="dxa"/>
        <w:jc w:val="left"/>
        <w:tblInd w:w="0" w:type="dxa"/>
        <w:tblLayout w:type="fixed"/>
        <w:tblCellMar>
          <w:top w:w="28" w:type="dxa"/>
          <w:left w:w="28" w:type="dxa"/>
          <w:bottom w:w="28" w:type="dxa"/>
          <w:right w:w="28" w:type="dxa"/>
        </w:tblCellMar>
      </w:tblPr>
      <w:tblGrid>
        <w:gridCol w:w="835"/>
        <w:gridCol w:w="732"/>
        <w:gridCol w:w="1043"/>
      </w:tblGrid>
      <w:tr>
        <w:trPr/>
        <w:tc>
          <w:tcPr>
            <w:tcW w:w="83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JONATHAN W. WITTER</w:t>
            </w:r>
          </w:p>
        </w:tc>
      </w:tr>
      <w:tr>
        <w:trPr/>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Jonathan W. Witter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22, 2026</w:t>
            </w:r>
          </w:p>
        </w:tc>
      </w:tr>
    </w:tbl>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Arial;sans-serif" w:hAnsi="Arial;sans-serif"/>
          <w:b/>
          <w:color w:val="000000"/>
          <w:sz w:val="24"/>
        </w:rPr>
      </w:pPr>
      <w:r>
        <w:rPr>
          <w:rFonts w:ascii="Arial;sans-serif" w:hAnsi="Arial;sans-serif"/>
          <w:b/>
          <w:color w:val="000000"/>
          <w:sz w:val="24"/>
        </w:rPr>
        <w:t>Exhibit 31.2</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 Peter M. Graham, certify that: </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 xml:space="preserve">1.    I have reviewed this quarterly report on Form 10-Q of SLM Corporation; </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180"/>
        <w:jc w:val="both"/>
        <w:rPr/>
      </w:pPr>
      <w:r>
        <w:rPr/>
      </w:r>
    </w:p>
    <w:tbl>
      <w:tblPr>
        <w:tblW w:w="3930" w:type="dxa"/>
        <w:jc w:val="left"/>
        <w:tblInd w:w="0" w:type="dxa"/>
        <w:tblLayout w:type="fixed"/>
        <w:tblCellMar>
          <w:top w:w="28" w:type="dxa"/>
          <w:left w:w="28" w:type="dxa"/>
          <w:bottom w:w="28" w:type="dxa"/>
          <w:right w:w="28" w:type="dxa"/>
        </w:tblCellMar>
      </w:tblPr>
      <w:tblGrid>
        <w:gridCol w:w="1259"/>
        <w:gridCol w:w="1104"/>
        <w:gridCol w:w="1567"/>
      </w:tblGrid>
      <w:tr>
        <w:trPr/>
        <w:tc>
          <w:tcPr>
            <w:tcW w:w="125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PETER M. GRAHAM</w:t>
            </w:r>
          </w:p>
        </w:tc>
      </w:tr>
      <w:tr>
        <w:trPr/>
        <w:tc>
          <w:tcPr>
            <w:tcW w:w="3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Peter M. Graham</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Co-President and Chief Financial Officer</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22, 2026</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32.1</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20"/>
        </w:rPr>
      </w:pPr>
      <w:r>
        <w:rPr>
          <w:rFonts w:ascii="Arial;sans-serif" w:hAnsi="Arial;sans-serif"/>
          <w:b w:val="false"/>
          <w:color w:val="000000"/>
          <w:sz w:val="20"/>
        </w:rPr>
        <w:t>In connection with the Quarterly Report of SLM Corporation (the “Company”) on Form 10-Q for the quarter ended September 30, 2026, as filed with the Securities and Exchange Commission on the date hereof (the “Report”), I, Jonathan W. Witter, Chief Executive Officer of the Company,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270"/>
        <w:jc w:val="left"/>
        <w:rPr/>
      </w:pPr>
      <w:r>
        <w:rPr/>
      </w:r>
    </w:p>
    <w:p>
      <w:pPr>
        <w:pStyle w:val="TextBody"/>
        <w:bidi w:val="0"/>
        <w:spacing w:lineRule="auto" w:line="288" w:before="0" w:after="0"/>
        <w:jc w:val="left"/>
        <w:rPr>
          <w:color w:val="000000"/>
        </w:rPr>
      </w:pPr>
      <w:r>
        <w:rPr>
          <w:color w:val="000000"/>
        </w:rPr>
        <w:t>    </w:t>
      </w:r>
    </w:p>
    <w:tbl>
      <w:tblPr>
        <w:tblW w:w="2610" w:type="dxa"/>
        <w:jc w:val="right"/>
        <w:tblInd w:w="0" w:type="dxa"/>
        <w:tblLayout w:type="fixed"/>
        <w:tblCellMar>
          <w:top w:w="28" w:type="dxa"/>
          <w:left w:w="28" w:type="dxa"/>
          <w:bottom w:w="28" w:type="dxa"/>
          <w:right w:w="28" w:type="dxa"/>
        </w:tblCellMar>
      </w:tblPr>
      <w:tblGrid>
        <w:gridCol w:w="835"/>
        <w:gridCol w:w="732"/>
        <w:gridCol w:w="1043"/>
      </w:tblGrid>
      <w:tr>
        <w:trPr/>
        <w:tc>
          <w:tcPr>
            <w:tcW w:w="83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JONATHAN W. WITTER</w:t>
            </w:r>
          </w:p>
        </w:tc>
      </w:tr>
      <w:tr>
        <w:trPr/>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Jonathan W. Witter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22, 2026</w:t>
            </w:r>
          </w:p>
        </w:tc>
      </w:tr>
    </w:tbl>
    <w:p>
      <w:pPr>
        <w:pStyle w:val="TextBody"/>
        <w:bidi w:val="0"/>
        <w:ind w:left="0" w:right="0" w:firstLine="495"/>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32.2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270"/>
        <w:jc w:val="both"/>
        <w:rPr>
          <w:rFonts w:ascii="Arial;sans-serif" w:hAnsi="Arial;sans-serif"/>
          <w:b w:val="false"/>
          <w:color w:val="000000"/>
          <w:sz w:val="20"/>
        </w:rPr>
      </w:pPr>
      <w:r>
        <w:rPr>
          <w:rFonts w:ascii="Arial;sans-serif" w:hAnsi="Arial;sans-serif"/>
          <w:b w:val="false"/>
          <w:color w:val="000000"/>
          <w:sz w:val="20"/>
        </w:rPr>
        <w:t>In connection with the Quarterly Report of SLM Corporation (the “Company”) on Form 10-Q for the quarter ended September 30, 2026, as filed with the Securities and Exchange Commission on the date hereof (the “Report”), I, Peter M. Graham, Co-President and Chief Financial Officer of the Company,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270"/>
        <w:jc w:val="left"/>
        <w:rPr/>
      </w:pPr>
      <w:r>
        <w:rPr/>
      </w:r>
    </w:p>
    <w:p>
      <w:pPr>
        <w:pStyle w:val="TextBody"/>
        <w:bidi w:val="0"/>
        <w:spacing w:lineRule="auto" w:line="288" w:before="0" w:after="0"/>
        <w:jc w:val="left"/>
        <w:rPr>
          <w:color w:val="000000"/>
        </w:rPr>
      </w:pPr>
      <w:r>
        <w:rPr>
          <w:color w:val="000000"/>
        </w:rPr>
        <w:t>                    </w:t>
      </w:r>
    </w:p>
    <w:tbl>
      <w:tblPr>
        <w:tblW w:w="3930" w:type="dxa"/>
        <w:jc w:val="right"/>
        <w:tblInd w:w="0" w:type="dxa"/>
        <w:tblLayout w:type="fixed"/>
        <w:tblCellMar>
          <w:top w:w="28" w:type="dxa"/>
          <w:left w:w="28" w:type="dxa"/>
          <w:bottom w:w="28" w:type="dxa"/>
          <w:right w:w="28" w:type="dxa"/>
        </w:tblCellMar>
      </w:tblPr>
      <w:tblGrid>
        <w:gridCol w:w="1259"/>
        <w:gridCol w:w="1104"/>
        <w:gridCol w:w="1567"/>
      </w:tblGrid>
      <w:tr>
        <w:trPr/>
        <w:tc>
          <w:tcPr>
            <w:tcW w:w="125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PETER M. GRAHAM</w:t>
            </w:r>
          </w:p>
        </w:tc>
      </w:tr>
      <w:tr>
        <w:trPr/>
        <w:tc>
          <w:tcPr>
            <w:tcW w:w="3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Peter M. Graham</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Co-President and Chief Financial Officer</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22, 2026</w:t>
            </w:r>
          </w:p>
        </w:tc>
      </w:tr>
    </w:tbl>
    <w:p>
      <w:pPr>
        <w:pStyle w:val="TextBody"/>
        <w:bidi w:val="0"/>
        <w:spacing w:before="0" w:after="0"/>
        <w:jc w:val="lef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38703</Words>
  <Characters>216812</Characters>
  <CharactersWithSpaces>252395</CharactersWithSpaces>
  <Paragraphs>7324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