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4314.xml.htm"/>
      <w:bookmarkStart w:id="1" w:name="kswkform4_17818143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Schneck-Last Vivian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CONTINENTAL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SLM Corp</w:t>
              </w:r>
            </w:hyperlink>
            <w:r>
              <w:rPr/>
              <w:t xml:space="preserve"> [ </w:t>
            </w:r>
            <w:r>
              <w:rPr>
                <w:rFonts w:ascii="Times;serif" w:hAnsi="Times;serif"/>
                <w:color w:val="0000FF"/>
                <w:sz w:val="24"/>
                <w:shd w:fill="FFFFFF" w:val="clear"/>
              </w:rPr>
              <w:t>SLM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883"/>
        <w:gridCol w:w="449"/>
        <w:gridCol w:w="612"/>
        <w:gridCol w:w="140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7,349</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98,945.126</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received shares of Restricted Common Stock, issued pursuant to the terms of the SLM Corporation 2021 Omnibus Incentive Plan - 2026 Independent Director Restricted Stock Agreement (the "2026 Agreement") in partial payment of the annual retainer to independent directors. The Restricted Common Stock award is subject to vesting upon the terms set forth in the 2026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Dividend Equivalent Units issued in connection with Restricted Common Stock held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Nelson (POA) for Vivian C. Schneck-Last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8576" TargetMode="External"/><Relationship Id="rId5" Type="http://schemas.openxmlformats.org/officeDocument/2006/relationships/hyperlink" Target="http://www.sec.gov/cgi-bin/browse-edgar?action=getcompany&amp;CIK=00010320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638</Words>
  <Characters>3486</Characters>
  <CharactersWithSpaces>4065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