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417" w:before="0" w:after="0"/>
        <w:jc w:val="center"/>
        <w:rPr>
          <w:rFonts w:ascii="Arial;sans-serif" w:hAnsi="Arial;sans-serif"/>
          <w:b/>
          <w:color w:val="000000"/>
          <w:sz w:val="28"/>
        </w:rPr>
      </w:pPr>
      <w:r>
        <w:rPr>
          <w:rFonts w:ascii="Arial;sans-serif" w:hAnsi="Arial;sans-serif"/>
          <w:b/>
          <w:color w:val="000000"/>
          <w:sz w:val="28"/>
        </w:rPr>
        <w:t>UNITED STATES</w:t>
      </w:r>
    </w:p>
    <w:p>
      <w:pPr>
        <w:pStyle w:val="TextBody"/>
        <w:bidi w:val="0"/>
        <w:spacing w:lineRule="auto" w:line="288" w:before="0" w:after="0"/>
        <w:jc w:val="center"/>
        <w:rPr>
          <w:rFonts w:ascii="Arial;sans-serif" w:hAnsi="Arial;sans-serif"/>
          <w:b/>
          <w:color w:val="000000"/>
          <w:sz w:val="28"/>
        </w:rPr>
      </w:pPr>
      <w:r>
        <w:rPr>
          <w:rFonts w:ascii="Arial;sans-serif" w:hAnsi="Arial;sans-serif"/>
          <w:b/>
          <w:color w:val="000000"/>
          <w:sz w:val="28"/>
        </w:rPr>
        <w:t>SECURITIES AND EXCHANGE COMMISSION</w:t>
      </w:r>
    </w:p>
    <w:p>
      <w:pPr>
        <w:pStyle w:val="TextBody"/>
        <w:bidi w:val="0"/>
        <w:spacing w:lineRule="auto" w:line="345" w:before="0" w:after="0"/>
        <w:jc w:val="center"/>
        <w:rPr>
          <w:rFonts w:ascii="Arial;sans-serif" w:hAnsi="Arial;sans-serif"/>
          <w:b/>
          <w:color w:val="000000"/>
          <w:sz w:val="22"/>
        </w:rPr>
      </w:pPr>
      <w:r>
        <w:rPr>
          <w:rFonts w:ascii="Arial;sans-serif" w:hAnsi="Arial;sans-serif"/>
          <w:b/>
          <w:color w:val="000000"/>
          <w:sz w:val="22"/>
        </w:rPr>
        <w:t>Washington, D.C. 20549</w:t>
      </w:r>
    </w:p>
    <w:p>
      <w:pPr>
        <w:pStyle w:val="TextBody"/>
        <w:bidi w:val="0"/>
        <w:spacing w:lineRule="auto" w:line="345" w:before="0" w:after="0"/>
        <w:jc w:val="center"/>
        <w:rPr>
          <w:rFonts w:ascii="Arial;sans-serif" w:hAnsi="Arial;sans-serif"/>
          <w:b/>
          <w:color w:val="000000"/>
          <w:sz w:val="32"/>
        </w:rPr>
      </w:pPr>
      <w:r>
        <w:rPr>
          <w:rFonts w:ascii="Arial;sans-serif" w:hAnsi="Arial;sans-serif"/>
          <w:b/>
          <w:color w:val="000000"/>
          <w:sz w:val="32"/>
        </w:rPr>
        <w:t xml:space="preserve">FORM 8-K </w:t>
      </w:r>
    </w:p>
    <w:p>
      <w:pPr>
        <w:pStyle w:val="TextBody"/>
        <w:bidi w:val="0"/>
        <w:spacing w:before="0" w:after="0"/>
        <w:jc w:val="center"/>
        <w:rPr/>
      </w:pPr>
      <w:r>
        <w:rPr/>
      </w:r>
    </w:p>
    <w:p>
      <w:pPr>
        <w:pStyle w:val="TextBody"/>
        <w:bidi w:val="0"/>
        <w:spacing w:lineRule="auto" w:line="345" w:before="0" w:after="0"/>
        <w:jc w:val="center"/>
        <w:rPr>
          <w:rFonts w:ascii="Arial;sans-serif" w:hAnsi="Arial;sans-serif"/>
          <w:b/>
          <w:color w:val="000000"/>
          <w:sz w:val="24"/>
        </w:rPr>
      </w:pPr>
      <w:r>
        <w:rPr>
          <w:rFonts w:ascii="Arial;sans-serif" w:hAnsi="Arial;sans-serif"/>
          <w:b/>
          <w:color w:val="000000"/>
          <w:sz w:val="24"/>
        </w:rPr>
        <w:t>CURRENT REPORT</w:t>
      </w:r>
    </w:p>
    <w:p>
      <w:pPr>
        <w:pStyle w:val="TextBody"/>
        <w:bidi w:val="0"/>
        <w:spacing w:lineRule="auto" w:line="288" w:before="20" w:after="283"/>
        <w:jc w:val="center"/>
        <w:rPr>
          <w:rFonts w:ascii="Arial;sans-serif" w:hAnsi="Arial;sans-serif"/>
          <w:b/>
          <w:color w:val="231F20"/>
          <w:sz w:val="24"/>
        </w:rPr>
      </w:pPr>
      <w:r>
        <w:rPr>
          <w:rFonts w:ascii="Arial;sans-serif" w:hAnsi="Arial;sans-serif"/>
          <w:b/>
          <w:color w:val="231F20"/>
          <w:sz w:val="24"/>
        </w:rPr>
        <w:t>Pursuant to Section 13 or 15(d) of the Securities Exchange Act of 1934</w:t>
      </w:r>
    </w:p>
    <w:p>
      <w:pPr>
        <w:pStyle w:val="TextBody"/>
        <w:bidi w:val="0"/>
        <w:spacing w:before="0" w:after="0"/>
        <w:jc w:val="center"/>
        <w:rPr/>
      </w:pPr>
      <w:r>
        <w:rPr/>
      </w:r>
    </w:p>
    <w:p>
      <w:pPr>
        <w:pStyle w:val="TextBody"/>
        <w:bidi w:val="0"/>
        <w:spacing w:lineRule="auto" w:line="288" w:before="0" w:after="0"/>
        <w:jc w:val="center"/>
        <w:rPr>
          <w:rFonts w:ascii="Arial;sans-serif" w:hAnsi="Arial;sans-serif"/>
          <w:b w:val="false"/>
          <w:color w:val="000000"/>
          <w:sz w:val="24"/>
        </w:rPr>
      </w:pPr>
      <w:r>
        <w:rPr>
          <w:rFonts w:ascii="Arial;sans-serif" w:hAnsi="Arial;sans-serif"/>
          <w:b w:val="false"/>
          <w:color w:val="000000"/>
          <w:sz w:val="24"/>
        </w:rPr>
        <w:t xml:space="preserve">Date of Report (date of earliest event reported): July 23, 2026 </w:t>
      </w:r>
    </w:p>
    <w:p>
      <w:pPr>
        <w:pStyle w:val="TextBody"/>
        <w:bidi w:val="0"/>
        <w:spacing w:before="0" w:after="0"/>
        <w:jc w:val="left"/>
        <w:rPr/>
      </w:pPr>
      <w:r>
        <w:rPr/>
      </w:r>
    </w:p>
    <w:p>
      <w:pPr>
        <w:pStyle w:val="TextBody"/>
        <w:bidi w:val="0"/>
        <w:spacing w:lineRule="auto" w:line="345" w:before="0" w:after="0"/>
        <w:jc w:val="center"/>
        <w:rPr>
          <w:rFonts w:ascii="Arial;sans-serif" w:hAnsi="Arial;sans-serif"/>
          <w:b/>
          <w:color w:val="000000"/>
          <w:sz w:val="48"/>
        </w:rPr>
      </w:pPr>
      <w:r>
        <w:rPr>
          <w:rFonts w:ascii="Arial;sans-serif" w:hAnsi="Arial;sans-serif"/>
          <w:b/>
          <w:color w:val="000000"/>
          <w:sz w:val="48"/>
        </w:rPr>
        <w:t xml:space="preserve">SLM CORPORATION </w:t>
      </w:r>
    </w:p>
    <w:p>
      <w:pPr>
        <w:pStyle w:val="TextBody"/>
        <w:bidi w:val="0"/>
        <w:spacing w:lineRule="auto" w:line="345" w:before="0" w:after="0"/>
        <w:jc w:val="center"/>
        <w:rPr>
          <w:rFonts w:ascii="Arial;sans-serif" w:hAnsi="Arial;sans-serif"/>
          <w:b/>
          <w:color w:val="000000"/>
          <w:sz w:val="20"/>
        </w:rPr>
      </w:pPr>
      <w:r>
        <w:rPr>
          <w:rFonts w:ascii="Arial;sans-serif" w:hAnsi="Arial;sans-serif"/>
          <w:b/>
          <w:color w:val="000000"/>
          <w:sz w:val="20"/>
        </w:rPr>
        <w:t>(Exact name of registrant as specified in its charter)</w:t>
      </w:r>
    </w:p>
    <w:tbl>
      <w:tblPr>
        <w:tblW w:w="10205" w:type="dxa"/>
        <w:jc w:val="center"/>
        <w:tblInd w:w="0" w:type="dxa"/>
        <w:tblLayout w:type="fixed"/>
        <w:tblCellMar>
          <w:top w:w="28" w:type="dxa"/>
          <w:left w:w="28" w:type="dxa"/>
          <w:bottom w:w="28" w:type="dxa"/>
          <w:right w:w="28" w:type="dxa"/>
        </w:tblCellMar>
      </w:tblPr>
      <w:tblGrid>
        <w:gridCol w:w="1734"/>
        <w:gridCol w:w="1526"/>
        <w:gridCol w:w="1538"/>
        <w:gridCol w:w="372"/>
        <w:gridCol w:w="369"/>
        <w:gridCol w:w="369"/>
        <w:gridCol w:w="372"/>
        <w:gridCol w:w="372"/>
        <w:gridCol w:w="371"/>
        <w:gridCol w:w="932"/>
        <w:gridCol w:w="932"/>
        <w:gridCol w:w="941"/>
        <w:gridCol w:w="109"/>
        <w:gridCol w:w="109"/>
        <w:gridCol w:w="159"/>
      </w:tblGrid>
      <w:tr>
        <w:trPr/>
        <w:tc>
          <w:tcPr>
            <w:tcW w:w="1734" w:type="dxa"/>
            <w:tcBorders/>
            <w:vAlign w:val="center"/>
          </w:tcPr>
          <w:p>
            <w:pPr>
              <w:pStyle w:val="TableContents"/>
              <w:bidi w:val="0"/>
              <w:spacing w:before="0" w:after="283"/>
              <w:jc w:val="left"/>
              <w:rPr>
                <w:sz w:val="4"/>
                <w:szCs w:val="4"/>
              </w:rPr>
            </w:pPr>
            <w:r>
              <w:rPr>
                <w:sz w:val="4"/>
                <w:szCs w:val="4"/>
              </w:rPr>
            </w:r>
          </w:p>
        </w:tc>
        <w:tc>
          <w:tcPr>
            <w:tcW w:w="1526" w:type="dxa"/>
            <w:tcBorders/>
            <w:vAlign w:val="center"/>
          </w:tcPr>
          <w:p>
            <w:pPr>
              <w:pStyle w:val="TableContents"/>
              <w:bidi w:val="0"/>
              <w:spacing w:before="0" w:after="283"/>
              <w:jc w:val="left"/>
              <w:rPr>
                <w:sz w:val="4"/>
                <w:szCs w:val="4"/>
              </w:rPr>
            </w:pPr>
            <w:r>
              <w:rPr>
                <w:sz w:val="4"/>
                <w:szCs w:val="4"/>
              </w:rPr>
            </w:r>
          </w:p>
        </w:tc>
        <w:tc>
          <w:tcPr>
            <w:tcW w:w="1538"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932" w:type="dxa"/>
            <w:tcBorders/>
            <w:vAlign w:val="center"/>
          </w:tcPr>
          <w:p>
            <w:pPr>
              <w:pStyle w:val="TableContents"/>
              <w:bidi w:val="0"/>
              <w:spacing w:before="0" w:after="283"/>
              <w:jc w:val="left"/>
              <w:rPr>
                <w:sz w:val="4"/>
                <w:szCs w:val="4"/>
              </w:rPr>
            </w:pPr>
            <w:r>
              <w:rPr>
                <w:sz w:val="4"/>
                <w:szCs w:val="4"/>
              </w:rPr>
            </w:r>
          </w:p>
        </w:tc>
        <w:tc>
          <w:tcPr>
            <w:tcW w:w="932" w:type="dxa"/>
            <w:tcBorders/>
            <w:vAlign w:val="center"/>
          </w:tcPr>
          <w:p>
            <w:pPr>
              <w:pStyle w:val="TableContents"/>
              <w:bidi w:val="0"/>
              <w:spacing w:before="0" w:after="283"/>
              <w:jc w:val="left"/>
              <w:rPr>
                <w:sz w:val="4"/>
                <w:szCs w:val="4"/>
              </w:rPr>
            </w:pPr>
            <w:r>
              <w:rPr>
                <w:sz w:val="4"/>
                <w:szCs w:val="4"/>
              </w:rPr>
            </w:r>
          </w:p>
        </w:tc>
        <w:tc>
          <w:tcPr>
            <w:tcW w:w="9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798" w:type="dxa"/>
            <w:gridSpan w:val="3"/>
            <w:tcBorders/>
            <w:tcMar>
              <w:top w:w="0" w:type="dxa"/>
              <w:left w:w="0" w:type="dxa"/>
              <w:bottom w:w="0" w:type="dxa"/>
              <w:right w:w="0" w:type="dxa"/>
            </w:tcMar>
            <w:vAlign w:val="center"/>
          </w:tcPr>
          <w:p>
            <w:pPr>
              <w:pStyle w:val="TableContents"/>
              <w:bidi w:val="0"/>
              <w:spacing w:lineRule="auto" w:line="240" w:before="0" w:after="20"/>
              <w:jc w:val="center"/>
              <w:rPr>
                <w:rFonts w:ascii="Arial;sans-serif" w:hAnsi="Arial;sans-serif"/>
                <w:b/>
                <w:color w:val="000000"/>
                <w:sz w:val="20"/>
              </w:rPr>
            </w:pPr>
            <w:r>
              <w:rPr>
                <w:rFonts w:ascii="Arial;sans-serif" w:hAnsi="Arial;sans-serif"/>
                <w:b/>
                <w:color w:val="000000"/>
                <w:sz w:val="20"/>
              </w:rPr>
              <w:t>Delaware</w:t>
            </w:r>
          </w:p>
        </w:tc>
        <w:tc>
          <w:tcPr>
            <w:tcW w:w="2225"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001-13251</w:t>
            </w:r>
          </w:p>
        </w:tc>
        <w:tc>
          <w:tcPr>
            <w:tcW w:w="2805" w:type="dxa"/>
            <w:gridSpan w:val="3"/>
            <w:tcBorders/>
            <w:tcMar>
              <w:top w:w="0" w:type="dxa"/>
              <w:left w:w="0" w:type="dxa"/>
              <w:bottom w:w="0" w:type="dxa"/>
              <w:right w:w="0" w:type="dxa"/>
            </w:tcMar>
            <w:vAlign w:val="center"/>
          </w:tcPr>
          <w:p>
            <w:pPr>
              <w:pStyle w:val="TableContents"/>
              <w:bidi w:val="0"/>
              <w:spacing w:lineRule="auto" w:line="240" w:before="0" w:after="20"/>
              <w:jc w:val="center"/>
              <w:rPr>
                <w:rFonts w:ascii="Arial;sans-serif" w:hAnsi="Arial;sans-serif"/>
                <w:b/>
                <w:color w:val="000000"/>
                <w:sz w:val="20"/>
              </w:rPr>
            </w:pPr>
            <w:r>
              <w:rPr>
                <w:rFonts w:ascii="Arial;sans-serif" w:hAnsi="Arial;sans-serif"/>
                <w:b/>
                <w:color w:val="000000"/>
                <w:sz w:val="20"/>
              </w:rPr>
              <w:t>52-2013874</w:t>
            </w:r>
          </w:p>
        </w:tc>
        <w:tc>
          <w:tcPr>
            <w:tcW w:w="3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98" w:type="dxa"/>
            <w:gridSpan w:val="3"/>
            <w:tcBorders/>
            <w:tcMar>
              <w:top w:w="0" w:type="dxa"/>
              <w:left w:w="0" w:type="dxa"/>
              <w:bottom w:w="0" w:type="dxa"/>
              <w:right w:w="0" w:type="dxa"/>
            </w:tcMar>
            <w:vAlign w:val="center"/>
          </w:tcPr>
          <w:p>
            <w:pPr>
              <w:pStyle w:val="TableContents"/>
              <w:bidi w:val="0"/>
              <w:spacing w:lineRule="auto" w:line="240" w:before="0" w:after="20"/>
              <w:jc w:val="center"/>
              <w:rPr>
                <w:rFonts w:ascii="Arial;sans-serif" w:hAnsi="Arial;sans-serif"/>
                <w:b/>
                <w:color w:val="000000"/>
                <w:sz w:val="16"/>
              </w:rPr>
            </w:pPr>
            <w:r>
              <w:rPr>
                <w:rFonts w:ascii="Arial;sans-serif" w:hAnsi="Arial;sans-serif"/>
                <w:b/>
                <w:color w:val="000000"/>
                <w:sz w:val="16"/>
              </w:rPr>
              <w:t>(State or other jurisdiction of incorporation or organization)</w:t>
            </w:r>
          </w:p>
        </w:tc>
        <w:tc>
          <w:tcPr>
            <w:tcW w:w="2225" w:type="dxa"/>
            <w:gridSpan w:val="6"/>
            <w:tcBorders/>
            <w:tcMar>
              <w:top w:w="0" w:type="dxa"/>
              <w:left w:w="0" w:type="dxa"/>
              <w:bottom w:w="0" w:type="dxa"/>
              <w:right w:w="0" w:type="dxa"/>
            </w:tcMar>
            <w:vAlign w:val="center"/>
          </w:tcPr>
          <w:p>
            <w:pPr>
              <w:pStyle w:val="TableContents"/>
              <w:bidi w:val="0"/>
              <w:spacing w:lineRule="auto" w:line="240" w:before="0" w:after="20"/>
              <w:jc w:val="center"/>
              <w:rPr>
                <w:rFonts w:ascii="Arial;sans-serif" w:hAnsi="Arial;sans-serif"/>
                <w:b/>
                <w:color w:val="000000"/>
                <w:sz w:val="16"/>
              </w:rPr>
            </w:pPr>
            <w:r>
              <w:rPr>
                <w:rFonts w:ascii="Arial;sans-serif" w:hAnsi="Arial;sans-serif"/>
                <w:b/>
                <w:color w:val="000000"/>
                <w:sz w:val="16"/>
              </w:rPr>
              <w:t>(Commission File Number)</w:t>
            </w:r>
          </w:p>
        </w:tc>
        <w:tc>
          <w:tcPr>
            <w:tcW w:w="2805" w:type="dxa"/>
            <w:gridSpan w:val="3"/>
            <w:tcBorders/>
            <w:tcMar>
              <w:top w:w="0" w:type="dxa"/>
              <w:left w:w="0" w:type="dxa"/>
              <w:bottom w:w="0" w:type="dxa"/>
              <w:right w:w="0" w:type="dxa"/>
            </w:tcMar>
            <w:vAlign w:val="center"/>
          </w:tcPr>
          <w:p>
            <w:pPr>
              <w:pStyle w:val="TableContents"/>
              <w:bidi w:val="0"/>
              <w:spacing w:lineRule="auto" w:line="240" w:before="0" w:after="20"/>
              <w:jc w:val="center"/>
              <w:rPr>
                <w:rFonts w:ascii="Arial;sans-serif" w:hAnsi="Arial;sans-serif"/>
                <w:b/>
                <w:color w:val="000000"/>
                <w:sz w:val="16"/>
              </w:rPr>
            </w:pPr>
            <w:r>
              <w:rPr>
                <w:rFonts w:ascii="Arial;sans-serif" w:hAnsi="Arial;sans-serif"/>
                <w:b/>
                <w:color w:val="000000"/>
                <w:sz w:val="16"/>
              </w:rPr>
              <w:t>(I.R.S. Employer Identification No.)</w:t>
            </w:r>
          </w:p>
        </w:tc>
        <w:tc>
          <w:tcPr>
            <w:tcW w:w="3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08"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7"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98" w:type="dxa"/>
            <w:gridSpan w:val="3"/>
            <w:tcBorders/>
            <w:tcMar>
              <w:top w:w="0" w:type="dxa"/>
              <w:left w:w="0" w:type="dxa"/>
              <w:bottom w:w="0" w:type="dxa"/>
              <w:right w:w="0" w:type="dxa"/>
            </w:tcMar>
            <w:vAlign w:val="center"/>
          </w:tcPr>
          <w:p>
            <w:pPr>
              <w:pStyle w:val="TableContents"/>
              <w:bidi w:val="0"/>
              <w:spacing w:lineRule="auto" w:line="240" w:before="0" w:after="20"/>
              <w:jc w:val="center"/>
              <w:rPr>
                <w:rFonts w:ascii="Arial;sans-serif" w:hAnsi="Arial;sans-serif"/>
                <w:b/>
                <w:color w:val="000000"/>
                <w:sz w:val="20"/>
              </w:rPr>
            </w:pPr>
            <w:r>
              <w:rPr>
                <w:rFonts w:ascii="Arial;sans-serif" w:hAnsi="Arial;sans-serif"/>
                <w:b/>
                <w:color w:val="000000"/>
                <w:sz w:val="20"/>
              </w:rPr>
              <w:t>300 Continental Drive</w:t>
            </w:r>
          </w:p>
        </w:tc>
        <w:tc>
          <w:tcPr>
            <w:tcW w:w="1110" w:type="dxa"/>
            <w:gridSpan w:val="3"/>
            <w:tcBorders/>
            <w:tcMar>
              <w:top w:w="0" w:type="dxa"/>
              <w:left w:w="0" w:type="dxa"/>
              <w:bottom w:w="0" w:type="dxa"/>
              <w:right w:w="0" w:type="dxa"/>
            </w:tcMar>
            <w:vAlign w:val="center"/>
          </w:tcPr>
          <w:p>
            <w:pPr>
              <w:pStyle w:val="TableContents"/>
              <w:bidi w:val="0"/>
              <w:spacing w:lineRule="auto" w:line="240" w:before="0" w:after="20"/>
              <w:jc w:val="center"/>
              <w:rPr>
                <w:rFonts w:ascii="Arial;sans-serif" w:hAnsi="Arial;sans-serif"/>
                <w:b/>
                <w:color w:val="000000"/>
                <w:sz w:val="20"/>
              </w:rPr>
            </w:pPr>
            <w:r>
              <w:rPr>
                <w:rFonts w:ascii="Arial;sans-serif" w:hAnsi="Arial;sans-serif"/>
                <w:b/>
                <w:color w:val="000000"/>
                <w:sz w:val="20"/>
              </w:rPr>
              <w:t>Newark,</w:t>
            </w:r>
          </w:p>
        </w:tc>
        <w:tc>
          <w:tcPr>
            <w:tcW w:w="1115" w:type="dxa"/>
            <w:gridSpan w:val="3"/>
            <w:tcBorders/>
            <w:tcMar>
              <w:top w:w="0" w:type="dxa"/>
              <w:left w:w="0" w:type="dxa"/>
              <w:bottom w:w="0" w:type="dxa"/>
              <w:right w:w="0" w:type="dxa"/>
            </w:tcMar>
            <w:vAlign w:val="center"/>
          </w:tcPr>
          <w:p>
            <w:pPr>
              <w:pStyle w:val="TableContents"/>
              <w:bidi w:val="0"/>
              <w:spacing w:lineRule="auto" w:line="240" w:before="0" w:after="20"/>
              <w:jc w:val="center"/>
              <w:rPr>
                <w:rFonts w:ascii="Arial;sans-serif" w:hAnsi="Arial;sans-serif"/>
                <w:b/>
                <w:color w:val="000000"/>
                <w:sz w:val="20"/>
              </w:rPr>
            </w:pPr>
            <w:r>
              <w:rPr>
                <w:rFonts w:ascii="Arial;sans-serif" w:hAnsi="Arial;sans-serif"/>
                <w:b/>
                <w:color w:val="000000"/>
                <w:sz w:val="20"/>
              </w:rPr>
              <w:t>Delaware</w:t>
            </w:r>
          </w:p>
        </w:tc>
        <w:tc>
          <w:tcPr>
            <w:tcW w:w="2805" w:type="dxa"/>
            <w:gridSpan w:val="3"/>
            <w:tcBorders/>
            <w:tcMar>
              <w:top w:w="0" w:type="dxa"/>
              <w:left w:w="0" w:type="dxa"/>
              <w:bottom w:w="0" w:type="dxa"/>
              <w:right w:w="0" w:type="dxa"/>
            </w:tcMar>
            <w:vAlign w:val="center"/>
          </w:tcPr>
          <w:p>
            <w:pPr>
              <w:pStyle w:val="TableContents"/>
              <w:bidi w:val="0"/>
              <w:spacing w:lineRule="auto" w:line="240" w:before="0" w:after="20"/>
              <w:jc w:val="center"/>
              <w:rPr>
                <w:rFonts w:ascii="Arial;sans-serif" w:hAnsi="Arial;sans-serif"/>
                <w:b/>
                <w:color w:val="000000"/>
                <w:sz w:val="20"/>
              </w:rPr>
            </w:pPr>
            <w:r>
              <w:rPr>
                <w:rFonts w:ascii="Arial;sans-serif" w:hAnsi="Arial;sans-serif"/>
                <w:b/>
                <w:color w:val="000000"/>
                <w:sz w:val="20"/>
              </w:rPr>
              <w:t>19713</w:t>
            </w:r>
          </w:p>
        </w:tc>
        <w:tc>
          <w:tcPr>
            <w:tcW w:w="3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23" w:type="dxa"/>
            <w:gridSpan w:val="9"/>
            <w:tcBorders/>
            <w:tcMar>
              <w:top w:w="0" w:type="dxa"/>
              <w:left w:w="0" w:type="dxa"/>
              <w:bottom w:w="0" w:type="dxa"/>
              <w:right w:w="0" w:type="dxa"/>
            </w:tcMar>
            <w:vAlign w:val="center"/>
          </w:tcPr>
          <w:p>
            <w:pPr>
              <w:pStyle w:val="TableContents"/>
              <w:bidi w:val="0"/>
              <w:spacing w:lineRule="auto" w:line="240" w:before="0" w:after="20"/>
              <w:jc w:val="center"/>
              <w:rPr>
                <w:rFonts w:ascii="Arial;sans-serif" w:hAnsi="Arial;sans-serif"/>
                <w:b/>
                <w:color w:val="000000"/>
                <w:sz w:val="16"/>
              </w:rPr>
            </w:pPr>
            <w:r>
              <w:rPr>
                <w:rFonts w:ascii="Arial;sans-serif" w:hAnsi="Arial;sans-serif"/>
                <w:b/>
                <w:color w:val="000000"/>
                <w:sz w:val="16"/>
              </w:rPr>
              <w:t>(Address of principal executive offices)</w:t>
            </w:r>
          </w:p>
        </w:tc>
        <w:tc>
          <w:tcPr>
            <w:tcW w:w="2805" w:type="dxa"/>
            <w:gridSpan w:val="3"/>
            <w:tcBorders/>
            <w:tcMar>
              <w:top w:w="0" w:type="dxa"/>
              <w:left w:w="0" w:type="dxa"/>
              <w:bottom w:w="0" w:type="dxa"/>
              <w:right w:w="0" w:type="dxa"/>
            </w:tcMar>
            <w:vAlign w:val="center"/>
          </w:tcPr>
          <w:p>
            <w:pPr>
              <w:pStyle w:val="TableContents"/>
              <w:bidi w:val="0"/>
              <w:spacing w:lineRule="auto" w:line="240" w:before="0" w:after="20"/>
              <w:jc w:val="center"/>
              <w:rPr>
                <w:rFonts w:ascii="Arial;sans-serif" w:hAnsi="Arial;sans-serif"/>
                <w:b/>
                <w:color w:val="000000"/>
                <w:sz w:val="16"/>
              </w:rPr>
            </w:pPr>
            <w:r>
              <w:rPr>
                <w:rFonts w:ascii="Arial;sans-serif" w:hAnsi="Arial;sans-serif"/>
                <w:b/>
                <w:color w:val="000000"/>
                <w:sz w:val="16"/>
              </w:rPr>
              <w:t>(Zip Code)</w:t>
            </w:r>
          </w:p>
        </w:tc>
        <w:tc>
          <w:tcPr>
            <w:tcW w:w="3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64" w:before="0" w:after="0"/>
        <w:jc w:val="center"/>
        <w:rPr/>
      </w:pPr>
      <w:r>
        <w:rPr>
          <w:rFonts w:ascii="Arial;sans-serif" w:hAnsi="Arial;sans-serif"/>
          <w:b w:val="false"/>
          <w:color w:val="000000"/>
          <w:sz w:val="20"/>
        </w:rPr>
        <w:t xml:space="preserve">Registrant's telephone number, including area code: </w:t>
      </w:r>
      <w:r>
        <w:rPr>
          <w:rFonts w:ascii="Arial;sans-serif" w:hAnsi="Arial;sans-serif"/>
          <w:b/>
          <w:color w:val="000000"/>
          <w:sz w:val="20"/>
        </w:rPr>
        <w:t xml:space="preserve">(302) 451-4911 </w:t>
      </w:r>
    </w:p>
    <w:p>
      <w:pPr>
        <w:pStyle w:val="TextBody"/>
        <w:bidi w:val="0"/>
        <w:spacing w:lineRule="auto" w:line="345" w:before="240" w:after="283"/>
        <w:jc w:val="center"/>
        <w:rPr>
          <w:rFonts w:ascii="Arial;sans-serif" w:hAnsi="Arial;sans-serif"/>
          <w:b/>
          <w:color w:val="000000"/>
          <w:sz w:val="16"/>
        </w:rPr>
      </w:pPr>
      <w:r>
        <w:rPr>
          <w:rFonts w:ascii="Arial;sans-serif" w:hAnsi="Arial;sans-serif"/>
          <w:b/>
          <w:color w:val="000000"/>
          <w:sz w:val="16"/>
        </w:rPr>
        <w:t>(Former name or former address, if changed since last report)</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 xml:space="preserve">Securities registered pursuant to Section 12(b) of the Act: </w:t>
      </w:r>
    </w:p>
    <w:tbl>
      <w:tblPr>
        <w:tblW w:w="10205" w:type="dxa"/>
        <w:jc w:val="left"/>
        <w:tblInd w:w="0" w:type="dxa"/>
        <w:tblLayout w:type="fixed"/>
        <w:tblCellMar>
          <w:top w:w="28" w:type="dxa"/>
          <w:left w:w="28" w:type="dxa"/>
          <w:bottom w:w="28" w:type="dxa"/>
          <w:right w:w="28" w:type="dxa"/>
        </w:tblCellMar>
      </w:tblPr>
      <w:tblGrid>
        <w:gridCol w:w="2156"/>
        <w:gridCol w:w="1719"/>
        <w:gridCol w:w="1726"/>
        <w:gridCol w:w="474"/>
        <w:gridCol w:w="474"/>
        <w:gridCol w:w="475"/>
        <w:gridCol w:w="927"/>
        <w:gridCol w:w="927"/>
        <w:gridCol w:w="1327"/>
      </w:tblGrid>
      <w:tr>
        <w:trPr/>
        <w:tc>
          <w:tcPr>
            <w:tcW w:w="2156" w:type="dxa"/>
            <w:tcBorders/>
            <w:vAlign w:val="center"/>
          </w:tcPr>
          <w:p>
            <w:pPr>
              <w:pStyle w:val="TableContents"/>
              <w:bidi w:val="0"/>
              <w:spacing w:before="0" w:after="283"/>
              <w:jc w:val="left"/>
              <w:rPr>
                <w:sz w:val="4"/>
                <w:szCs w:val="4"/>
              </w:rPr>
            </w:pPr>
            <w:r>
              <w:rPr>
                <w:sz w:val="4"/>
                <w:szCs w:val="4"/>
              </w:rPr>
            </w:r>
          </w:p>
        </w:tc>
        <w:tc>
          <w:tcPr>
            <w:tcW w:w="1719" w:type="dxa"/>
            <w:tcBorders/>
            <w:vAlign w:val="center"/>
          </w:tcPr>
          <w:p>
            <w:pPr>
              <w:pStyle w:val="TableContents"/>
              <w:bidi w:val="0"/>
              <w:spacing w:before="0" w:after="283"/>
              <w:jc w:val="left"/>
              <w:rPr>
                <w:sz w:val="4"/>
                <w:szCs w:val="4"/>
              </w:rPr>
            </w:pPr>
            <w:r>
              <w:rPr>
                <w:sz w:val="4"/>
                <w:szCs w:val="4"/>
              </w:rPr>
            </w:r>
          </w:p>
        </w:tc>
        <w:tc>
          <w:tcPr>
            <w:tcW w:w="1726"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927" w:type="dxa"/>
            <w:tcBorders/>
            <w:vAlign w:val="center"/>
          </w:tcPr>
          <w:p>
            <w:pPr>
              <w:pStyle w:val="TableContents"/>
              <w:bidi w:val="0"/>
              <w:spacing w:before="0" w:after="283"/>
              <w:jc w:val="left"/>
              <w:rPr>
                <w:sz w:val="4"/>
                <w:szCs w:val="4"/>
              </w:rPr>
            </w:pPr>
            <w:r>
              <w:rPr>
                <w:sz w:val="4"/>
                <w:szCs w:val="4"/>
              </w:rPr>
            </w:r>
          </w:p>
        </w:tc>
        <w:tc>
          <w:tcPr>
            <w:tcW w:w="927" w:type="dxa"/>
            <w:tcBorders/>
            <w:vAlign w:val="center"/>
          </w:tcPr>
          <w:p>
            <w:pPr>
              <w:pStyle w:val="TableContents"/>
              <w:bidi w:val="0"/>
              <w:spacing w:before="0" w:after="283"/>
              <w:jc w:val="left"/>
              <w:rPr>
                <w:sz w:val="4"/>
                <w:szCs w:val="4"/>
              </w:rPr>
            </w:pPr>
            <w:r>
              <w:rPr>
                <w:sz w:val="4"/>
                <w:szCs w:val="4"/>
              </w:rPr>
            </w:r>
          </w:p>
        </w:tc>
        <w:tc>
          <w:tcPr>
            <w:tcW w:w="1327" w:type="dxa"/>
            <w:tcBorders/>
            <w:vAlign w:val="center"/>
          </w:tcPr>
          <w:p>
            <w:pPr>
              <w:pStyle w:val="TableContents"/>
              <w:bidi w:val="0"/>
              <w:spacing w:before="0" w:after="283"/>
              <w:jc w:val="left"/>
              <w:rPr>
                <w:sz w:val="4"/>
                <w:szCs w:val="4"/>
              </w:rPr>
            </w:pPr>
            <w:r>
              <w:rPr>
                <w:sz w:val="4"/>
                <w:szCs w:val="4"/>
              </w:rPr>
            </w:r>
          </w:p>
        </w:tc>
      </w:tr>
      <w:tr>
        <w:trPr/>
        <w:tc>
          <w:tcPr>
            <w:tcW w:w="5601"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Title of each class</w:t>
            </w:r>
          </w:p>
        </w:tc>
        <w:tc>
          <w:tcPr>
            <w:tcW w:w="1423"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Trading Symbol(s)</w:t>
            </w:r>
          </w:p>
        </w:tc>
        <w:tc>
          <w:tcPr>
            <w:tcW w:w="3181" w:type="dxa"/>
            <w:gridSpan w:val="3"/>
            <w:tcBorders>
              <w:top w:val="single" w:sz="8" w:space="0" w:color="000000"/>
              <w:left w:val="single" w:sz="8" w:space="0" w:color="000000"/>
              <w:right w:val="single" w:sz="8" w:space="0" w:color="000000"/>
            </w:tcBorders>
            <w:tcMar>
              <w:top w:w="52" w:type="dxa"/>
              <w:bottom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Name of each exchange on which registered</w:t>
            </w:r>
          </w:p>
        </w:tc>
      </w:tr>
      <w:tr>
        <w:trPr/>
        <w:tc>
          <w:tcPr>
            <w:tcW w:w="5601"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Common stock, par value $.20 per share</w:t>
            </w:r>
          </w:p>
        </w:tc>
        <w:tc>
          <w:tcPr>
            <w:tcW w:w="1423"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SLM</w:t>
            </w:r>
          </w:p>
        </w:tc>
        <w:tc>
          <w:tcPr>
            <w:tcW w:w="3181" w:type="dxa"/>
            <w:gridSpan w:val="3"/>
            <w:tcBorders>
              <w:top w:val="single" w:sz="8" w:space="0" w:color="000000"/>
              <w:left w:val="single" w:sz="8" w:space="0" w:color="000000"/>
              <w:right w:val="single" w:sz="8" w:space="0" w:color="000000"/>
            </w:tcBorders>
            <w:tcMar>
              <w:top w:w="52" w:type="dxa"/>
              <w:bottom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The NASDAQ Global Select Market</w:t>
            </w:r>
          </w:p>
        </w:tc>
      </w:tr>
      <w:tr>
        <w:trPr/>
        <w:tc>
          <w:tcPr>
            <w:tcW w:w="5601" w:type="dxa"/>
            <w:gridSpan w:val="3"/>
            <w:tcBorders>
              <w:top w:val="single" w:sz="8" w:space="0" w:color="000000"/>
              <w:left w:val="single" w:sz="8" w:space="0" w:color="000000"/>
              <w:bottom w:val="single" w:sz="8" w:space="0" w:color="000000"/>
            </w:tcBorders>
            <w:tcMar>
              <w:top w:w="52"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Floating Rate Non-Cumulative Preferred Stock, Series B, par value $.20 per share</w:t>
            </w:r>
          </w:p>
        </w:tc>
        <w:tc>
          <w:tcPr>
            <w:tcW w:w="1423" w:type="dxa"/>
            <w:gridSpan w:val="3"/>
            <w:tcBorders>
              <w:top w:val="single" w:sz="8" w:space="0" w:color="000000"/>
              <w:left w:val="single" w:sz="8" w:space="0" w:color="000000"/>
              <w:bottom w:val="single" w:sz="8" w:space="0" w:color="000000"/>
            </w:tcBorders>
            <w:tcMar>
              <w:top w:w="52"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SLMBP</w:t>
            </w:r>
          </w:p>
        </w:tc>
        <w:tc>
          <w:tcPr>
            <w:tcW w:w="3181" w:type="dxa"/>
            <w:gridSpan w:val="3"/>
            <w:tcBorders>
              <w:top w:val="single" w:sz="8" w:space="0" w:color="000000"/>
              <w:left w:val="single" w:sz="8" w:space="0" w:color="000000"/>
              <w:bottom w:val="single" w:sz="8" w:space="0" w:color="000000"/>
              <w:right w:val="single" w:sz="8" w:space="0" w:color="000000"/>
            </w:tcBorders>
            <w:tcMar>
              <w:top w:w="52" w:type="dxa"/>
              <w:bottom w:w="3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The NASDAQ Global Select Market</w:t>
            </w:r>
          </w:p>
        </w:tc>
      </w:tr>
    </w:tbl>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Check the appropriate box below if the Form 8-K filing is intended to simultaneously satisfy the filing obligation of the registrant under any of the following provisions:</w:t>
      </w:r>
    </w:p>
    <w:p>
      <w:pPr>
        <w:pStyle w:val="TextBody"/>
        <w:bidi w:val="0"/>
        <w:spacing w:before="0" w:after="0"/>
        <w:jc w:val="left"/>
        <w:rPr/>
      </w:pPr>
      <w:r>
        <w:rPr/>
      </w:r>
    </w:p>
    <w:p>
      <w:pPr>
        <w:pStyle w:val="TextBody"/>
        <w:bidi w:val="0"/>
        <w:spacing w:lineRule="auto" w:line="288" w:before="0" w:after="20"/>
        <w:jc w:val="left"/>
        <w:rPr>
          <w:color w:val="000000"/>
        </w:rPr>
      </w:pPr>
      <w:r>
        <w:rPr>
          <w:color w:val="000000"/>
        </w:rPr>
        <w:t xml:space="preserve">☐ </w:t>
      </w:r>
      <w:r>
        <w:rPr>
          <w:rFonts w:ascii="Arial;sans-serif" w:hAnsi="Arial;sans-serif"/>
          <w:b w:val="false"/>
          <w:color w:val="000000"/>
          <w:sz w:val="18"/>
        </w:rPr>
        <w:t>Written communications pursuant to Rule 425 under the Securities Act (17 CFR 230.425)</w:t>
      </w:r>
    </w:p>
    <w:p>
      <w:pPr>
        <w:pStyle w:val="TextBody"/>
        <w:bidi w:val="0"/>
        <w:spacing w:before="0" w:after="20"/>
        <w:jc w:val="left"/>
        <w:rPr/>
      </w:pPr>
      <w:r>
        <w:rPr/>
      </w:r>
    </w:p>
    <w:p>
      <w:pPr>
        <w:pStyle w:val="TextBody"/>
        <w:bidi w:val="0"/>
        <w:spacing w:lineRule="auto" w:line="288" w:before="0" w:after="20"/>
        <w:jc w:val="left"/>
        <w:rPr/>
      </w:pPr>
      <w:r>
        <w:rPr>
          <w:color w:val="000000"/>
        </w:rPr>
        <w:t xml:space="preserve">☐ </w:t>
      </w:r>
      <w:r>
        <w:rPr>
          <w:rFonts w:ascii="Arial;sans-serif" w:hAnsi="Arial;sans-serif"/>
          <w:b w:val="false"/>
          <w:color w:val="231F20"/>
          <w:sz w:val="18"/>
        </w:rPr>
        <w:t xml:space="preserve">Soliciting material pursuant to Rule 14a-12 under the Exchange Act (17 CFR 240.14a-12) </w:t>
      </w:r>
    </w:p>
    <w:p>
      <w:pPr>
        <w:pStyle w:val="TextBody"/>
        <w:bidi w:val="0"/>
        <w:spacing w:before="0" w:after="0"/>
        <w:jc w:val="left"/>
        <w:rPr/>
      </w:pPr>
      <w:r>
        <w:rPr/>
      </w:r>
    </w:p>
    <w:p>
      <w:pPr>
        <w:pStyle w:val="TextBody"/>
        <w:bidi w:val="0"/>
        <w:spacing w:lineRule="auto" w:line="288" w:before="0" w:after="20"/>
        <w:jc w:val="left"/>
        <w:rPr/>
      </w:pPr>
      <w:r>
        <w:rPr>
          <w:color w:val="000000"/>
        </w:rPr>
        <w:t xml:space="preserve">☐ </w:t>
      </w:r>
      <w:r>
        <w:rPr>
          <w:rFonts w:ascii="Arial;sans-serif" w:hAnsi="Arial;sans-serif"/>
          <w:b w:val="false"/>
          <w:color w:val="231F20"/>
          <w:sz w:val="18"/>
        </w:rPr>
        <w:t xml:space="preserve">Pre-commencement communications pursuant to Rule 14d-2(b) under the Exchange Act (17 CFR 240.14d-2(b)) </w:t>
      </w:r>
    </w:p>
    <w:p>
      <w:pPr>
        <w:pStyle w:val="TextBody"/>
        <w:bidi w:val="0"/>
        <w:spacing w:before="0" w:after="0"/>
        <w:jc w:val="left"/>
        <w:rPr/>
      </w:pPr>
      <w:r>
        <w:rPr/>
      </w:r>
    </w:p>
    <w:p>
      <w:pPr>
        <w:pStyle w:val="TextBody"/>
        <w:bidi w:val="0"/>
        <w:spacing w:lineRule="auto" w:line="288" w:before="0" w:after="20"/>
        <w:jc w:val="left"/>
        <w:rPr/>
      </w:pPr>
      <w:r>
        <w:rPr>
          <w:color w:val="000000"/>
        </w:rPr>
        <w:t>☐</w:t>
      </w:r>
      <w:r>
        <w:rPr>
          <w:color w:val="231F20"/>
        </w:rPr>
        <w:t xml:space="preserve"> </w:t>
      </w:r>
      <w:r>
        <w:rPr>
          <w:rFonts w:ascii="Arial;sans-serif" w:hAnsi="Arial;sans-serif"/>
          <w:b w:val="false"/>
          <w:color w:val="231F20"/>
          <w:sz w:val="18"/>
        </w:rPr>
        <w:t xml:space="preserve">Pre-commencement communications pursuant to Rule 13e-4(c) under the Exchange Act (17 CFR 240.13e-4(c)) </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lineRule="auto" w:line="288" w:before="0" w:after="0"/>
        <w:jc w:val="left"/>
        <w:rPr/>
      </w:pPr>
      <w:r>
        <w:rPr>
          <w:rFonts w:ascii="Arial;sans-serif" w:hAnsi="Arial;sans-serif"/>
          <w:b w:val="false"/>
          <w:color w:val="231F20"/>
          <w:sz w:val="18"/>
        </w:rPr>
        <w:t>Emerging growth company</w:t>
      </w:r>
      <w:r>
        <w:rPr>
          <w:color w:val="231F20"/>
        </w:rPr>
        <w:t xml:space="preserve"> </w:t>
      </w:r>
      <w:r>
        <w:rPr>
          <w:color w:val="000000"/>
        </w:rPr>
        <w:t>☐</w:t>
      </w:r>
      <w:r>
        <w:rPr>
          <w:color w:val="231F20"/>
        </w:rPr>
        <w:t xml:space="preserve"> </w: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val="false"/>
          <w:color w:val="000000"/>
          <w:sz w:val="18"/>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r>
        <w:rPr>
          <w:color w:val="231F20"/>
        </w:rPr>
        <w:t xml:space="preserve"> </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color w:val="000000"/>
          <w:sz w:val="22"/>
        </w:rPr>
        <w:t>ITEM 2.02</w:t>
      </w:r>
      <w:r>
        <w:rPr>
          <w:color w:val="000000"/>
        </w:rPr>
        <w:t>    </w:t>
      </w:r>
      <w:r>
        <w:rPr>
          <w:rFonts w:ascii="Arial;sans-serif" w:hAnsi="Arial;sans-serif"/>
          <w:b/>
          <w:color w:val="000000"/>
          <w:sz w:val="22"/>
        </w:rPr>
        <w:t>RESULTS OF OPERATIONS AND FINANCIAL CONDITION.</w:t>
      </w:r>
    </w:p>
    <w:p>
      <w:pPr>
        <w:pStyle w:val="TextBody"/>
        <w:bidi w:val="0"/>
        <w:spacing w:before="0" w:after="0"/>
        <w:jc w:val="both"/>
        <w:rPr/>
      </w:pPr>
      <w:r>
        <w:rPr/>
      </w:r>
    </w:p>
    <w:p>
      <w:pPr>
        <w:pStyle w:val="TextBody"/>
        <w:bidi w:val="0"/>
        <w:spacing w:lineRule="auto" w:line="288" w:before="100" w:after="100"/>
        <w:jc w:val="left"/>
        <w:rPr>
          <w:rFonts w:ascii="Arial;sans-serif" w:hAnsi="Arial;sans-serif"/>
          <w:b w:val="false"/>
          <w:color w:val="000000"/>
          <w:sz w:val="20"/>
        </w:rPr>
      </w:pPr>
      <w:r>
        <w:rPr>
          <w:rFonts w:ascii="Arial;sans-serif" w:hAnsi="Arial;sans-serif"/>
          <w:b w:val="false"/>
          <w:color w:val="000000"/>
          <w:sz w:val="20"/>
        </w:rPr>
        <w:t xml:space="preserve">On July 23, 2026, SLM Corporation (the “Company”) reported its financial results for the quarter ended June 30, 2026. A copy of the Company’s press release and related earnings results were made available on www.SallieMae.com/investors, and are also furnished as Exhibit 99.1 hereto and incorporated by reference herein. </w:t>
      </w:r>
    </w:p>
    <w:p>
      <w:pPr>
        <w:pStyle w:val="TextBody"/>
        <w:bidi w:val="0"/>
        <w:spacing w:lineRule="auto" w:line="288" w:before="100" w:after="100"/>
        <w:jc w:val="left"/>
        <w:rPr>
          <w:rFonts w:ascii="Arial;sans-serif" w:hAnsi="Arial;sans-serif"/>
          <w:b w:val="false"/>
          <w:color w:val="000000"/>
          <w:sz w:val="20"/>
        </w:rPr>
      </w:pPr>
      <w:r>
        <w:rPr>
          <w:rFonts w:ascii="Arial;sans-serif" w:hAnsi="Arial;sans-serif"/>
          <w:b w:val="false"/>
          <w:color w:val="000000"/>
          <w:sz w:val="20"/>
        </w:rPr>
        <w:t>The information furnished in this Item 2.02, including Exhibit 99.1 attached hereto and incorporated by reference herein, is being furnished and shall not be deemed "filed" for purposes of Section 18 of the Securities Exchange Act of 1934, as amended, or otherwise subject to the liabilities of that Section. Furthermore, such information, including such Exhibit, shall not be deemed incorporated by reference into any of the Company’s registration statements, reports or other filings with the Securities and Exchange Commission, except as expressly set forth by specific reference in such registration statement, report or other filing.</w:t>
      </w:r>
    </w:p>
    <w:p>
      <w:pPr>
        <w:pStyle w:val="TextBody"/>
        <w:bidi w:val="0"/>
        <w:spacing w:before="100" w:after="100"/>
        <w:jc w:val="both"/>
        <w:rPr/>
      </w:pPr>
      <w:r>
        <w:rPr/>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color w:val="000000"/>
          <w:sz w:val="22"/>
        </w:rPr>
        <w:t>ITEM 9.01</w:t>
      </w:r>
      <w:r>
        <w:rPr>
          <w:color w:val="000000"/>
        </w:rPr>
        <w:t>    </w:t>
      </w:r>
      <w:r>
        <w:rPr>
          <w:rFonts w:ascii="Arial;sans-serif" w:hAnsi="Arial;sans-serif"/>
          <w:b/>
          <w:color w:val="000000"/>
          <w:sz w:val="22"/>
        </w:rPr>
        <w:t>FINANCIAL STATEMENTS AND EXHIBITS.</w:t>
      </w:r>
    </w:p>
    <w:p>
      <w:pPr>
        <w:pStyle w:val="TextBody"/>
        <w:bidi w:val="0"/>
        <w:spacing w:before="0" w:after="0"/>
        <w:jc w:val="center"/>
        <w:rPr/>
      </w:pPr>
      <w:r>
        <w:rPr/>
      </w:r>
    </w:p>
    <w:p>
      <w:pPr>
        <w:pStyle w:val="TextBody"/>
        <w:bidi w:val="0"/>
        <w:spacing w:lineRule="auto" w:line="288" w:before="100" w:after="100"/>
        <w:jc w:val="left"/>
        <w:rPr>
          <w:rFonts w:ascii="Arial;sans-serif" w:hAnsi="Arial;sans-serif"/>
          <w:b w:val="false"/>
          <w:color w:val="000000"/>
          <w:sz w:val="20"/>
        </w:rPr>
      </w:pPr>
      <w:r>
        <w:rPr>
          <w:rFonts w:ascii="Arial;sans-serif" w:hAnsi="Arial;sans-serif"/>
          <w:b w:val="false"/>
          <w:color w:val="000000"/>
          <w:sz w:val="20"/>
        </w:rPr>
        <w:t xml:space="preserve">(d) Exhibits </w:t>
      </w:r>
    </w:p>
    <w:tbl>
      <w:tblPr>
        <w:tblW w:w="6463" w:type="dxa"/>
        <w:jc w:val="left"/>
        <w:tblInd w:w="0" w:type="dxa"/>
        <w:tblLayout w:type="fixed"/>
        <w:tblCellMar>
          <w:top w:w="28" w:type="dxa"/>
          <w:left w:w="28" w:type="dxa"/>
          <w:bottom w:w="28" w:type="dxa"/>
          <w:right w:w="28" w:type="dxa"/>
        </w:tblCellMar>
      </w:tblPr>
      <w:tblGrid>
        <w:gridCol w:w="283"/>
        <w:gridCol w:w="248"/>
        <w:gridCol w:w="250"/>
        <w:gridCol w:w="109"/>
        <w:gridCol w:w="109"/>
        <w:gridCol w:w="109"/>
        <w:gridCol w:w="1565"/>
        <w:gridCol w:w="1565"/>
        <w:gridCol w:w="2225"/>
      </w:tblGrid>
      <w:tr>
        <w:trPr/>
        <w:tc>
          <w:tcPr>
            <w:tcW w:w="283"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5" w:type="dxa"/>
            <w:tcBorders/>
            <w:vAlign w:val="center"/>
          </w:tcPr>
          <w:p>
            <w:pPr>
              <w:pStyle w:val="TableContents"/>
              <w:bidi w:val="0"/>
              <w:spacing w:before="0" w:after="283"/>
              <w:jc w:val="left"/>
              <w:rPr>
                <w:sz w:val="4"/>
                <w:szCs w:val="4"/>
              </w:rPr>
            </w:pPr>
            <w:r>
              <w:rPr>
                <w:sz w:val="4"/>
                <w:szCs w:val="4"/>
              </w:rPr>
            </w:r>
          </w:p>
        </w:tc>
        <w:tc>
          <w:tcPr>
            <w:tcW w:w="1565" w:type="dxa"/>
            <w:tcBorders/>
            <w:vAlign w:val="center"/>
          </w:tcPr>
          <w:p>
            <w:pPr>
              <w:pStyle w:val="TableContents"/>
              <w:bidi w:val="0"/>
              <w:spacing w:before="0" w:after="283"/>
              <w:jc w:val="left"/>
              <w:rPr>
                <w:sz w:val="4"/>
                <w:szCs w:val="4"/>
              </w:rPr>
            </w:pPr>
            <w:r>
              <w:rPr>
                <w:sz w:val="4"/>
                <w:szCs w:val="4"/>
              </w:rPr>
            </w:r>
          </w:p>
        </w:tc>
        <w:tc>
          <w:tcPr>
            <w:tcW w:w="2225" w:type="dxa"/>
            <w:tcBorders/>
            <w:vAlign w:val="center"/>
          </w:tcPr>
          <w:p>
            <w:pPr>
              <w:pStyle w:val="TableContents"/>
              <w:bidi w:val="0"/>
              <w:spacing w:before="0" w:after="283"/>
              <w:jc w:val="left"/>
              <w:rPr>
                <w:sz w:val="4"/>
                <w:szCs w:val="4"/>
              </w:rPr>
            </w:pPr>
            <w:r>
              <w:rPr>
                <w:sz w:val="4"/>
                <w:szCs w:val="4"/>
              </w:rPr>
            </w:r>
          </w:p>
        </w:tc>
      </w:tr>
      <w:tr>
        <w:trPr/>
        <w:tc>
          <w:tcPr>
            <w:tcW w:w="781"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Exhibit</w:t>
            </w:r>
          </w:p>
          <w:p>
            <w:pPr>
              <w:pStyle w:val="TableContents"/>
              <w:bidi w:val="0"/>
              <w:spacing w:lineRule="auto" w:line="288" w:before="0" w:after="0"/>
              <w:jc w:val="center"/>
              <w:rPr>
                <w:rFonts w:ascii="Arial;sans-serif" w:hAnsi="Arial;sans-serif"/>
                <w:b w:val="false"/>
                <w:color w:val="000000"/>
                <w:sz w:val="18"/>
                <w:u w:val="single"/>
              </w:rPr>
            </w:pPr>
            <w:r>
              <w:rPr>
                <w:rFonts w:ascii="Arial;sans-serif" w:hAnsi="Arial;sans-serif"/>
                <w:b w:val="false"/>
                <w:color w:val="000000"/>
                <w:sz w:val="18"/>
                <w:u w:val="single"/>
              </w:rPr>
              <w:t>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u w:val="single"/>
              </w:rPr>
            </w:pPr>
            <w:r>
              <w:rPr>
                <w:rFonts w:ascii="Arial;sans-serif" w:hAnsi="Arial;sans-serif"/>
                <w:b w:val="false"/>
                <w:color w:val="000000"/>
                <w:sz w:val="18"/>
                <w:u w:val="single"/>
              </w:rPr>
              <w:t>Description</w:t>
            </w:r>
          </w:p>
        </w:tc>
      </w:tr>
      <w:tr>
        <w:trPr/>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1"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Arial;sans-serif" w:hAnsi="Arial;sans-serif"/>
                <w:b w:val="false"/>
                <w:color w:val="000000"/>
                <w:sz w:val="20"/>
              </w:rPr>
              <w:t>99.1*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5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slm072326ex991.htm">
              <w:r>
                <w:rPr>
                  <w:rStyle w:val="InternetLink"/>
                  <w:rFonts w:ascii="Arial;sans-serif" w:hAnsi="Arial;sans-serif"/>
                  <w:b w:val="false"/>
                  <w:color w:val="000080"/>
                  <w:sz w:val="20"/>
                  <w:u w:val="single"/>
                </w:rPr>
                <w:t xml:space="preserve">Press Release, dated </w:t>
              </w:r>
            </w:hyperlink>
            <w:hyperlink w:anchor="slm072326ex991.htm">
              <w:r>
                <w:rPr>
                  <w:rStyle w:val="InternetLink"/>
                  <w:rFonts w:ascii="Arial;sans-serif" w:hAnsi="Arial;sans-serif"/>
                  <w:b w:val="false"/>
                  <w:color w:val="000080"/>
                  <w:sz w:val="20"/>
                  <w:u w:val="single"/>
                </w:rPr>
                <w:t>July</w:t>
              </w:r>
            </w:hyperlink>
            <w:hyperlink w:anchor="slm072326ex991.htm">
              <w:r>
                <w:rPr>
                  <w:rStyle w:val="InternetLink"/>
                  <w:rFonts w:ascii="Arial;sans-serif" w:hAnsi="Arial;sans-serif"/>
                  <w:b w:val="false"/>
                  <w:color w:val="000080"/>
                  <w:sz w:val="20"/>
                  <w:u w:val="single"/>
                </w:rPr>
                <w:t xml:space="preserve"> 23, 2026</w:t>
              </w:r>
            </w:hyperlink>
          </w:p>
        </w:tc>
      </w:tr>
      <w:tr>
        <w:trPr/>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Cover Page Interactive Data File (formatted as Inline XBRL)</w:t>
            </w:r>
          </w:p>
        </w:tc>
      </w:tr>
    </w:tbl>
    <w:tbl>
      <w:tblPr>
        <w:tblW w:w="2247" w:type="dxa"/>
        <w:jc w:val="center"/>
        <w:tblInd w:w="0" w:type="dxa"/>
        <w:tblLayout w:type="fixed"/>
        <w:tblCellMar>
          <w:top w:w="28" w:type="dxa"/>
          <w:left w:w="28" w:type="dxa"/>
          <w:bottom w:w="28" w:type="dxa"/>
          <w:right w:w="28" w:type="dxa"/>
        </w:tblCellMar>
      </w:tblPr>
      <w:tblGrid>
        <w:gridCol w:w="124"/>
        <w:gridCol w:w="109"/>
        <w:gridCol w:w="109"/>
        <w:gridCol w:w="557"/>
        <w:gridCol w:w="557"/>
        <w:gridCol w:w="79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9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 xml:space="preserve">Furnished herewith. </w:t>
            </w:r>
          </w:p>
        </w:tc>
      </w:tr>
    </w:tbl>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ind w:left="0" w:right="0" w:hanging="450"/>
        <w:jc w:val="center"/>
        <w:rPr/>
      </w:pPr>
      <w:r>
        <w:rPr/>
      </w:r>
    </w:p>
    <w:p>
      <w:pPr>
        <w:pStyle w:val="TextBody"/>
        <w:bidi w:val="0"/>
        <w:spacing w:before="0" w:after="0"/>
        <w:ind w:left="0" w:right="0" w:hanging="450"/>
        <w:jc w:val="center"/>
        <w:rPr/>
      </w:pPr>
      <w:r>
        <w:rPr/>
      </w:r>
    </w:p>
    <w:p>
      <w:pPr>
        <w:pStyle w:val="TextBody"/>
        <w:bidi w:val="0"/>
        <w:spacing w:before="0" w:after="0"/>
        <w:ind w:left="0" w:right="0" w:hanging="450"/>
        <w:jc w:val="center"/>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hanging="450"/>
        <w:jc w:val="center"/>
        <w:rPr>
          <w:rFonts w:ascii="Arial;sans-serif" w:hAnsi="Arial;sans-serif"/>
          <w:b/>
          <w:color w:val="000000"/>
          <w:sz w:val="22"/>
        </w:rPr>
      </w:pPr>
      <w:r>
        <w:rPr>
          <w:rFonts w:ascii="Arial;sans-serif" w:hAnsi="Arial;sans-serif"/>
          <w:b/>
          <w:color w:val="000000"/>
          <w:sz w:val="22"/>
        </w:rPr>
        <w:t>SIGNATURES</w:t>
      </w:r>
    </w:p>
    <w:p>
      <w:pPr>
        <w:pStyle w:val="TextBody"/>
        <w:bidi w:val="0"/>
        <w:spacing w:before="0" w:after="0"/>
        <w:jc w:val="both"/>
        <w:rPr/>
      </w:pPr>
      <w:r>
        <w:rPr/>
      </w:r>
    </w:p>
    <w:p>
      <w:pPr>
        <w:pStyle w:val="TextBody"/>
        <w:bidi w:val="0"/>
        <w:spacing w:lineRule="auto" w:line="288" w:before="0" w:after="0"/>
        <w:jc w:val="both"/>
        <w:rPr>
          <w:color w:val="000000"/>
        </w:rPr>
      </w:pPr>
      <w:r>
        <w:rPr>
          <w:color w:val="000000"/>
        </w:rPr>
        <w:t>    </w:t>
      </w:r>
      <w:r>
        <w:rPr>
          <w:rFonts w:ascii="Arial;sans-serif" w:hAnsi="Arial;sans-serif"/>
          <w:b w:val="false"/>
          <w:color w:val="000000"/>
          <w:sz w:val="20"/>
        </w:rPr>
        <w:t>Pursuant to the requirements of the Securities Exchange Act of 1934, the registrant has duly caused this report to be signed on its behalf by the undersigned hereunto duly authorized.</w:t>
      </w:r>
    </w:p>
    <w:p>
      <w:pPr>
        <w:pStyle w:val="TextBody"/>
        <w:bidi w:val="0"/>
        <w:spacing w:before="0" w:after="0"/>
        <w:jc w:val="left"/>
        <w:rPr/>
      </w:pPr>
      <w:r>
        <w:rPr/>
      </w:r>
    </w:p>
    <w:p>
      <w:pPr>
        <w:pStyle w:val="TextBody"/>
        <w:bidi w:val="0"/>
        <w:spacing w:lineRule="auto" w:line="288" w:before="0" w:after="0"/>
        <w:jc w:val="center"/>
        <w:rPr>
          <w:color w:val="000000"/>
        </w:rPr>
      </w:pPr>
      <w:r>
        <w:rPr>
          <w:color w:val="000000"/>
        </w:rPr>
        <w:t>                        </w:t>
      </w:r>
    </w:p>
    <w:tbl>
      <w:tblPr>
        <w:tblW w:w="5862" w:type="dxa"/>
        <w:jc w:val="center"/>
        <w:tblInd w:w="0" w:type="dxa"/>
        <w:tblLayout w:type="fixed"/>
        <w:tblCellMar>
          <w:top w:w="28" w:type="dxa"/>
          <w:left w:w="28" w:type="dxa"/>
          <w:bottom w:w="28" w:type="dxa"/>
          <w:right w:w="28" w:type="dxa"/>
        </w:tblCellMar>
      </w:tblPr>
      <w:tblGrid>
        <w:gridCol w:w="656"/>
        <w:gridCol w:w="576"/>
        <w:gridCol w:w="582"/>
        <w:gridCol w:w="134"/>
        <w:gridCol w:w="134"/>
        <w:gridCol w:w="136"/>
        <w:gridCol w:w="1067"/>
        <w:gridCol w:w="1067"/>
        <w:gridCol w:w="1510"/>
      </w:tblGrid>
      <w:tr>
        <w:trPr/>
        <w:tc>
          <w:tcPr>
            <w:tcW w:w="656"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582"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67" w:type="dxa"/>
            <w:tcBorders/>
            <w:vAlign w:val="center"/>
          </w:tcPr>
          <w:p>
            <w:pPr>
              <w:pStyle w:val="TableContents"/>
              <w:bidi w:val="0"/>
              <w:spacing w:before="0" w:after="283"/>
              <w:jc w:val="left"/>
              <w:rPr>
                <w:sz w:val="4"/>
                <w:szCs w:val="4"/>
              </w:rPr>
            </w:pPr>
            <w:r>
              <w:rPr>
                <w:sz w:val="4"/>
                <w:szCs w:val="4"/>
              </w:rPr>
            </w:r>
          </w:p>
        </w:tc>
        <w:tc>
          <w:tcPr>
            <w:tcW w:w="1067" w:type="dxa"/>
            <w:tcBorders/>
            <w:vAlign w:val="center"/>
          </w:tcPr>
          <w:p>
            <w:pPr>
              <w:pStyle w:val="TableContents"/>
              <w:bidi w:val="0"/>
              <w:spacing w:before="0" w:after="283"/>
              <w:jc w:val="left"/>
              <w:rPr>
                <w:sz w:val="4"/>
                <w:szCs w:val="4"/>
              </w:rPr>
            </w:pPr>
            <w:r>
              <w:rPr>
                <w:sz w:val="4"/>
                <w:szCs w:val="4"/>
              </w:rPr>
            </w:r>
          </w:p>
        </w:tc>
        <w:tc>
          <w:tcPr>
            <w:tcW w:w="1510" w:type="dxa"/>
            <w:tcBorders/>
            <w:vAlign w:val="center"/>
          </w:tcPr>
          <w:p>
            <w:pPr>
              <w:pStyle w:val="TableContents"/>
              <w:bidi w:val="0"/>
              <w:spacing w:before="0" w:after="283"/>
              <w:jc w:val="left"/>
              <w:rPr>
                <w:sz w:val="4"/>
                <w:szCs w:val="4"/>
              </w:rPr>
            </w:pPr>
            <w:r>
              <w:rPr>
                <w:sz w:val="4"/>
                <w:szCs w:val="4"/>
              </w:rPr>
            </w:r>
          </w:p>
        </w:tc>
      </w:tr>
      <w:tr>
        <w:trPr/>
        <w:tc>
          <w:tcPr>
            <w:tcW w:w="18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SLM CORPORATION</w:t>
            </w:r>
          </w:p>
        </w:tc>
      </w:tr>
      <w:tr>
        <w:trPr/>
        <w:tc>
          <w:tcPr>
            <w:tcW w:w="181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Date: July 23, 2026</w:t>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By:</w:t>
            </w:r>
          </w:p>
        </w:tc>
        <w:tc>
          <w:tcPr>
            <w:tcW w:w="36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 PETER M. GRAHAM</w:t>
            </w:r>
          </w:p>
        </w:tc>
      </w:tr>
      <w:tr>
        <w:trPr/>
        <w:tc>
          <w:tcPr>
            <w:tcW w:w="18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Peter M. Graham</w:t>
            </w:r>
          </w:p>
        </w:tc>
      </w:tr>
      <w:tr>
        <w:trPr/>
        <w:tc>
          <w:tcPr>
            <w:tcW w:w="18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Co-President and Chief Financial Officer</w:t>
            </w:r>
          </w:p>
        </w:tc>
      </w:tr>
    </w:tbl>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both"/>
        <w:rPr>
          <w:color w:val="000000"/>
        </w:rPr>
      </w:pPr>
      <w:r>
        <w:rPr>
          <w:color w:val="000000"/>
        </w:rPr>
        <w:t>                </w:t>
      </w:r>
    </w:p>
    <w:p>
      <w:pPr>
        <w:pStyle w:val="TextBody"/>
        <w:bidi w:val="0"/>
        <w:spacing w:before="0" w:after="0"/>
        <w:jc w:val="both"/>
        <w:rPr/>
      </w:pPr>
      <w:r>
        <w:rPr/>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color w:val="000000"/>
        </w:rPr>
      </w:pPr>
      <w:r>
        <w:rPr>
          <w:color w:val="000000"/>
        </w:rPr>
        <w:t>                    </w:t>
      </w:r>
    </w:p>
    <w:p>
      <w:pPr>
        <w:pStyle w:val="TextBody"/>
        <w:bidi w:val="0"/>
        <w:spacing w:before="0" w:after="0"/>
        <w:ind w:left="0" w:right="0" w:hanging="450"/>
        <w:jc w:val="center"/>
        <w:rPr/>
      </w:pPr>
      <w:r>
        <w:rPr/>
      </w:r>
    </w:p>
    <w:p>
      <w:pPr>
        <w:pStyle w:val="TextBody"/>
        <w:bidi w:val="0"/>
        <w:spacing w:before="0" w:after="0"/>
        <w:ind w:left="0" w:right="0" w:hanging="450"/>
        <w:jc w:val="center"/>
        <w:rPr/>
      </w:pPr>
      <w:r>
        <w:rPr/>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Arial;sans-serif" w:hAnsi="Arial;sans-serif"/>
          <w:b/>
          <w:color w:val="000000"/>
          <w:sz w:val="24"/>
        </w:rPr>
      </w:pPr>
      <w:r>
        <w:rPr>
          <w:rFonts w:ascii="Arial;sans-serif" w:hAnsi="Arial;sans-serif"/>
          <w:b/>
          <w:color w:val="000000"/>
          <w:sz w:val="24"/>
        </w:rPr>
        <w:t>Exhibit 99.1</w:t>
      </w:r>
    </w:p>
    <w:tbl>
      <w:tblPr>
        <w:tblW w:w="2726" w:type="dxa"/>
        <w:jc w:val="center"/>
        <w:tblInd w:w="0" w:type="dxa"/>
        <w:tblLayout w:type="fixed"/>
        <w:tblCellMar>
          <w:top w:w="28" w:type="dxa"/>
          <w:left w:w="28" w:type="dxa"/>
          <w:bottom w:w="28" w:type="dxa"/>
          <w:right w:w="28" w:type="dxa"/>
        </w:tblCellMar>
      </w:tblPr>
      <w:tblGrid>
        <w:gridCol w:w="873"/>
        <w:gridCol w:w="767"/>
        <w:gridCol w:w="1086"/>
      </w:tblGrid>
      <w:tr>
        <w:trPr/>
        <w:tc>
          <w:tcPr>
            <w:tcW w:w="873" w:type="dxa"/>
            <w:tcBorders/>
            <w:vAlign w:val="center"/>
          </w:tcPr>
          <w:p>
            <w:pPr>
              <w:pStyle w:val="TableContents"/>
              <w:bidi w:val="0"/>
              <w:spacing w:before="0" w:after="283"/>
              <w:jc w:val="left"/>
              <w:rPr>
                <w:sz w:val="4"/>
                <w:szCs w:val="4"/>
              </w:rPr>
            </w:pPr>
            <w:r>
              <w:rPr>
                <w:sz w:val="4"/>
                <w:szCs w:val="4"/>
              </w:rPr>
            </w:r>
          </w:p>
        </w:tc>
        <w:tc>
          <w:tcPr>
            <w:tcW w:w="767" w:type="dxa"/>
            <w:tcBorders/>
            <w:vAlign w:val="center"/>
          </w:tcPr>
          <w:p>
            <w:pPr>
              <w:pStyle w:val="TableContents"/>
              <w:bidi w:val="0"/>
              <w:spacing w:before="0" w:after="283"/>
              <w:jc w:val="left"/>
              <w:rPr>
                <w:sz w:val="4"/>
                <w:szCs w:val="4"/>
              </w:rPr>
            </w:pPr>
            <w:r>
              <w:rPr>
                <w:sz w:val="4"/>
                <w:szCs w:val="4"/>
              </w:rPr>
            </w:r>
          </w:p>
        </w:tc>
        <w:tc>
          <w:tcPr>
            <w:tcW w:w="1086" w:type="dxa"/>
            <w:tcBorders/>
            <w:vAlign w:val="center"/>
          </w:tcPr>
          <w:p>
            <w:pPr>
              <w:pStyle w:val="TableContents"/>
              <w:bidi w:val="0"/>
              <w:spacing w:before="0" w:after="283"/>
              <w:jc w:val="left"/>
              <w:rPr>
                <w:sz w:val="4"/>
                <w:szCs w:val="4"/>
              </w:rPr>
            </w:pPr>
            <w:r>
              <w:rPr>
                <w:sz w:val="4"/>
                <w:szCs w:val="4"/>
              </w:rPr>
            </w:r>
          </w:p>
        </w:tc>
      </w:tr>
      <w:tr>
        <w:trPr/>
        <w:tc>
          <w:tcPr>
            <w:tcW w:w="2726"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1638300" cy="304800"/>
                  <wp:effectExtent l="0" t="0" r="0" b="0"/>
                  <wp:docPr id="4"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1" descr=""/>
                          <pic:cNvPicPr>
                            <a:picLocks noChangeAspect="1" noChangeArrowheads="1"/>
                          </pic:cNvPicPr>
                        </pic:nvPicPr>
                        <pic:blipFill>
                          <a:blip r:embed="rId2"/>
                          <a:stretch>
                            <a:fillRect/>
                          </a:stretch>
                        </pic:blipFill>
                        <pic:spPr bwMode="auto">
                          <a:xfrm>
                            <a:off x="0" y="0"/>
                            <a:ext cx="1638300" cy="304800"/>
                          </a:xfrm>
                          <a:prstGeom prst="rect">
                            <a:avLst/>
                          </a:prstGeom>
                        </pic:spPr>
                      </pic:pic>
                    </a:graphicData>
                  </a:graphic>
                </wp:inline>
              </w:drawing>
            </w:r>
          </w:p>
        </w:tc>
      </w:tr>
      <w:tr>
        <w:trPr/>
        <w:tc>
          <w:tcPr>
            <w:tcW w:w="27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36"/>
              </w:rPr>
            </w:pPr>
            <w:r>
              <w:rPr>
                <w:rFonts w:ascii="Arial;sans-serif" w:hAnsi="Arial;sans-serif"/>
                <w:b/>
                <w:color w:val="000000"/>
                <w:sz w:val="36"/>
              </w:rPr>
              <w:t>News Release</w:t>
            </w:r>
          </w:p>
        </w:tc>
      </w:tr>
      <w:tr>
        <w:trPr/>
        <w:tc>
          <w:tcPr>
            <w:tcW w:w="272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For Immediate Release</w:t>
            </w:r>
          </w:p>
        </w:tc>
      </w:tr>
    </w:tbl>
    <w:p>
      <w:pPr>
        <w:pStyle w:val="TextBody"/>
        <w:bidi w:val="0"/>
        <w:spacing w:before="0" w:after="0"/>
        <w:jc w:val="center"/>
        <w:rPr/>
      </w:pPr>
      <w:r>
        <w:rPr/>
      </w:r>
    </w:p>
    <w:p>
      <w:pPr>
        <w:pStyle w:val="TextBody"/>
        <w:bidi w:val="0"/>
        <w:spacing w:lineRule="auto" w:line="288" w:before="0" w:after="0"/>
        <w:jc w:val="center"/>
        <w:rPr>
          <w:rFonts w:ascii="Arial;sans-serif" w:hAnsi="Arial;sans-serif"/>
          <w:b/>
          <w:color w:val="000000"/>
          <w:sz w:val="26"/>
        </w:rPr>
      </w:pPr>
      <w:r>
        <w:rPr>
          <w:rFonts w:ascii="Arial;sans-serif" w:hAnsi="Arial;sans-serif"/>
          <w:b/>
          <w:color w:val="000000"/>
          <w:sz w:val="26"/>
        </w:rPr>
        <w:t>Sallie Mae Reports Second Quarter 2026 Financial Results</w:t>
      </w:r>
    </w:p>
    <w:p>
      <w:pPr>
        <w:pStyle w:val="TextBody"/>
        <w:bidi w:val="0"/>
        <w:spacing w:before="0" w:after="0"/>
        <w:jc w:val="center"/>
        <w:rPr/>
      </w:pPr>
      <w:r>
        <w:rPr/>
      </w:r>
    </w:p>
    <w:p>
      <w:pPr>
        <w:pStyle w:val="TextBody"/>
        <w:bidi w:val="0"/>
        <w:spacing w:lineRule="auto" w:line="288" w:before="0" w:after="0"/>
        <w:jc w:val="left"/>
        <w:rPr/>
      </w:pPr>
      <w:r>
        <w:rPr>
          <w:rFonts w:ascii="Arial;sans-serif" w:hAnsi="Arial;sans-serif"/>
          <w:b/>
          <w:color w:val="000000"/>
          <w:sz w:val="18"/>
        </w:rPr>
        <w:t xml:space="preserve">NEWARK, Del., July 23, 2026 </w:t>
      </w:r>
      <w:r>
        <w:rPr>
          <w:color w:val="000000"/>
        </w:rPr>
        <w:t xml:space="preserve">— </w:t>
      </w:r>
      <w:r>
        <w:rPr>
          <w:rFonts w:ascii="Arial;sans-serif" w:hAnsi="Arial;sans-serif"/>
          <w:b w:val="false"/>
          <w:color w:val="000000"/>
          <w:sz w:val="18"/>
        </w:rPr>
        <w:t>Sallie Mae (Nasdaq: SLM), formally SLM Corporation, today released second quarter 2026 financial results. Complete financial results and related materials are available at www.SallieMae.com/investors. The materials will also be available on the Securities and Exchange Commission’s website at www.sec.gov.</w:t>
      </w:r>
    </w:p>
    <w:p>
      <w:pPr>
        <w:pStyle w:val="TextBody"/>
        <w:bidi w:val="0"/>
        <w:spacing w:before="0" w:after="0"/>
        <w:jc w:val="left"/>
        <w:rPr/>
      </w:pPr>
      <w:r>
        <w:rPr/>
      </w:r>
    </w:p>
    <w:p>
      <w:pPr>
        <w:pStyle w:val="TextBody"/>
        <w:bidi w:val="0"/>
        <w:spacing w:lineRule="auto" w:line="268" w:before="0" w:after="0"/>
        <w:jc w:val="left"/>
        <w:rPr/>
      </w:pPr>
      <w:r>
        <w:rPr>
          <w:rFonts w:ascii="Arial;sans-serif" w:hAnsi="Arial;sans-serif"/>
          <w:b w:val="false"/>
          <w:color w:val="000000"/>
          <w:sz w:val="18"/>
        </w:rPr>
        <w:t>Sallie Mae will host an earnings conference call today, July 23, 2026, at 5:30 p.m. ET. Executives will be on hand to discuss various highlights of the quarter and to answer questions related to Sallie Mae’s performance. A live audio webcast of the conference call and presentation slides may be accessed at www.SallieMae.com/investors and the</w:t>
      </w:r>
      <w:r>
        <w:rPr>
          <w:color w:val="0E32E1"/>
          <w:shd w:fill="FFFFFF" w:val="clear"/>
        </w:rPr>
        <w:t xml:space="preserve"> </w:t>
      </w:r>
      <w:r>
        <w:rPr>
          <w:rFonts w:ascii="Arial;sans-serif" w:hAnsi="Arial;sans-serif"/>
          <w:b w:val="false"/>
          <w:color w:val="000000"/>
          <w:sz w:val="18"/>
        </w:rPr>
        <w:t xml:space="preserve">hosting website. </w:t>
      </w:r>
    </w:p>
    <w:p>
      <w:pPr>
        <w:pStyle w:val="TextBody"/>
        <w:bidi w:val="0"/>
        <w:spacing w:before="0" w:after="0"/>
        <w:jc w:val="left"/>
        <w:rPr/>
      </w:pPr>
      <w:r>
        <w:rPr/>
      </w:r>
    </w:p>
    <w:p>
      <w:pPr>
        <w:pStyle w:val="TextBody"/>
        <w:bidi w:val="0"/>
        <w:spacing w:lineRule="auto" w:line="268" w:before="0" w:after="0"/>
        <w:jc w:val="left"/>
        <w:rPr>
          <w:rFonts w:ascii="Arial;sans-serif" w:hAnsi="Arial;sans-serif"/>
          <w:b w:val="false"/>
          <w:color w:val="000000"/>
          <w:sz w:val="18"/>
        </w:rPr>
      </w:pPr>
      <w:r>
        <w:rPr>
          <w:rFonts w:ascii="Arial;sans-serif" w:hAnsi="Arial;sans-serif"/>
          <w:b w:val="false"/>
          <w:color w:val="000000"/>
          <w:sz w:val="18"/>
        </w:rPr>
        <w:t>A replay of the webcast will be available via the company’s investor website approximately two hours after the call’s conclusion.</w:t>
      </w:r>
    </w:p>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w:t>
      </w:r>
    </w:p>
    <w:p>
      <w:pPr>
        <w:pStyle w:val="TextBody"/>
        <w:bidi w:val="0"/>
        <w:spacing w:before="0" w:after="0"/>
        <w:jc w:val="center"/>
        <w:rPr/>
      </w:pPr>
      <w:r>
        <w:rPr/>
      </w:r>
    </w:p>
    <w:p>
      <w:pPr>
        <w:pStyle w:val="TextBody"/>
        <w:bidi w:val="0"/>
        <w:spacing w:lineRule="auto" w:line="288" w:before="0" w:after="240"/>
        <w:jc w:val="left"/>
        <w:rPr/>
      </w:pPr>
      <w:r>
        <w:rPr>
          <w:rFonts w:ascii="Arial;sans-serif" w:hAnsi="Arial;sans-serif"/>
          <w:b/>
          <w:color w:val="000000"/>
          <w:sz w:val="17"/>
        </w:rPr>
        <w:t>Sallie Mae</w:t>
      </w:r>
      <w:r>
        <w:rPr>
          <w:color w:val="000000"/>
        </w:rPr>
        <w:t xml:space="preserve"> </w:t>
      </w:r>
      <w:r>
        <w:rPr>
          <w:rFonts w:ascii="Arial;sans-serif" w:hAnsi="Arial;sans-serif"/>
          <w:b w:val="false"/>
          <w:color w:val="000000"/>
          <w:sz w:val="17"/>
        </w:rPr>
        <w:t>(Nasdaq: SLM) believes education and life-long learning, in all forms, help people achieve great things. As the leader in private student lending, we provide financing and know-how to support access to college and offer products and resources to help customers make new goals and experiences, beyond college, happen. Learn more at SallieMae.com. Commonly known as Sallie Mae, SLM Corporation and its subsidiaries are not sponsored by or agencies of the United States of America.</w:t>
      </w:r>
    </w:p>
    <w:p>
      <w:pPr>
        <w:pStyle w:val="TextBody"/>
        <w:bidi w:val="0"/>
        <w:spacing w:before="0" w:after="240"/>
        <w:jc w:val="left"/>
        <w:rPr/>
      </w:pPr>
      <w:r>
        <w:rPr/>
      </w:r>
    </w:p>
    <w:p>
      <w:pPr>
        <w:pStyle w:val="TextBody"/>
        <w:bidi w:val="0"/>
        <w:spacing w:before="0" w:after="240"/>
        <w:jc w:val="left"/>
        <w:rPr/>
      </w:pPr>
      <w:r>
        <w:rPr/>
      </w:r>
    </w:p>
    <w:p>
      <w:pPr>
        <w:pStyle w:val="TextBody"/>
        <w:bidi w:val="0"/>
        <w:spacing w:before="0" w:after="240"/>
        <w:jc w:val="left"/>
        <w:rPr/>
      </w:pPr>
      <w:r>
        <w:rPr/>
      </w:r>
    </w:p>
    <w:p>
      <w:pPr>
        <w:pStyle w:val="TextBody"/>
        <w:bidi w:val="0"/>
        <w:spacing w:before="0" w:after="240"/>
        <w:jc w:val="left"/>
        <w:rPr/>
      </w:pPr>
      <w:r>
        <w:rPr/>
      </w:r>
    </w:p>
    <w:p>
      <w:pPr>
        <w:pStyle w:val="TextBody"/>
        <w:bidi w:val="0"/>
        <w:spacing w:before="0" w:after="240"/>
        <w:jc w:val="left"/>
        <w:rPr/>
      </w:pPr>
      <w:r>
        <w:rPr/>
      </w:r>
    </w:p>
    <w:p>
      <w:pPr>
        <w:pStyle w:val="TextBody"/>
        <w:bidi w:val="0"/>
        <w:spacing w:before="0" w:after="240"/>
        <w:jc w:val="left"/>
        <w:rPr/>
      </w:pPr>
      <w:r>
        <w:rPr/>
      </w:r>
    </w:p>
    <w:p>
      <w:pPr>
        <w:pStyle w:val="TextBody"/>
        <w:bidi w:val="0"/>
        <w:spacing w:before="0" w:after="240"/>
        <w:jc w:val="left"/>
        <w:rPr/>
      </w:pPr>
      <w:r>
        <w:rPr/>
      </w:r>
    </w:p>
    <w:p>
      <w:pPr>
        <w:pStyle w:val="TextBody"/>
        <w:bidi w:val="0"/>
        <w:spacing w:before="0" w:after="240"/>
        <w:jc w:val="left"/>
        <w:rPr/>
      </w:pPr>
      <w:r>
        <w:rPr/>
      </w:r>
    </w:p>
    <w:p>
      <w:pPr>
        <w:pStyle w:val="TextBody"/>
        <w:bidi w:val="0"/>
        <w:spacing w:before="0" w:after="240"/>
        <w:jc w:val="left"/>
        <w:rPr/>
      </w:pPr>
      <w:r>
        <w:rPr/>
      </w:r>
    </w:p>
    <w:p>
      <w:pPr>
        <w:pStyle w:val="TextBody"/>
        <w:bidi w:val="0"/>
        <w:spacing w:before="0" w:after="240"/>
        <w:jc w:val="left"/>
        <w:rPr/>
      </w:pPr>
      <w:r>
        <w:rPr/>
      </w:r>
    </w:p>
    <w:p>
      <w:pPr>
        <w:pStyle w:val="TextBody"/>
        <w:bidi w:val="0"/>
        <w:spacing w:lineRule="auto" w:line="288" w:before="0" w:after="240"/>
        <w:jc w:val="left"/>
        <w:rPr>
          <w:rFonts w:ascii="Arial;sans-serif" w:hAnsi="Arial;sans-serif"/>
          <w:b w:val="false"/>
          <w:color w:val="000000"/>
          <w:sz w:val="18"/>
        </w:rPr>
      </w:pPr>
      <w:r>
        <w:rPr>
          <w:rFonts w:ascii="Arial;sans-serif" w:hAnsi="Arial;sans-serif"/>
          <w:b w:val="false"/>
          <w:color w:val="000000"/>
          <w:sz w:val="18"/>
        </w:rPr>
        <w:t>Contacts:</w:t>
      </w:r>
    </w:p>
    <w:p>
      <w:pPr>
        <w:pStyle w:val="TextBody"/>
        <w:bidi w:val="0"/>
        <w:spacing w:lineRule="auto" w:line="288" w:before="0" w:after="0"/>
        <w:jc w:val="left"/>
        <w:rPr>
          <w:rFonts w:ascii="Arial;sans-serif" w:hAnsi="Arial;sans-serif"/>
          <w:b/>
          <w:color w:val="000000"/>
          <w:sz w:val="18"/>
        </w:rPr>
      </w:pPr>
      <w:r>
        <w:rPr>
          <w:rFonts w:ascii="Arial;sans-serif" w:hAnsi="Arial;sans-serif"/>
          <w:b/>
          <w:color w:val="000000"/>
          <w:sz w:val="18"/>
        </w:rPr>
        <w:t>Media</w:t>
      </w:r>
    </w:p>
    <w:p>
      <w:pPr>
        <w:pStyle w:val="TextBody"/>
        <w:bidi w:val="0"/>
        <w:spacing w:lineRule="auto" w:line="288" w:before="0" w:after="0"/>
        <w:jc w:val="left"/>
        <w:rPr/>
      </w:pPr>
      <w:r>
        <w:rPr>
          <w:rFonts w:ascii="Arial;sans-serif" w:hAnsi="Arial;sans-serif"/>
          <w:b w:val="false"/>
          <w:color w:val="000000"/>
          <w:sz w:val="18"/>
        </w:rPr>
        <w:t xml:space="preserve">Media, </w:t>
      </w:r>
      <w:r>
        <w:rPr>
          <w:rFonts w:ascii="Arial;sans-serif" w:hAnsi="Arial;sans-serif"/>
          <w:b w:val="false"/>
          <w:color w:val="0000FF"/>
          <w:sz w:val="18"/>
          <w:u w:val="single"/>
        </w:rPr>
        <w:t>media@salliemae.com</w:t>
      </w:r>
      <w:r>
        <w:rPr>
          <w:color w:val="000000"/>
        </w:rPr>
        <w:t xml:space="preserve"> </w: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18"/>
        </w:rPr>
      </w:pPr>
      <w:r>
        <w:rPr>
          <w:rFonts w:ascii="Arial;sans-serif" w:hAnsi="Arial;sans-serif"/>
          <w:b/>
          <w:color w:val="000000"/>
          <w:sz w:val="18"/>
        </w:rPr>
        <w:t>Investors</w:t>
      </w:r>
    </w:p>
    <w:p>
      <w:pPr>
        <w:pStyle w:val="TextBody"/>
        <w:bidi w:val="0"/>
        <w:spacing w:lineRule="auto" w:line="288" w:before="0" w:after="0"/>
        <w:jc w:val="left"/>
        <w:rPr/>
      </w:pPr>
      <w:r>
        <w:rPr>
          <w:rFonts w:ascii="Arial;sans-serif" w:hAnsi="Arial;sans-serif"/>
          <w:b w:val="false"/>
          <w:color w:val="000000"/>
          <w:sz w:val="18"/>
        </w:rPr>
        <w:t xml:space="preserve">Investor Relations, </w:t>
      </w:r>
      <w:r>
        <w:rPr>
          <w:rFonts w:ascii="Arial;sans-serif" w:hAnsi="Arial;sans-serif"/>
          <w:b w:val="false"/>
          <w:color w:val="0000FF"/>
          <w:sz w:val="18"/>
          <w:u w:val="single"/>
        </w:rPr>
        <w:t>IR@salliemae.com</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75260"/>
                <wp:effectExtent l="0" t="0" r="0" b="0"/>
                <wp:wrapNone/>
                <wp:docPr id="5"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right"/>
        <w:rPr/>
      </w:pPr>
      <w:r>
        <w:rPr/>
      </w:r>
    </w:p>
    <w:p>
      <w:pPr>
        <w:pStyle w:val="TextBody"/>
        <w:bidi w:val="0"/>
        <w:spacing w:before="0" w:after="0"/>
        <w:jc w:val="right"/>
        <w:rPr/>
      </w:pPr>
      <w:r>
        <w:rPr/>
      </w:r>
    </w:p>
    <w:p>
      <w:pPr>
        <w:pStyle w:val="TextBody"/>
        <w:bidi w:val="0"/>
        <w:spacing w:before="0" w:after="0"/>
        <w:jc w:val="left"/>
        <w:rPr/>
      </w:pPr>
      <w:r>
        <w:rPr/>
        <w:drawing>
          <wp:inline distT="0" distB="0" distL="0" distR="0">
            <wp:extent cx="1638300" cy="304800"/>
            <wp:effectExtent l="0" t="0" r="0" b="0"/>
            <wp:docPr id="6"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2" descr=""/>
                    <pic:cNvPicPr>
                      <a:picLocks noChangeAspect="1" noChangeArrowheads="1"/>
                    </pic:cNvPicPr>
                  </pic:nvPicPr>
                  <pic:blipFill>
                    <a:blip r:embed="rId3"/>
                    <a:stretch>
                      <a:fillRect/>
                    </a:stretch>
                  </pic:blipFill>
                  <pic:spPr bwMode="auto">
                    <a:xfrm>
                      <a:off x="0" y="0"/>
                      <a:ext cx="1638300" cy="304800"/>
                    </a:xfrm>
                    <a:prstGeom prst="rect">
                      <a:avLst/>
                    </a:prstGeom>
                  </pic:spPr>
                </pic:pic>
              </a:graphicData>
            </a:graphic>
          </wp:inline>
        </w:drawing>
      </w:r>
    </w:p>
    <w:p>
      <w:pPr>
        <w:pStyle w:val="TextBody"/>
        <w:bidi w:val="0"/>
        <w:spacing w:before="0" w:after="0"/>
        <w:jc w:val="left"/>
        <w:rPr/>
      </w:pPr>
      <w:r>
        <w:rPr/>
      </w:r>
    </w:p>
    <w:tbl>
      <w:tblPr>
        <w:tblW w:w="8772" w:type="dxa"/>
        <w:jc w:val="left"/>
        <w:tblInd w:w="0" w:type="dxa"/>
        <w:tblLayout w:type="fixed"/>
        <w:tblCellMar>
          <w:top w:w="28" w:type="dxa"/>
          <w:left w:w="28" w:type="dxa"/>
          <w:bottom w:w="28" w:type="dxa"/>
          <w:right w:w="28" w:type="dxa"/>
        </w:tblCellMar>
      </w:tblPr>
      <w:tblGrid>
        <w:gridCol w:w="1043"/>
        <w:gridCol w:w="917"/>
        <w:gridCol w:w="917"/>
        <w:gridCol w:w="917"/>
        <w:gridCol w:w="917"/>
        <w:gridCol w:w="917"/>
        <w:gridCol w:w="917"/>
        <w:gridCol w:w="917"/>
        <w:gridCol w:w="1310"/>
      </w:tblGrid>
      <w:tr>
        <w:trPr/>
        <w:tc>
          <w:tcPr>
            <w:tcW w:w="1043" w:type="dxa"/>
            <w:tcBorders/>
            <w:vAlign w:val="center"/>
          </w:tcPr>
          <w:p>
            <w:pPr>
              <w:pStyle w:val="TableContents"/>
              <w:bidi w:val="0"/>
              <w:spacing w:before="0" w:after="283"/>
              <w:jc w:val="left"/>
              <w:rPr>
                <w:sz w:val="4"/>
                <w:szCs w:val="4"/>
              </w:rPr>
            </w:pPr>
            <w:r>
              <w:rPr>
                <w:sz w:val="4"/>
                <w:szCs w:val="4"/>
              </w:rPr>
            </w:r>
          </w:p>
        </w:tc>
        <w:tc>
          <w:tcPr>
            <w:tcW w:w="917" w:type="dxa"/>
            <w:tcBorders/>
            <w:vAlign w:val="center"/>
          </w:tcPr>
          <w:p>
            <w:pPr>
              <w:pStyle w:val="TableContents"/>
              <w:bidi w:val="0"/>
              <w:spacing w:before="0" w:after="283"/>
              <w:jc w:val="left"/>
              <w:rPr>
                <w:sz w:val="4"/>
                <w:szCs w:val="4"/>
              </w:rPr>
            </w:pPr>
            <w:r>
              <w:rPr>
                <w:sz w:val="4"/>
                <w:szCs w:val="4"/>
              </w:rPr>
            </w:r>
          </w:p>
        </w:tc>
        <w:tc>
          <w:tcPr>
            <w:tcW w:w="917" w:type="dxa"/>
            <w:tcBorders/>
            <w:vAlign w:val="center"/>
          </w:tcPr>
          <w:p>
            <w:pPr>
              <w:pStyle w:val="TableContents"/>
              <w:bidi w:val="0"/>
              <w:spacing w:before="0" w:after="283"/>
              <w:jc w:val="left"/>
              <w:rPr>
                <w:sz w:val="4"/>
                <w:szCs w:val="4"/>
              </w:rPr>
            </w:pPr>
            <w:r>
              <w:rPr>
                <w:sz w:val="4"/>
                <w:szCs w:val="4"/>
              </w:rPr>
            </w:r>
          </w:p>
        </w:tc>
        <w:tc>
          <w:tcPr>
            <w:tcW w:w="917" w:type="dxa"/>
            <w:tcBorders/>
            <w:vAlign w:val="center"/>
          </w:tcPr>
          <w:p>
            <w:pPr>
              <w:pStyle w:val="TableContents"/>
              <w:bidi w:val="0"/>
              <w:spacing w:before="0" w:after="283"/>
              <w:jc w:val="left"/>
              <w:rPr>
                <w:sz w:val="4"/>
                <w:szCs w:val="4"/>
              </w:rPr>
            </w:pPr>
            <w:r>
              <w:rPr>
                <w:sz w:val="4"/>
                <w:szCs w:val="4"/>
              </w:rPr>
            </w:r>
          </w:p>
        </w:tc>
        <w:tc>
          <w:tcPr>
            <w:tcW w:w="917" w:type="dxa"/>
            <w:tcBorders/>
            <w:vAlign w:val="center"/>
          </w:tcPr>
          <w:p>
            <w:pPr>
              <w:pStyle w:val="TableContents"/>
              <w:bidi w:val="0"/>
              <w:spacing w:before="0" w:after="283"/>
              <w:jc w:val="left"/>
              <w:rPr>
                <w:sz w:val="4"/>
                <w:szCs w:val="4"/>
              </w:rPr>
            </w:pPr>
            <w:r>
              <w:rPr>
                <w:sz w:val="4"/>
                <w:szCs w:val="4"/>
              </w:rPr>
            </w:r>
          </w:p>
        </w:tc>
        <w:tc>
          <w:tcPr>
            <w:tcW w:w="917" w:type="dxa"/>
            <w:tcBorders/>
            <w:vAlign w:val="center"/>
          </w:tcPr>
          <w:p>
            <w:pPr>
              <w:pStyle w:val="TableContents"/>
              <w:bidi w:val="0"/>
              <w:spacing w:before="0" w:after="283"/>
              <w:jc w:val="left"/>
              <w:rPr>
                <w:sz w:val="4"/>
                <w:szCs w:val="4"/>
              </w:rPr>
            </w:pPr>
            <w:r>
              <w:rPr>
                <w:sz w:val="4"/>
                <w:szCs w:val="4"/>
              </w:rPr>
            </w:r>
          </w:p>
        </w:tc>
        <w:tc>
          <w:tcPr>
            <w:tcW w:w="917" w:type="dxa"/>
            <w:tcBorders/>
            <w:vAlign w:val="center"/>
          </w:tcPr>
          <w:p>
            <w:pPr>
              <w:pStyle w:val="TableContents"/>
              <w:bidi w:val="0"/>
              <w:spacing w:before="0" w:after="283"/>
              <w:jc w:val="left"/>
              <w:rPr>
                <w:sz w:val="4"/>
                <w:szCs w:val="4"/>
              </w:rPr>
            </w:pPr>
            <w:r>
              <w:rPr>
                <w:sz w:val="4"/>
                <w:szCs w:val="4"/>
              </w:rPr>
            </w:r>
          </w:p>
        </w:tc>
        <w:tc>
          <w:tcPr>
            <w:tcW w:w="917" w:type="dxa"/>
            <w:tcBorders/>
            <w:vAlign w:val="center"/>
          </w:tcPr>
          <w:p>
            <w:pPr>
              <w:pStyle w:val="TableContents"/>
              <w:bidi w:val="0"/>
              <w:spacing w:before="0" w:after="283"/>
              <w:jc w:val="left"/>
              <w:rPr>
                <w:sz w:val="4"/>
                <w:szCs w:val="4"/>
              </w:rPr>
            </w:pPr>
            <w:r>
              <w:rPr>
                <w:sz w:val="4"/>
                <w:szCs w:val="4"/>
              </w:rPr>
            </w:r>
          </w:p>
        </w:tc>
        <w:tc>
          <w:tcPr>
            <w:tcW w:w="1310" w:type="dxa"/>
            <w:tcBorders/>
            <w:vAlign w:val="center"/>
          </w:tcPr>
          <w:p>
            <w:pPr>
              <w:pStyle w:val="TableContents"/>
              <w:bidi w:val="0"/>
              <w:spacing w:before="0" w:after="283"/>
              <w:jc w:val="left"/>
              <w:rPr>
                <w:sz w:val="4"/>
                <w:szCs w:val="4"/>
              </w:rPr>
            </w:pPr>
            <w:r>
              <w:rPr>
                <w:sz w:val="4"/>
                <w:szCs w:val="4"/>
              </w:rPr>
            </w:r>
          </w:p>
        </w:tc>
      </w:tr>
      <w:tr>
        <w:trPr/>
        <w:tc>
          <w:tcPr>
            <w:tcW w:w="8772" w:type="dxa"/>
            <w:gridSpan w:val="9"/>
            <w:tcBorders/>
            <w:shd w:fill="0C0034" w:val="clear"/>
            <w:tcMar>
              <w:top w:w="0" w:type="dxa"/>
              <w:left w:w="0" w:type="dxa"/>
              <w:bottom w:w="0" w:type="dxa"/>
              <w:right w:w="0" w:type="dxa"/>
            </w:tcMar>
            <w:vAlign w:val="center"/>
          </w:tcPr>
          <w:p>
            <w:pPr>
              <w:pStyle w:val="TableContents"/>
              <w:bidi w:val="0"/>
              <w:spacing w:before="240" w:after="283"/>
              <w:jc w:val="center"/>
              <w:rPr/>
            </w:pPr>
            <w:r>
              <w:rPr/>
            </w:r>
          </w:p>
          <w:p>
            <w:pPr>
              <w:pStyle w:val="TableContents"/>
              <w:bidi w:val="0"/>
              <w:spacing w:lineRule="auto" w:line="240" w:before="0" w:after="0"/>
              <w:jc w:val="center"/>
              <w:rPr>
                <w:rFonts w:ascii="Arial;sans-serif" w:hAnsi="Arial;sans-serif"/>
                <w:b/>
                <w:color w:val="DED7FA"/>
                <w:sz w:val="36"/>
              </w:rPr>
            </w:pPr>
            <w:r>
              <w:rPr>
                <w:rFonts w:ascii="Arial;sans-serif" w:hAnsi="Arial;sans-serif"/>
                <w:b/>
                <w:color w:val="DED7FA"/>
                <w:sz w:val="36"/>
              </w:rPr>
              <w:t xml:space="preserve">Sallie Mae Second Quarter 2026 Financial Results </w:t>
            </w:r>
          </w:p>
        </w:tc>
      </w:tr>
    </w:tbl>
    <w:p>
      <w:pPr>
        <w:pStyle w:val="TextBody"/>
        <w:bidi w:val="0"/>
        <w:spacing w:before="0" w:after="0"/>
        <w:jc w:val="right"/>
        <w:rPr/>
      </w:pPr>
      <w:r>
        <w:rPr/>
      </w:r>
    </w:p>
    <w:p>
      <w:pPr>
        <w:pStyle w:val="TextBody"/>
        <w:bidi w:val="0"/>
        <w:spacing w:lineRule="auto" w:line="288" w:before="0" w:after="0"/>
        <w:jc w:val="left"/>
        <w:rPr/>
      </w:pPr>
      <w:r>
        <w:rPr>
          <w:rFonts w:ascii="Arial;sans-serif" w:hAnsi="Arial;sans-serif"/>
          <w:b/>
          <w:color w:val="000000"/>
          <w:sz w:val="22"/>
        </w:rPr>
        <w:t>NEWARK, Del., July 23, 2026</w:t>
      </w:r>
      <w:r>
        <w:rPr>
          <w:color w:val="000000"/>
        </w:rPr>
        <w:t xml:space="preserve"> — </w:t>
      </w:r>
      <w:r>
        <w:rPr>
          <w:rFonts w:ascii="Arial;sans-serif" w:hAnsi="Arial;sans-serif"/>
          <w:b w:val="false"/>
          <w:color w:val="000000"/>
          <w:sz w:val="22"/>
        </w:rPr>
        <w:t>Sallie Mae (Nasdaq:SLM), formally SLM Corporation, today released its second quarter 2026 financial results.</w:t>
      </w:r>
    </w:p>
    <w:tbl>
      <w:tblPr>
        <w:tblW w:w="8728" w:type="dxa"/>
        <w:jc w:val="center"/>
        <w:tblInd w:w="0" w:type="dxa"/>
        <w:tblLayout w:type="fixed"/>
        <w:tblCellMar>
          <w:top w:w="28" w:type="dxa"/>
          <w:left w:w="28" w:type="dxa"/>
          <w:bottom w:w="28" w:type="dxa"/>
          <w:right w:w="28" w:type="dxa"/>
        </w:tblCellMar>
      </w:tblPr>
      <w:tblGrid>
        <w:gridCol w:w="830"/>
        <w:gridCol w:w="730"/>
        <w:gridCol w:w="734"/>
        <w:gridCol w:w="1882"/>
        <w:gridCol w:w="1882"/>
        <w:gridCol w:w="2670"/>
      </w:tblGrid>
      <w:tr>
        <w:trPr/>
        <w:tc>
          <w:tcPr>
            <w:tcW w:w="830" w:type="dxa"/>
            <w:tcBorders/>
            <w:vAlign w:val="center"/>
          </w:tcPr>
          <w:p>
            <w:pPr>
              <w:pStyle w:val="TableContents"/>
              <w:bidi w:val="0"/>
              <w:spacing w:before="0" w:after="283"/>
              <w:jc w:val="left"/>
              <w:rPr>
                <w:sz w:val="4"/>
                <w:szCs w:val="4"/>
              </w:rPr>
            </w:pPr>
            <w:r>
              <w:rPr>
                <w:sz w:val="4"/>
                <w:szCs w:val="4"/>
              </w:rPr>
            </w:r>
          </w:p>
        </w:tc>
        <w:tc>
          <w:tcPr>
            <w:tcW w:w="730"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1882" w:type="dxa"/>
            <w:tcBorders/>
            <w:vAlign w:val="center"/>
          </w:tcPr>
          <w:p>
            <w:pPr>
              <w:pStyle w:val="TableContents"/>
              <w:bidi w:val="0"/>
              <w:spacing w:before="0" w:after="283"/>
              <w:jc w:val="left"/>
              <w:rPr>
                <w:sz w:val="4"/>
                <w:szCs w:val="4"/>
              </w:rPr>
            </w:pPr>
            <w:r>
              <w:rPr>
                <w:sz w:val="4"/>
                <w:szCs w:val="4"/>
              </w:rPr>
            </w:r>
          </w:p>
        </w:tc>
        <w:tc>
          <w:tcPr>
            <w:tcW w:w="1882" w:type="dxa"/>
            <w:tcBorders/>
            <w:vAlign w:val="center"/>
          </w:tcPr>
          <w:p>
            <w:pPr>
              <w:pStyle w:val="TableContents"/>
              <w:bidi w:val="0"/>
              <w:spacing w:before="0" w:after="283"/>
              <w:jc w:val="left"/>
              <w:rPr>
                <w:sz w:val="4"/>
                <w:szCs w:val="4"/>
              </w:rPr>
            </w:pPr>
            <w:r>
              <w:rPr>
                <w:sz w:val="4"/>
                <w:szCs w:val="4"/>
              </w:rPr>
            </w:r>
          </w:p>
        </w:tc>
        <w:tc>
          <w:tcPr>
            <w:tcW w:w="2670" w:type="dxa"/>
            <w:tcBorders/>
            <w:vAlign w:val="center"/>
          </w:tcPr>
          <w:p>
            <w:pPr>
              <w:pStyle w:val="TableContents"/>
              <w:bidi w:val="0"/>
              <w:spacing w:before="0" w:after="283"/>
              <w:jc w:val="left"/>
              <w:rPr>
                <w:sz w:val="4"/>
                <w:szCs w:val="4"/>
              </w:rPr>
            </w:pPr>
            <w:r>
              <w:rPr>
                <w:sz w:val="4"/>
                <w:szCs w:val="4"/>
              </w:rPr>
            </w:r>
          </w:p>
        </w:tc>
      </w:tr>
      <w:tr>
        <w:trPr/>
        <w:tc>
          <w:tcPr>
            <w:tcW w:w="2294" w:type="dxa"/>
            <w:gridSpan w:val="3"/>
            <w:tcBorders/>
            <w:tcMar>
              <w:top w:w="0" w:type="dxa"/>
              <w:left w:w="0" w:type="dxa"/>
              <w:bottom w:w="0" w:type="dxa"/>
              <w:right w:w="0" w:type="dxa"/>
            </w:tcMar>
            <w:vAlign w:val="center"/>
          </w:tcPr>
          <w:p>
            <w:pPr>
              <w:pStyle w:val="TableContents"/>
              <w:bidi w:val="0"/>
              <w:spacing w:before="0" w:after="0"/>
              <w:jc w:val="center"/>
              <w:rPr/>
            </w:pPr>
            <w:r>
              <w:rPr/>
            </w:r>
          </w:p>
          <w:p>
            <w:pPr>
              <w:pStyle w:val="TableContents"/>
              <w:bidi w:val="0"/>
              <w:spacing w:lineRule="auto" w:line="240" w:before="0" w:after="0"/>
              <w:jc w:val="center"/>
              <w:rPr>
                <w:rFonts w:ascii="Arial;sans-serif" w:hAnsi="Arial;sans-serif"/>
                <w:b/>
                <w:color w:val="6238F8"/>
                <w:sz w:val="36"/>
              </w:rPr>
            </w:pPr>
            <w:r>
              <w:rPr>
                <w:rFonts w:ascii="Arial;sans-serif" w:hAnsi="Arial;sans-serif"/>
                <w:b/>
                <w:color w:val="6238F8"/>
                <w:sz w:val="36"/>
              </w:rPr>
              <w:t>$0.29</w:t>
            </w:r>
          </w:p>
          <w:p>
            <w:pPr>
              <w:pStyle w:val="TableContents"/>
              <w:bidi w:val="0"/>
              <w:spacing w:lineRule="auto" w:line="240" w:before="0" w:after="0"/>
              <w:jc w:val="center"/>
              <w:rPr>
                <w:rFonts w:ascii="Arial;sans-serif" w:hAnsi="Arial;sans-serif"/>
                <w:b/>
                <w:color w:val="0C0034"/>
                <w:sz w:val="20"/>
              </w:rPr>
            </w:pPr>
            <w:r>
              <w:rPr>
                <w:rFonts w:ascii="Arial;sans-serif" w:hAnsi="Arial;sans-serif"/>
                <w:b/>
                <w:color w:val="0C0034"/>
                <w:sz w:val="20"/>
              </w:rPr>
              <w:t>GAAP Diluted Earnings</w:t>
            </w:r>
          </w:p>
          <w:p>
            <w:pPr>
              <w:pStyle w:val="TableContents"/>
              <w:bidi w:val="0"/>
              <w:spacing w:lineRule="auto" w:line="240" w:before="0" w:after="0"/>
              <w:jc w:val="center"/>
              <w:rPr>
                <w:rFonts w:ascii="Arial;sans-serif" w:hAnsi="Arial;sans-serif"/>
                <w:b/>
                <w:color w:val="0C0034"/>
                <w:sz w:val="20"/>
              </w:rPr>
            </w:pPr>
            <w:r>
              <w:rPr>
                <w:rFonts w:ascii="Arial;sans-serif" w:hAnsi="Arial;sans-serif"/>
                <w:b/>
                <w:color w:val="0C0034"/>
                <w:sz w:val="20"/>
              </w:rPr>
              <w:t>Per Common Share</w:t>
            </w:r>
          </w:p>
        </w:tc>
        <w:tc>
          <w:tcPr>
            <w:tcW w:w="6434" w:type="dxa"/>
            <w:gridSpan w:val="3"/>
            <w:tcBorders>
              <w:left w:val="single" w:sz="2" w:space="0" w:color="000000"/>
            </w:tcBorders>
            <w:tcMar>
              <w:top w:w="0" w:type="dxa"/>
              <w:bottom w:w="0" w:type="dxa"/>
              <w:right w:w="0" w:type="dxa"/>
            </w:tcMar>
            <w:vAlign w:val="center"/>
          </w:tcPr>
          <w:p>
            <w:pPr>
              <w:pStyle w:val="TableContents"/>
              <w:bidi w:val="0"/>
              <w:spacing w:before="0" w:after="0"/>
              <w:jc w:val="center"/>
              <w:rPr/>
            </w:pPr>
            <w:r>
              <w:rPr/>
            </w:r>
          </w:p>
          <w:p>
            <w:pPr>
              <w:pStyle w:val="TableContents"/>
              <w:bidi w:val="0"/>
              <w:spacing w:lineRule="auto" w:line="240" w:before="0" w:after="0"/>
              <w:jc w:val="center"/>
              <w:rPr>
                <w:rFonts w:ascii="Arial;sans-serif" w:hAnsi="Arial;sans-serif"/>
                <w:b/>
                <w:color w:val="6238F8"/>
                <w:sz w:val="36"/>
              </w:rPr>
            </w:pPr>
            <w:r>
              <w:rPr>
                <w:rFonts w:ascii="Arial;sans-serif" w:hAnsi="Arial;sans-serif"/>
                <w:b/>
                <w:color w:val="6238F8"/>
                <w:sz w:val="36"/>
              </w:rPr>
              <w:t>4.5%</w:t>
            </w:r>
          </w:p>
          <w:p>
            <w:pPr>
              <w:pStyle w:val="TableContents"/>
              <w:bidi w:val="0"/>
              <w:spacing w:lineRule="auto" w:line="240" w:before="0" w:after="0"/>
              <w:jc w:val="center"/>
              <w:rPr>
                <w:rFonts w:ascii="Arial;sans-serif" w:hAnsi="Arial;sans-serif"/>
                <w:b/>
                <w:color w:val="0C0034"/>
                <w:sz w:val="20"/>
              </w:rPr>
            </w:pPr>
            <w:r>
              <w:rPr>
                <w:rFonts w:ascii="Arial;sans-serif" w:hAnsi="Arial;sans-serif"/>
                <w:b/>
                <w:color w:val="0C0034"/>
                <w:sz w:val="20"/>
              </w:rPr>
              <w:t>Private Education Loan Originations Growth from Year-Ago Quarter</w:t>
            </w:r>
          </w:p>
        </w:tc>
      </w:tr>
      <w:tr>
        <w:trPr/>
        <w:tc>
          <w:tcPr>
            <w:tcW w:w="2294" w:type="dxa"/>
            <w:gridSpan w:val="3"/>
            <w:tcBorders>
              <w:top w:val="single" w:sz="2" w:space="0" w:color="000000"/>
            </w:tcBorders>
            <w:tcMar>
              <w:top w:w="52" w:type="dxa"/>
              <w:left w:w="0" w:type="dxa"/>
              <w:bottom w:w="0" w:type="dxa"/>
              <w:right w:w="0" w:type="dxa"/>
            </w:tcMar>
            <w:vAlign w:val="center"/>
          </w:tcPr>
          <w:p>
            <w:pPr>
              <w:pStyle w:val="TableContents"/>
              <w:bidi w:val="0"/>
              <w:spacing w:before="0" w:after="0"/>
              <w:jc w:val="center"/>
              <w:rPr/>
            </w:pPr>
            <w:r>
              <w:rPr/>
            </w:r>
          </w:p>
          <w:p>
            <w:pPr>
              <w:pStyle w:val="TableContents"/>
              <w:bidi w:val="0"/>
              <w:spacing w:lineRule="auto" w:line="240" w:before="0" w:after="0"/>
              <w:jc w:val="center"/>
              <w:rPr>
                <w:rFonts w:ascii="Arial;sans-serif" w:hAnsi="Arial;sans-serif"/>
                <w:b/>
                <w:color w:val="6238F8"/>
                <w:sz w:val="36"/>
              </w:rPr>
            </w:pPr>
            <w:r>
              <w:rPr>
                <w:rFonts w:ascii="Arial;sans-serif" w:hAnsi="Arial;sans-serif"/>
                <w:b/>
                <w:color w:val="6238F8"/>
                <w:sz w:val="36"/>
              </w:rPr>
              <w:t>$113M</w:t>
            </w:r>
          </w:p>
          <w:p>
            <w:pPr>
              <w:pStyle w:val="TableContents"/>
              <w:bidi w:val="0"/>
              <w:spacing w:lineRule="auto" w:line="240" w:before="0" w:after="0"/>
              <w:jc w:val="center"/>
              <w:rPr>
                <w:rFonts w:ascii="Arial;sans-serif" w:hAnsi="Arial;sans-serif"/>
                <w:b/>
                <w:color w:val="0C0034"/>
                <w:sz w:val="20"/>
              </w:rPr>
            </w:pPr>
            <w:r>
              <w:rPr>
                <w:rFonts w:ascii="Arial;sans-serif" w:hAnsi="Arial;sans-serif"/>
                <w:b/>
                <w:color w:val="0C0034"/>
                <w:sz w:val="20"/>
              </w:rPr>
              <w:t>Net Charge-Offs</w:t>
            </w:r>
          </w:p>
        </w:tc>
        <w:tc>
          <w:tcPr>
            <w:tcW w:w="6434" w:type="dxa"/>
            <w:gridSpan w:val="3"/>
            <w:tcBorders>
              <w:top w:val="single" w:sz="2" w:space="0" w:color="000000"/>
              <w:left w:val="single" w:sz="2" w:space="0" w:color="000000"/>
            </w:tcBorders>
            <w:tcMar>
              <w:top w:w="52" w:type="dxa"/>
              <w:bottom w:w="0" w:type="dxa"/>
              <w:right w:w="0" w:type="dxa"/>
            </w:tcMar>
            <w:vAlign w:val="center"/>
          </w:tcPr>
          <w:p>
            <w:pPr>
              <w:pStyle w:val="TableContents"/>
              <w:bidi w:val="0"/>
              <w:spacing w:before="0" w:after="0"/>
              <w:jc w:val="center"/>
              <w:rPr/>
            </w:pPr>
            <w:r>
              <w:rPr/>
            </w:r>
          </w:p>
          <w:p>
            <w:pPr>
              <w:pStyle w:val="TableContents"/>
              <w:bidi w:val="0"/>
              <w:spacing w:lineRule="auto" w:line="240" w:before="0" w:after="0"/>
              <w:jc w:val="center"/>
              <w:rPr>
                <w:rFonts w:ascii="Arial;sans-serif" w:hAnsi="Arial;sans-serif"/>
                <w:b/>
                <w:color w:val="6238F8"/>
                <w:sz w:val="36"/>
              </w:rPr>
            </w:pPr>
            <w:r>
              <w:rPr>
                <w:rFonts w:ascii="Arial;sans-serif" w:hAnsi="Arial;sans-serif"/>
                <w:b/>
                <w:color w:val="6238F8"/>
                <w:sz w:val="36"/>
              </w:rPr>
              <w:t>$195M</w:t>
            </w:r>
          </w:p>
          <w:p>
            <w:pPr>
              <w:pStyle w:val="TableContents"/>
              <w:bidi w:val="0"/>
              <w:spacing w:lineRule="auto" w:line="240" w:before="0" w:after="0"/>
              <w:jc w:val="center"/>
              <w:rPr>
                <w:rFonts w:ascii="Arial;sans-serif" w:hAnsi="Arial;sans-serif"/>
                <w:b/>
                <w:color w:val="0C0034"/>
                <w:sz w:val="20"/>
              </w:rPr>
            </w:pPr>
            <w:r>
              <w:rPr>
                <w:rFonts w:ascii="Arial;sans-serif" w:hAnsi="Arial;sans-serif"/>
                <w:b/>
                <w:color w:val="0C0034"/>
                <w:sz w:val="20"/>
              </w:rPr>
              <w:t>Non-Interest Expenses</w:t>
            </w:r>
          </w:p>
        </w:tc>
      </w:tr>
    </w:tbl>
    <w:p>
      <w:pPr>
        <w:pStyle w:val="TextBody"/>
        <w:bidi w:val="0"/>
        <w:spacing w:before="0" w:after="0"/>
        <w:jc w:val="left"/>
        <w:rPr/>
      </w:pPr>
      <w:r>
        <w:rPr/>
      </w:r>
    </w:p>
    <w:tbl>
      <w:tblPr>
        <w:tblW w:w="10205" w:type="dxa"/>
        <w:jc w:val="center"/>
        <w:tblInd w:w="0" w:type="dxa"/>
        <w:tblLayout w:type="fixed"/>
        <w:tblCellMar>
          <w:top w:w="28" w:type="dxa"/>
          <w:left w:w="28" w:type="dxa"/>
          <w:bottom w:w="28" w:type="dxa"/>
          <w:right w:w="28" w:type="dxa"/>
        </w:tblCellMar>
      </w:tblPr>
      <w:tblGrid>
        <w:gridCol w:w="1245"/>
        <w:gridCol w:w="1094"/>
        <w:gridCol w:w="1094"/>
        <w:gridCol w:w="1094"/>
        <w:gridCol w:w="1094"/>
        <w:gridCol w:w="1094"/>
        <w:gridCol w:w="1094"/>
        <w:gridCol w:w="1094"/>
        <w:gridCol w:w="1144"/>
        <w:gridCol w:w="158"/>
      </w:tblGrid>
      <w:tr>
        <w:trPr/>
        <w:tc>
          <w:tcPr>
            <w:tcW w:w="1245" w:type="dxa"/>
            <w:tcBorders/>
            <w:vAlign w:val="center"/>
          </w:tcPr>
          <w:p>
            <w:pPr>
              <w:pStyle w:val="TableContents"/>
              <w:bidi w:val="0"/>
              <w:spacing w:before="0" w:after="283"/>
              <w:jc w:val="left"/>
              <w:rPr>
                <w:sz w:val="4"/>
                <w:szCs w:val="4"/>
              </w:rPr>
            </w:pPr>
            <w:r>
              <w:rPr>
                <w:sz w:val="4"/>
                <w:szCs w:val="4"/>
              </w:rPr>
            </w:r>
          </w:p>
        </w:tc>
        <w:tc>
          <w:tcPr>
            <w:tcW w:w="1094" w:type="dxa"/>
            <w:tcBorders/>
            <w:vAlign w:val="center"/>
          </w:tcPr>
          <w:p>
            <w:pPr>
              <w:pStyle w:val="TableContents"/>
              <w:bidi w:val="0"/>
              <w:spacing w:before="0" w:after="283"/>
              <w:jc w:val="left"/>
              <w:rPr>
                <w:sz w:val="4"/>
                <w:szCs w:val="4"/>
              </w:rPr>
            </w:pPr>
            <w:r>
              <w:rPr>
                <w:sz w:val="4"/>
                <w:szCs w:val="4"/>
              </w:rPr>
            </w:r>
          </w:p>
        </w:tc>
        <w:tc>
          <w:tcPr>
            <w:tcW w:w="1094" w:type="dxa"/>
            <w:tcBorders/>
            <w:vAlign w:val="center"/>
          </w:tcPr>
          <w:p>
            <w:pPr>
              <w:pStyle w:val="TableContents"/>
              <w:bidi w:val="0"/>
              <w:spacing w:before="0" w:after="283"/>
              <w:jc w:val="left"/>
              <w:rPr>
                <w:sz w:val="4"/>
                <w:szCs w:val="4"/>
              </w:rPr>
            </w:pPr>
            <w:r>
              <w:rPr>
                <w:sz w:val="4"/>
                <w:szCs w:val="4"/>
              </w:rPr>
            </w:r>
          </w:p>
        </w:tc>
        <w:tc>
          <w:tcPr>
            <w:tcW w:w="1094" w:type="dxa"/>
            <w:tcBorders/>
            <w:vAlign w:val="center"/>
          </w:tcPr>
          <w:p>
            <w:pPr>
              <w:pStyle w:val="TableContents"/>
              <w:bidi w:val="0"/>
              <w:spacing w:before="0" w:after="283"/>
              <w:jc w:val="left"/>
              <w:rPr>
                <w:sz w:val="4"/>
                <w:szCs w:val="4"/>
              </w:rPr>
            </w:pPr>
            <w:r>
              <w:rPr>
                <w:sz w:val="4"/>
                <w:szCs w:val="4"/>
              </w:rPr>
            </w:r>
          </w:p>
        </w:tc>
        <w:tc>
          <w:tcPr>
            <w:tcW w:w="1094" w:type="dxa"/>
            <w:tcBorders/>
            <w:vAlign w:val="center"/>
          </w:tcPr>
          <w:p>
            <w:pPr>
              <w:pStyle w:val="TableContents"/>
              <w:bidi w:val="0"/>
              <w:spacing w:before="0" w:after="283"/>
              <w:jc w:val="left"/>
              <w:rPr>
                <w:sz w:val="4"/>
                <w:szCs w:val="4"/>
              </w:rPr>
            </w:pPr>
            <w:r>
              <w:rPr>
                <w:sz w:val="4"/>
                <w:szCs w:val="4"/>
              </w:rPr>
            </w:r>
          </w:p>
        </w:tc>
        <w:tc>
          <w:tcPr>
            <w:tcW w:w="1094" w:type="dxa"/>
            <w:tcBorders/>
            <w:vAlign w:val="center"/>
          </w:tcPr>
          <w:p>
            <w:pPr>
              <w:pStyle w:val="TableContents"/>
              <w:bidi w:val="0"/>
              <w:spacing w:before="0" w:after="283"/>
              <w:jc w:val="left"/>
              <w:rPr>
                <w:sz w:val="4"/>
                <w:szCs w:val="4"/>
              </w:rPr>
            </w:pPr>
            <w:r>
              <w:rPr>
                <w:sz w:val="4"/>
                <w:szCs w:val="4"/>
              </w:rPr>
            </w:r>
          </w:p>
        </w:tc>
        <w:tc>
          <w:tcPr>
            <w:tcW w:w="1094" w:type="dxa"/>
            <w:tcBorders/>
            <w:vAlign w:val="center"/>
          </w:tcPr>
          <w:p>
            <w:pPr>
              <w:pStyle w:val="TableContents"/>
              <w:bidi w:val="0"/>
              <w:spacing w:before="0" w:after="283"/>
              <w:jc w:val="left"/>
              <w:rPr>
                <w:sz w:val="4"/>
                <w:szCs w:val="4"/>
              </w:rPr>
            </w:pPr>
            <w:r>
              <w:rPr>
                <w:sz w:val="4"/>
                <w:szCs w:val="4"/>
              </w:rPr>
            </w:r>
          </w:p>
        </w:tc>
        <w:tc>
          <w:tcPr>
            <w:tcW w:w="1094" w:type="dxa"/>
            <w:tcBorders/>
            <w:vAlign w:val="center"/>
          </w:tcPr>
          <w:p>
            <w:pPr>
              <w:pStyle w:val="TableContents"/>
              <w:bidi w:val="0"/>
              <w:spacing w:before="0" w:after="283"/>
              <w:jc w:val="left"/>
              <w:rPr>
                <w:sz w:val="4"/>
                <w:szCs w:val="4"/>
              </w:rPr>
            </w:pPr>
            <w:r>
              <w:rPr>
                <w:sz w:val="4"/>
                <w:szCs w:val="4"/>
              </w:rPr>
            </w:r>
          </w:p>
        </w:tc>
        <w:tc>
          <w:tcPr>
            <w:tcW w:w="1144" w:type="dxa"/>
            <w:tcBorders/>
            <w:vAlign w:val="center"/>
          </w:tcPr>
          <w:p>
            <w:pPr>
              <w:pStyle w:val="TableContents"/>
              <w:bidi w:val="0"/>
              <w:spacing w:before="0" w:after="283"/>
              <w:jc w:val="left"/>
              <w:rPr>
                <w:sz w:val="4"/>
                <w:szCs w:val="4"/>
              </w:rPr>
            </w:pPr>
            <w:r>
              <w:rPr>
                <w:sz w:val="4"/>
                <w:szCs w:val="4"/>
              </w:rPr>
            </w:r>
          </w:p>
        </w:tc>
        <w:tc>
          <w:tcPr>
            <w:tcW w:w="158" w:type="dxa"/>
            <w:tcBorders/>
          </w:tcPr>
          <w:p>
            <w:pPr>
              <w:pStyle w:val="TableContents"/>
              <w:bidi w:val="0"/>
              <w:spacing w:before="0" w:after="283"/>
              <w:jc w:val="left"/>
              <w:rPr>
                <w:sz w:val="4"/>
                <w:szCs w:val="4"/>
              </w:rPr>
            </w:pPr>
            <w:r>
              <w:rPr>
                <w:sz w:val="4"/>
                <w:szCs w:val="4"/>
              </w:rPr>
            </w:r>
          </w:p>
        </w:tc>
      </w:tr>
      <w:tr>
        <w:trPr/>
        <w:tc>
          <w:tcPr>
            <w:tcW w:w="10047" w:type="dxa"/>
            <w:gridSpan w:val="9"/>
            <w:vMerge w:val="restart"/>
            <w:tcBorders/>
            <w:shd w:fill="0C0034" w:val="clear"/>
            <w:tcMar>
              <w:top w:w="0" w:type="dxa"/>
              <w:left w:w="0" w:type="dxa"/>
              <w:bottom w:w="0" w:type="dxa"/>
              <w:right w:w="0" w:type="dxa"/>
            </w:tcMar>
            <w:vAlign w:val="center"/>
          </w:tcPr>
          <w:p>
            <w:pPr>
              <w:pStyle w:val="TableContents"/>
              <w:bidi w:val="0"/>
              <w:spacing w:lineRule="auto" w:line="240" w:before="0" w:after="0"/>
              <w:jc w:val="left"/>
              <w:rPr>
                <w:color w:val="DED7FA"/>
              </w:rPr>
            </w:pPr>
            <w:r>
              <w:rPr>
                <w:color w:val="DED7FA"/>
              </w:rPr>
              <w:t>“</w:t>
            </w:r>
            <w:r>
              <w:rPr>
                <w:rFonts w:ascii="Arial;sans-serif" w:hAnsi="Arial;sans-serif"/>
                <w:b/>
                <w:color w:val="DED7FA"/>
                <w:sz w:val="18"/>
              </w:rPr>
              <w:t>We delivered a strong second quarter and first half of the year and are encouraged by our momentum as we enter peak season. The product enhancements and investments we’ve made to serve more students and families, combined with the strength of our portfolio and growing customer demand, reinforce our confidence in the outlook for the remainder of 2026 and beyond.”</w:t>
            </w:r>
          </w:p>
          <w:p>
            <w:pPr>
              <w:pStyle w:val="TableContents"/>
              <w:bidi w:val="0"/>
              <w:spacing w:before="0" w:after="0"/>
              <w:jc w:val="left"/>
              <w:rPr/>
            </w:pPr>
            <w:r>
              <w:rPr/>
            </w:r>
          </w:p>
          <w:p>
            <w:pPr>
              <w:pStyle w:val="TableContents"/>
              <w:bidi w:val="0"/>
              <w:spacing w:lineRule="auto" w:line="240" w:before="0" w:after="0"/>
              <w:jc w:val="right"/>
              <w:rPr>
                <w:rFonts w:ascii="Arial;sans-serif" w:hAnsi="Arial;sans-serif"/>
                <w:b/>
                <w:color w:val="DED7FA"/>
                <w:sz w:val="18"/>
              </w:rPr>
            </w:pPr>
            <w:r>
              <w:rPr>
                <w:rFonts w:ascii="Arial;sans-serif" w:hAnsi="Arial;sans-serif"/>
                <w:b/>
                <w:color w:val="DED7FA"/>
                <w:sz w:val="18"/>
              </w:rPr>
              <w:t>Jonathan Witter, CEO, Sallie Mae</w:t>
            </w:r>
          </w:p>
        </w:tc>
        <w:tc>
          <w:tcPr>
            <w:tcW w:w="158" w:type="dxa"/>
            <w:tcBorders/>
          </w:tcPr>
          <w:p>
            <w:pPr>
              <w:pStyle w:val="TableContents"/>
              <w:bidi w:val="0"/>
              <w:spacing w:before="0" w:after="283"/>
              <w:jc w:val="left"/>
              <w:rPr>
                <w:sz w:val="4"/>
                <w:szCs w:val="4"/>
              </w:rPr>
            </w:pPr>
            <w:r>
              <w:rPr>
                <w:sz w:val="4"/>
                <w:szCs w:val="4"/>
              </w:rPr>
            </w:r>
          </w:p>
        </w:tc>
      </w:tr>
      <w:tr>
        <w:trPr/>
        <w:tc>
          <w:tcPr>
            <w:tcW w:w="10047" w:type="dxa"/>
            <w:gridSpan w:val="9"/>
            <w:vMerge w:val="continue"/>
            <w:tcBorders/>
            <w:shd w:fill="0C0034" w:val="clear"/>
            <w:tcMar>
              <w:top w:w="0" w:type="dxa"/>
              <w:left w:w="0" w:type="dxa"/>
              <w:bottom w:w="0" w:type="dxa"/>
              <w:right w:w="0" w:type="dxa"/>
            </w:tcMar>
            <w:vAlign w:val="center"/>
          </w:tcPr>
          <w:p>
            <w:pPr>
              <w:pStyle w:val="Normal"/>
              <w:bidi w:val="0"/>
              <w:jc w:val="left"/>
              <w:rPr/>
            </w:pPr>
            <w:r>
              <w:rPr/>
            </w:r>
          </w:p>
        </w:tc>
        <w:tc>
          <w:tcPr>
            <w:tcW w:w="158"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1263"/>
        <w:gridCol w:w="1112"/>
        <w:gridCol w:w="1114"/>
        <w:gridCol w:w="1966"/>
        <w:gridCol w:w="1966"/>
        <w:gridCol w:w="2784"/>
      </w:tblGrid>
      <w:tr>
        <w:trPr/>
        <w:tc>
          <w:tcPr>
            <w:tcW w:w="1263" w:type="dxa"/>
            <w:tcBorders/>
            <w:vAlign w:val="center"/>
          </w:tcPr>
          <w:p>
            <w:pPr>
              <w:pStyle w:val="TableContents"/>
              <w:bidi w:val="0"/>
              <w:spacing w:before="0" w:after="283"/>
              <w:jc w:val="left"/>
              <w:rPr>
                <w:sz w:val="4"/>
                <w:szCs w:val="4"/>
              </w:rPr>
            </w:pPr>
            <w:r>
              <w:rPr>
                <w:sz w:val="4"/>
                <w:szCs w:val="4"/>
              </w:rPr>
            </w:r>
          </w:p>
        </w:tc>
        <w:tc>
          <w:tcPr>
            <w:tcW w:w="1112" w:type="dxa"/>
            <w:tcBorders/>
            <w:vAlign w:val="center"/>
          </w:tcPr>
          <w:p>
            <w:pPr>
              <w:pStyle w:val="TableContents"/>
              <w:bidi w:val="0"/>
              <w:spacing w:before="0" w:after="283"/>
              <w:jc w:val="left"/>
              <w:rPr>
                <w:sz w:val="4"/>
                <w:szCs w:val="4"/>
              </w:rPr>
            </w:pPr>
            <w:r>
              <w:rPr>
                <w:sz w:val="4"/>
                <w:szCs w:val="4"/>
              </w:rPr>
            </w:r>
          </w:p>
        </w:tc>
        <w:tc>
          <w:tcPr>
            <w:tcW w:w="1114" w:type="dxa"/>
            <w:tcBorders/>
            <w:vAlign w:val="center"/>
          </w:tcPr>
          <w:p>
            <w:pPr>
              <w:pStyle w:val="TableContents"/>
              <w:bidi w:val="0"/>
              <w:spacing w:before="0" w:after="283"/>
              <w:jc w:val="left"/>
              <w:rPr>
                <w:sz w:val="4"/>
                <w:szCs w:val="4"/>
              </w:rPr>
            </w:pPr>
            <w:r>
              <w:rPr>
                <w:sz w:val="4"/>
                <w:szCs w:val="4"/>
              </w:rPr>
            </w:r>
          </w:p>
        </w:tc>
        <w:tc>
          <w:tcPr>
            <w:tcW w:w="1966" w:type="dxa"/>
            <w:tcBorders/>
            <w:vAlign w:val="center"/>
          </w:tcPr>
          <w:p>
            <w:pPr>
              <w:pStyle w:val="TableContents"/>
              <w:bidi w:val="0"/>
              <w:spacing w:before="0" w:after="283"/>
              <w:jc w:val="left"/>
              <w:rPr>
                <w:sz w:val="4"/>
                <w:szCs w:val="4"/>
              </w:rPr>
            </w:pPr>
            <w:r>
              <w:rPr>
                <w:sz w:val="4"/>
                <w:szCs w:val="4"/>
              </w:rPr>
            </w:r>
          </w:p>
        </w:tc>
        <w:tc>
          <w:tcPr>
            <w:tcW w:w="1966" w:type="dxa"/>
            <w:tcBorders/>
            <w:vAlign w:val="center"/>
          </w:tcPr>
          <w:p>
            <w:pPr>
              <w:pStyle w:val="TableContents"/>
              <w:bidi w:val="0"/>
              <w:spacing w:before="0" w:after="283"/>
              <w:jc w:val="left"/>
              <w:rPr>
                <w:sz w:val="4"/>
                <w:szCs w:val="4"/>
              </w:rPr>
            </w:pPr>
            <w:r>
              <w:rPr>
                <w:sz w:val="4"/>
                <w:szCs w:val="4"/>
              </w:rPr>
            </w:r>
          </w:p>
        </w:tc>
        <w:tc>
          <w:tcPr>
            <w:tcW w:w="2784" w:type="dxa"/>
            <w:tcBorders/>
            <w:vAlign w:val="center"/>
          </w:tcPr>
          <w:p>
            <w:pPr>
              <w:pStyle w:val="TableContents"/>
              <w:bidi w:val="0"/>
              <w:spacing w:before="0" w:after="283"/>
              <w:jc w:val="left"/>
              <w:rPr>
                <w:sz w:val="4"/>
                <w:szCs w:val="4"/>
              </w:rPr>
            </w:pPr>
            <w:r>
              <w:rPr>
                <w:sz w:val="4"/>
                <w:szCs w:val="4"/>
              </w:rPr>
            </w:r>
          </w:p>
        </w:tc>
      </w:tr>
      <w:tr>
        <w:trPr/>
        <w:tc>
          <w:tcPr>
            <w:tcW w:w="348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4DE8"/>
                <w:sz w:val="24"/>
              </w:rPr>
            </w:pPr>
            <w:r>
              <w:rPr>
                <w:rFonts w:ascii="Arial;sans-serif" w:hAnsi="Arial;sans-serif"/>
                <w:b/>
                <w:color w:val="004DE8"/>
                <w:sz w:val="24"/>
              </w:rPr>
              <w:t>Second Quarter Results Reflect Stable Earnings Performance and Continued Originations Growth</w:t>
            </w:r>
          </w:p>
        </w:tc>
        <w:tc>
          <w:tcPr>
            <w:tcW w:w="6716" w:type="dxa"/>
            <w:gridSpan w:val="3"/>
            <w:tcBorders/>
            <w:tcMar>
              <w:top w:w="0" w:type="dxa"/>
              <w:left w:w="0" w:type="dxa"/>
              <w:bottom w:w="0" w:type="dxa"/>
              <w:right w:w="0" w:type="dxa"/>
            </w:tcMar>
            <w:vAlign w:val="center"/>
          </w:tcPr>
          <w:p>
            <w:pPr>
              <w:pStyle w:val="TableContents"/>
              <w:bidi w:val="0"/>
              <w:spacing w:lineRule="auto" w:line="240" w:before="0" w:after="160"/>
              <w:ind w:left="0" w:right="0" w:hanging="180"/>
              <w:jc w:val="left"/>
              <w:rPr/>
            </w:pPr>
            <w:r>
              <w:rPr>
                <w:color w:val="004DE8"/>
              </w:rPr>
              <w:t>•</w:t>
            </w:r>
            <w:r>
              <w:rPr>
                <w:rFonts w:ascii="Arial;sans-serif" w:hAnsi="Arial;sans-serif"/>
                <w:b w:val="false"/>
                <w:color w:val="000000"/>
                <w:sz w:val="22"/>
              </w:rPr>
              <w:t xml:space="preserve">GAAP diluted earnings per common share were </w:t>
            </w:r>
            <w:r>
              <w:rPr>
                <w:rFonts w:ascii="Arial;sans-serif" w:hAnsi="Arial;sans-serif"/>
                <w:b/>
                <w:color w:val="000000"/>
                <w:sz w:val="22"/>
              </w:rPr>
              <w:t>$0.29</w:t>
            </w:r>
            <w:r>
              <w:rPr>
                <w:rFonts w:ascii="Arial;sans-serif" w:hAnsi="Arial;sans-serif"/>
                <w:b w:val="false"/>
                <w:color w:val="000000"/>
                <w:sz w:val="22"/>
              </w:rPr>
              <w:t>,</w:t>
            </w:r>
            <w:r>
              <w:rPr>
                <w:color w:val="000000"/>
              </w:rPr>
              <w:t xml:space="preserve"> </w:t>
            </w:r>
            <w:r>
              <w:rPr>
                <w:rFonts w:ascii="Arial;sans-serif" w:hAnsi="Arial;sans-serif"/>
                <w:b w:val="false"/>
                <w:color w:val="000000"/>
                <w:sz w:val="22"/>
              </w:rPr>
              <w:t xml:space="preserve">a decrease from </w:t>
            </w:r>
            <w:r>
              <w:rPr>
                <w:rFonts w:ascii="Arial;sans-serif" w:hAnsi="Arial;sans-serif"/>
                <w:b/>
                <w:color w:val="000000"/>
                <w:sz w:val="22"/>
              </w:rPr>
              <w:t xml:space="preserve">$0.32 </w:t>
            </w:r>
            <w:r>
              <w:rPr>
                <w:rFonts w:ascii="Arial;sans-serif" w:hAnsi="Arial;sans-serif"/>
                <w:b w:val="false"/>
                <w:color w:val="000000"/>
                <w:sz w:val="22"/>
              </w:rPr>
              <w:t>in the year-ago quarter but consistent with expectations and representing continued demand for Private Education Loans and disciplined decisions across funding, expenses, and capital management.</w:t>
            </w:r>
          </w:p>
          <w:p>
            <w:pPr>
              <w:pStyle w:val="TableContents"/>
              <w:bidi w:val="0"/>
              <w:spacing w:lineRule="auto" w:line="240" w:before="0" w:after="160"/>
              <w:ind w:left="0" w:right="0" w:hanging="180"/>
              <w:jc w:val="left"/>
              <w:rPr/>
            </w:pPr>
            <w:r>
              <w:rPr>
                <w:color w:val="004DE8"/>
              </w:rPr>
              <w:t>•</w:t>
            </w:r>
            <w:r>
              <w:rPr>
                <w:rFonts w:ascii="Arial;sans-serif" w:hAnsi="Arial;sans-serif"/>
                <w:b w:val="false"/>
                <w:color w:val="000000"/>
                <w:sz w:val="22"/>
              </w:rPr>
              <w:t xml:space="preserve">Private Education Loan originations increased </w:t>
            </w:r>
            <w:r>
              <w:rPr>
                <w:rFonts w:ascii="Arial;sans-serif" w:hAnsi="Arial;sans-serif"/>
                <w:b/>
                <w:color w:val="000000"/>
                <w:sz w:val="22"/>
              </w:rPr>
              <w:t>4.5%</w:t>
            </w:r>
            <w:r>
              <w:rPr>
                <w:color w:val="000000"/>
              </w:rPr>
              <w:t xml:space="preserve"> </w:t>
            </w:r>
            <w:r>
              <w:rPr>
                <w:rFonts w:ascii="Arial;sans-serif" w:hAnsi="Arial;sans-serif"/>
                <w:b w:val="false"/>
                <w:color w:val="000000"/>
                <w:sz w:val="22"/>
              </w:rPr>
              <w:t>from the year-ago quarter.</w:t>
            </w:r>
          </w:p>
          <w:p>
            <w:pPr>
              <w:pStyle w:val="TableContents"/>
              <w:bidi w:val="0"/>
              <w:spacing w:lineRule="auto" w:line="240" w:before="0" w:after="160"/>
              <w:ind w:left="0" w:right="0" w:hanging="180"/>
              <w:jc w:val="left"/>
              <w:rPr/>
            </w:pPr>
            <w:r>
              <w:rPr>
                <w:color w:val="004DE8"/>
              </w:rPr>
              <w:t>•</w:t>
            </w:r>
            <w:r>
              <w:rPr>
                <w:rFonts w:ascii="Arial;sans-serif" w:hAnsi="Arial;sans-serif"/>
                <w:b w:val="false"/>
                <w:color w:val="000000"/>
                <w:sz w:val="22"/>
              </w:rPr>
              <w:t xml:space="preserve">Average loans outstanding, net, totaled </w:t>
            </w:r>
            <w:r>
              <w:rPr>
                <w:rFonts w:ascii="Arial;sans-serif" w:hAnsi="Arial;sans-serif"/>
                <w:b/>
                <w:color w:val="000000"/>
                <w:sz w:val="22"/>
              </w:rPr>
              <w:t xml:space="preserve">$21.1 billion </w:t>
            </w:r>
            <w:r>
              <w:rPr>
                <w:rFonts w:ascii="Arial;sans-serif" w:hAnsi="Arial;sans-serif"/>
                <w:b w:val="false"/>
                <w:color w:val="000000"/>
                <w:sz w:val="22"/>
              </w:rPr>
              <w:t>during the quarter.</w:t>
            </w:r>
          </w:p>
          <w:p>
            <w:pPr>
              <w:pStyle w:val="TableContents"/>
              <w:bidi w:val="0"/>
              <w:spacing w:before="60" w:after="283"/>
              <w:ind w:left="0" w:right="0" w:firstLine="180"/>
              <w:jc w:val="left"/>
              <w:rPr/>
            </w:pPr>
            <w:r>
              <w:rPr/>
            </w:r>
          </w:p>
        </w:tc>
      </w:tr>
      <w:tr>
        <w:trPr/>
        <w:tc>
          <w:tcPr>
            <w:tcW w:w="3489" w:type="dxa"/>
            <w:gridSpan w:val="3"/>
            <w:tcBorders>
              <w:top w:val="single" w:sz="2" w:space="0" w:color="000000"/>
              <w:bottom w:val="single" w:sz="2" w:space="0" w:color="000000"/>
            </w:tcBorders>
            <w:tcMar>
              <w:top w:w="52" w:type="dxa"/>
              <w:left w:w="0" w:type="dxa"/>
              <w:bottom w:w="30" w:type="dxa"/>
              <w:right w:w="0" w:type="dxa"/>
            </w:tcMar>
            <w:vAlign w:val="center"/>
          </w:tcPr>
          <w:p>
            <w:pPr>
              <w:pStyle w:val="TableContents"/>
              <w:bidi w:val="0"/>
              <w:spacing w:lineRule="auto" w:line="240" w:before="300" w:after="283"/>
              <w:jc w:val="left"/>
              <w:rPr>
                <w:rFonts w:ascii="Arial;sans-serif" w:hAnsi="Arial;sans-serif"/>
                <w:b/>
                <w:color w:val="004DE8"/>
                <w:sz w:val="24"/>
              </w:rPr>
            </w:pPr>
            <w:r>
              <w:rPr>
                <w:rFonts w:ascii="Arial;sans-serif" w:hAnsi="Arial;sans-serif"/>
                <w:b/>
                <w:color w:val="004DE8"/>
                <w:sz w:val="24"/>
              </w:rPr>
              <w:t>Earnings Supported by Strategic Balance Sheet Actions</w:t>
            </w:r>
          </w:p>
        </w:tc>
        <w:tc>
          <w:tcPr>
            <w:tcW w:w="6716" w:type="dxa"/>
            <w:gridSpan w:val="3"/>
            <w:tcBorders>
              <w:top w:val="single" w:sz="2" w:space="0" w:color="000000"/>
              <w:bottom w:val="single" w:sz="2" w:space="0" w:color="000000"/>
            </w:tcBorders>
            <w:tcMar>
              <w:top w:w="52" w:type="dxa"/>
              <w:left w:w="0" w:type="dxa"/>
              <w:bottom w:w="30" w:type="dxa"/>
              <w:right w:w="0" w:type="dxa"/>
            </w:tcMar>
            <w:vAlign w:val="center"/>
          </w:tcPr>
          <w:p>
            <w:pPr>
              <w:pStyle w:val="TableContents"/>
              <w:bidi w:val="0"/>
              <w:spacing w:lineRule="auto" w:line="240" w:before="0" w:after="160"/>
              <w:ind w:left="0" w:right="0" w:hanging="180"/>
              <w:jc w:val="left"/>
              <w:rPr/>
            </w:pPr>
            <w:r>
              <w:rPr>
                <w:color w:val="004DE8"/>
              </w:rPr>
              <w:t>•</w:t>
            </w:r>
            <w:r>
              <w:rPr>
                <w:rFonts w:ascii="Arial;sans-serif" w:hAnsi="Arial;sans-serif"/>
                <w:b w:val="false"/>
                <w:color w:val="000000"/>
                <w:sz w:val="22"/>
              </w:rPr>
              <w:t xml:space="preserve">Sold $420 million of Private Education Loans, including $399 million of principal and $21 million of capitalized interest through our strategic partnerships business. </w:t>
            </w:r>
          </w:p>
          <w:p>
            <w:pPr>
              <w:pStyle w:val="TableContents"/>
              <w:bidi w:val="0"/>
              <w:spacing w:lineRule="auto" w:line="240" w:before="0" w:after="160"/>
              <w:ind w:left="0" w:right="0" w:hanging="180"/>
              <w:jc w:val="left"/>
              <w:rPr/>
            </w:pPr>
            <w:r>
              <w:rPr>
                <w:color w:val="004DE8"/>
              </w:rPr>
              <w:t>•</w:t>
            </w:r>
            <w:r>
              <w:rPr>
                <w:color w:val="000000"/>
              </w:rPr>
              <w:t> </w:t>
            </w:r>
            <w:r>
              <w:rPr>
                <w:rFonts w:ascii="Arial;sans-serif" w:hAnsi="Arial;sans-serif"/>
                <w:b w:val="false"/>
                <w:color w:val="000000"/>
                <w:sz w:val="22"/>
              </w:rPr>
              <w:t xml:space="preserve">The Company issued </w:t>
            </w:r>
            <w:r>
              <w:rPr>
                <w:rFonts w:ascii="Arial;sans-serif" w:hAnsi="Arial;sans-serif"/>
                <w:b/>
                <w:color w:val="000000"/>
                <w:sz w:val="22"/>
              </w:rPr>
              <w:t>$500 million</w:t>
            </w:r>
            <w:r>
              <w:rPr>
                <w:color w:val="000000"/>
              </w:rPr>
              <w:t xml:space="preserve"> </w:t>
            </w:r>
            <w:r>
              <w:rPr>
                <w:rFonts w:ascii="Arial;sans-serif" w:hAnsi="Arial;sans-serif"/>
                <w:b w:val="false"/>
                <w:color w:val="000000"/>
                <w:sz w:val="22"/>
              </w:rPr>
              <w:t xml:space="preserve">of unsecured Senior Notes in May 2026, using the proceeds to complete a cash tender offer and satisfaction and discharge of the </w:t>
            </w:r>
            <w:r>
              <w:rPr>
                <w:rFonts w:ascii="Arial;sans-serif" w:hAnsi="Arial;sans-serif"/>
                <w:b/>
                <w:color w:val="000000"/>
                <w:sz w:val="22"/>
              </w:rPr>
              <w:t>$500 million</w:t>
            </w:r>
            <w:r>
              <w:rPr>
                <w:color w:val="000000"/>
              </w:rPr>
              <w:t xml:space="preserve"> </w:t>
            </w:r>
            <w:r>
              <w:rPr>
                <w:rFonts w:ascii="Arial;sans-serif" w:hAnsi="Arial;sans-serif"/>
                <w:b w:val="false"/>
                <w:color w:val="000000"/>
                <w:sz w:val="22"/>
              </w:rPr>
              <w:t xml:space="preserve">outstanding unsecured Senior Notes due in November 2026. </w:t>
            </w:r>
          </w:p>
          <w:p>
            <w:pPr>
              <w:pStyle w:val="TableContents"/>
              <w:bidi w:val="0"/>
              <w:spacing w:lineRule="auto" w:line="240" w:before="0" w:after="160"/>
              <w:ind w:left="0" w:right="0" w:hanging="180"/>
              <w:jc w:val="left"/>
              <w:rPr/>
            </w:pPr>
            <w:r>
              <w:rPr>
                <w:color w:val="004DE8"/>
              </w:rPr>
              <w:t>•</w:t>
            </w:r>
            <w:r>
              <w:rPr>
                <w:rFonts w:ascii="Arial;sans-serif" w:hAnsi="Arial;sans-serif"/>
                <w:b w:val="false"/>
                <w:color w:val="000000"/>
                <w:sz w:val="22"/>
              </w:rPr>
              <w:t xml:space="preserve">Non-interest expenses totaled </w:t>
            </w:r>
            <w:r>
              <w:rPr>
                <w:rFonts w:ascii="Arial;sans-serif" w:hAnsi="Arial;sans-serif"/>
                <w:b/>
                <w:color w:val="000000"/>
                <w:sz w:val="22"/>
              </w:rPr>
              <w:t>$195 million</w:t>
            </w:r>
            <w:r>
              <w:rPr>
                <w:rFonts w:ascii="Arial;sans-serif" w:hAnsi="Arial;sans-serif"/>
                <w:b w:val="false"/>
                <w:color w:val="000000"/>
                <w:sz w:val="22"/>
              </w:rPr>
              <w:t>, as the Company launched new and enhanced loan products in preparation for peak season expansion due to PLUS reform. Full year non-interest expenses are anticipated to remain consistent with the Company’s expectations and full year guidance.</w:t>
            </w:r>
          </w:p>
          <w:p>
            <w:pPr>
              <w:pStyle w:val="TableContents"/>
              <w:bidi w:val="0"/>
              <w:spacing w:lineRule="auto" w:line="240" w:before="0" w:after="160"/>
              <w:ind w:left="0" w:right="0" w:hanging="180"/>
              <w:jc w:val="left"/>
              <w:rPr/>
            </w:pPr>
            <w:r>
              <w:rPr>
                <w:color w:val="004DE8"/>
              </w:rPr>
              <w:t>•</w:t>
            </w:r>
            <w:r>
              <w:rPr>
                <w:rFonts w:ascii="Arial;sans-serif" w:hAnsi="Arial;sans-serif"/>
                <w:b w:val="false"/>
                <w:color w:val="000000"/>
                <w:sz w:val="22"/>
              </w:rPr>
              <w:t xml:space="preserve">Earnings for the quarter were supported by a </w:t>
            </w:r>
            <w:r>
              <w:rPr>
                <w:rFonts w:ascii="Arial;sans-serif" w:hAnsi="Arial;sans-serif"/>
                <w:b/>
                <w:color w:val="000000"/>
                <w:sz w:val="22"/>
              </w:rPr>
              <w:t>lower cost of funds, 4.13%</w:t>
            </w:r>
            <w:r>
              <w:rPr>
                <w:rFonts w:ascii="Arial;sans-serif" w:hAnsi="Arial;sans-serif"/>
                <w:b w:val="false"/>
                <w:color w:val="000000"/>
                <w:sz w:val="22"/>
              </w:rPr>
              <w:t xml:space="preserve">, compared to 4.22% in the year-ago quarter. </w:t>
            </w:r>
          </w:p>
          <w:p>
            <w:pPr>
              <w:pStyle w:val="TableContents"/>
              <w:bidi w:val="0"/>
              <w:spacing w:before="0" w:after="160"/>
              <w:ind w:left="0" w:right="0" w:firstLine="180"/>
              <w:jc w:val="left"/>
              <w:rPr/>
            </w:pPr>
            <w:r>
              <w:rPr/>
            </w:r>
          </w:p>
        </w:tc>
      </w:tr>
    </w:tbl>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75260"/>
                <wp:effectExtent l="0" t="0" r="0" b="0"/>
                <wp:wrapNone/>
                <wp:docPr id="7"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1143"/>
        <w:gridCol w:w="1006"/>
        <w:gridCol w:w="1008"/>
        <w:gridCol w:w="2145"/>
        <w:gridCol w:w="2024"/>
        <w:gridCol w:w="2879"/>
      </w:tblGrid>
      <w:tr>
        <w:trPr/>
        <w:tc>
          <w:tcPr>
            <w:tcW w:w="1143"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sz w:val="4"/>
                <w:szCs w:val="4"/>
              </w:rPr>
            </w:pPr>
            <w:r>
              <w:rPr>
                <w:sz w:val="4"/>
                <w:szCs w:val="4"/>
              </w:rPr>
            </w:r>
          </w:p>
        </w:tc>
        <w:tc>
          <w:tcPr>
            <w:tcW w:w="2145" w:type="dxa"/>
            <w:tcBorders/>
            <w:vAlign w:val="center"/>
          </w:tcPr>
          <w:p>
            <w:pPr>
              <w:pStyle w:val="TableContents"/>
              <w:bidi w:val="0"/>
              <w:spacing w:before="0" w:after="283"/>
              <w:jc w:val="left"/>
              <w:rPr>
                <w:sz w:val="4"/>
                <w:szCs w:val="4"/>
              </w:rPr>
            </w:pPr>
            <w:r>
              <w:rPr>
                <w:sz w:val="4"/>
                <w:szCs w:val="4"/>
              </w:rPr>
            </w:r>
          </w:p>
        </w:tc>
        <w:tc>
          <w:tcPr>
            <w:tcW w:w="2024" w:type="dxa"/>
            <w:tcBorders/>
            <w:vAlign w:val="center"/>
          </w:tcPr>
          <w:p>
            <w:pPr>
              <w:pStyle w:val="TableContents"/>
              <w:bidi w:val="0"/>
              <w:spacing w:before="0" w:after="283"/>
              <w:jc w:val="left"/>
              <w:rPr>
                <w:sz w:val="4"/>
                <w:szCs w:val="4"/>
              </w:rPr>
            </w:pPr>
            <w:r>
              <w:rPr>
                <w:sz w:val="4"/>
                <w:szCs w:val="4"/>
              </w:rPr>
            </w:r>
          </w:p>
        </w:tc>
        <w:tc>
          <w:tcPr>
            <w:tcW w:w="2879" w:type="dxa"/>
            <w:tcBorders/>
            <w:vAlign w:val="center"/>
          </w:tcPr>
          <w:p>
            <w:pPr>
              <w:pStyle w:val="TableContents"/>
              <w:bidi w:val="0"/>
              <w:spacing w:before="0" w:after="283"/>
              <w:jc w:val="left"/>
              <w:rPr>
                <w:sz w:val="4"/>
                <w:szCs w:val="4"/>
              </w:rPr>
            </w:pPr>
            <w:r>
              <w:rPr>
                <w:sz w:val="4"/>
                <w:szCs w:val="4"/>
              </w:rPr>
            </w:r>
          </w:p>
        </w:tc>
      </w:tr>
      <w:tr>
        <w:trPr/>
        <w:tc>
          <w:tcPr>
            <w:tcW w:w="3157"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4DE8"/>
                <w:sz w:val="24"/>
              </w:rPr>
            </w:pPr>
            <w:r>
              <w:rPr>
                <w:rFonts w:ascii="Arial;sans-serif" w:hAnsi="Arial;sans-serif"/>
                <w:b/>
                <w:color w:val="004DE8"/>
                <w:sz w:val="24"/>
              </w:rPr>
              <w:t>Capital Deployment Demonstrates Balanced Growth and Earnings Performance</w:t>
            </w:r>
          </w:p>
        </w:tc>
        <w:tc>
          <w:tcPr>
            <w:tcW w:w="7048" w:type="dxa"/>
            <w:gridSpan w:val="3"/>
            <w:tcBorders/>
            <w:tcMar>
              <w:top w:w="0" w:type="dxa"/>
              <w:left w:w="0" w:type="dxa"/>
              <w:bottom w:w="0" w:type="dxa"/>
              <w:right w:w="0" w:type="dxa"/>
            </w:tcMar>
            <w:vAlign w:val="center"/>
          </w:tcPr>
          <w:p>
            <w:pPr>
              <w:pStyle w:val="TableContents"/>
              <w:bidi w:val="0"/>
              <w:spacing w:lineRule="auto" w:line="240" w:before="0" w:after="160"/>
              <w:ind w:left="0" w:right="0" w:hanging="180"/>
              <w:jc w:val="left"/>
              <w:rPr/>
            </w:pPr>
            <w:r>
              <w:rPr>
                <w:color w:val="004DE8"/>
              </w:rPr>
              <w:t>•</w:t>
            </w:r>
            <w:r>
              <w:rPr>
                <w:rFonts w:ascii="Arial;sans-serif" w:hAnsi="Arial;sans-serif"/>
                <w:b w:val="false"/>
                <w:color w:val="000000"/>
                <w:sz w:val="22"/>
              </w:rPr>
              <w:t xml:space="preserve">The Company’s </w:t>
            </w:r>
            <w:r>
              <w:rPr>
                <w:rFonts w:ascii="Arial;sans-serif" w:hAnsi="Arial;sans-serif"/>
                <w:b/>
                <w:color w:val="000000"/>
                <w:sz w:val="22"/>
              </w:rPr>
              <w:t>$200 million</w:t>
            </w:r>
            <w:r>
              <w:rPr>
                <w:color w:val="000000"/>
              </w:rPr>
              <w:t xml:space="preserve"> </w:t>
            </w:r>
            <w:r>
              <w:rPr>
                <w:rFonts w:ascii="Arial;sans-serif" w:hAnsi="Arial;sans-serif"/>
                <w:b w:val="false"/>
                <w:color w:val="000000"/>
                <w:sz w:val="22"/>
              </w:rPr>
              <w:t xml:space="preserve">accelerated share repurchase (“ASR”) concluded in June 2026, including the final delivery of </w:t>
            </w:r>
            <w:r>
              <w:rPr>
                <w:rFonts w:ascii="Arial;sans-serif" w:hAnsi="Arial;sans-serif"/>
                <w:b/>
                <w:color w:val="000000"/>
                <w:sz w:val="22"/>
              </w:rPr>
              <w:t xml:space="preserve">0.9 million </w:t>
            </w:r>
            <w:r>
              <w:rPr>
                <w:rFonts w:ascii="Arial;sans-serif" w:hAnsi="Arial;sans-serif"/>
                <w:b w:val="false"/>
                <w:color w:val="000000"/>
                <w:sz w:val="22"/>
              </w:rPr>
              <w:t>shares in the second quarter, resulting in a total of</w:t>
            </w:r>
            <w:r>
              <w:rPr>
                <w:color w:val="000000"/>
              </w:rPr>
              <w:t xml:space="preserve"> </w:t>
            </w:r>
            <w:r>
              <w:rPr>
                <w:rFonts w:ascii="Arial;sans-serif" w:hAnsi="Arial;sans-serif"/>
                <w:b/>
                <w:color w:val="000000"/>
                <w:sz w:val="22"/>
              </w:rPr>
              <w:t>9.3 million</w:t>
            </w:r>
            <w:r>
              <w:rPr>
                <w:color w:val="000000"/>
              </w:rPr>
              <w:t xml:space="preserve"> </w:t>
            </w:r>
            <w:r>
              <w:rPr>
                <w:rFonts w:ascii="Arial;sans-serif" w:hAnsi="Arial;sans-serif"/>
                <w:b w:val="false"/>
                <w:color w:val="000000"/>
                <w:sz w:val="22"/>
              </w:rPr>
              <w:t>shares repurchased under the ASR</w:t>
            </w:r>
            <w:r>
              <w:rPr>
                <w:rFonts w:ascii="Arial;sans-serif" w:hAnsi="Arial;sans-serif"/>
                <w:b/>
                <w:color w:val="000000"/>
                <w:sz w:val="22"/>
              </w:rPr>
              <w:t>.</w:t>
            </w:r>
          </w:p>
          <w:p>
            <w:pPr>
              <w:pStyle w:val="TableContents"/>
              <w:bidi w:val="0"/>
              <w:spacing w:lineRule="auto" w:line="240" w:before="0" w:after="160"/>
              <w:ind w:left="0" w:right="0" w:hanging="180"/>
              <w:jc w:val="left"/>
              <w:rPr/>
            </w:pPr>
            <w:r>
              <w:rPr>
                <w:color w:val="004DE8"/>
              </w:rPr>
              <w:t>•</w:t>
            </w:r>
            <w:r>
              <w:rPr>
                <w:rFonts w:ascii="Arial;sans-serif" w:hAnsi="Arial;sans-serif"/>
                <w:b w:val="false"/>
                <w:color w:val="000000"/>
                <w:sz w:val="22"/>
              </w:rPr>
              <w:t xml:space="preserve">At June 30, 2026, </w:t>
            </w:r>
            <w:r>
              <w:rPr>
                <w:rFonts w:ascii="Arial;sans-serif" w:hAnsi="Arial;sans-serif"/>
                <w:b/>
                <w:color w:val="000000"/>
                <w:sz w:val="22"/>
              </w:rPr>
              <w:t>$242 million</w:t>
            </w:r>
            <w:r>
              <w:rPr>
                <w:color w:val="000000"/>
              </w:rPr>
              <w:t xml:space="preserve"> </w:t>
            </w:r>
            <w:r>
              <w:rPr>
                <w:rFonts w:ascii="Arial;sans-serif" w:hAnsi="Arial;sans-serif"/>
                <w:b w:val="false"/>
                <w:color w:val="000000"/>
                <w:sz w:val="22"/>
              </w:rPr>
              <w:t xml:space="preserve">of capacity remained available under the Company’s 2026 Share Repurchase Program. </w:t>
            </w:r>
          </w:p>
          <w:p>
            <w:pPr>
              <w:pStyle w:val="TableContents"/>
              <w:bidi w:val="0"/>
              <w:spacing w:lineRule="auto" w:line="240" w:before="0" w:after="160"/>
              <w:ind w:left="0" w:right="0" w:hanging="180"/>
              <w:jc w:val="left"/>
              <w:rPr/>
            </w:pPr>
            <w:r>
              <w:rPr>
                <w:color w:val="004DE8"/>
              </w:rPr>
              <w:t>•</w:t>
            </w:r>
            <w:r>
              <w:rPr>
                <w:rFonts w:ascii="Arial;sans-serif" w:hAnsi="Arial;sans-serif"/>
                <w:b w:val="false"/>
                <w:color w:val="000000"/>
                <w:sz w:val="22"/>
              </w:rPr>
              <w:t xml:space="preserve">On June 15, 2026, the Company paid a quarterly common stock dividend of </w:t>
            </w:r>
            <w:r>
              <w:rPr>
                <w:rFonts w:ascii="Arial;sans-serif" w:hAnsi="Arial;sans-serif"/>
                <w:b/>
                <w:color w:val="000000"/>
                <w:sz w:val="22"/>
              </w:rPr>
              <w:t xml:space="preserve">$0.13 </w:t>
            </w:r>
            <w:r>
              <w:rPr>
                <w:rFonts w:ascii="Arial;sans-serif" w:hAnsi="Arial;sans-serif"/>
                <w:b w:val="false"/>
                <w:color w:val="000000"/>
                <w:sz w:val="22"/>
              </w:rPr>
              <w:t>per share.</w:t>
            </w:r>
          </w:p>
          <w:p>
            <w:pPr>
              <w:pStyle w:val="TableContents"/>
              <w:bidi w:val="0"/>
              <w:spacing w:before="60" w:after="283"/>
              <w:ind w:left="0" w:right="0" w:firstLine="180"/>
              <w:jc w:val="left"/>
              <w:rPr/>
            </w:pPr>
            <w:r>
              <w:rPr/>
            </w:r>
          </w:p>
        </w:tc>
      </w:tr>
      <w:tr>
        <w:trPr/>
        <w:tc>
          <w:tcPr>
            <w:tcW w:w="3157" w:type="dxa"/>
            <w:gridSpan w:val="3"/>
            <w:tcBorders>
              <w:top w:val="single" w:sz="2" w:space="0" w:color="000000"/>
              <w:bottom w:val="single" w:sz="2" w:space="0" w:color="000000"/>
            </w:tcBorders>
            <w:tcMar>
              <w:top w:w="52" w:type="dxa"/>
              <w:left w:w="0" w:type="dxa"/>
              <w:bottom w:w="30" w:type="dxa"/>
              <w:right w:w="0" w:type="dxa"/>
            </w:tcMar>
            <w:vAlign w:val="center"/>
          </w:tcPr>
          <w:p>
            <w:pPr>
              <w:pStyle w:val="TableContents"/>
              <w:bidi w:val="0"/>
              <w:spacing w:lineRule="auto" w:line="240" w:before="0" w:after="0"/>
              <w:jc w:val="left"/>
              <w:rPr>
                <w:rFonts w:ascii="Arial;sans-serif" w:hAnsi="Arial;sans-serif"/>
                <w:b/>
                <w:color w:val="004DE8"/>
                <w:sz w:val="24"/>
              </w:rPr>
            </w:pPr>
            <w:r>
              <w:rPr>
                <w:rFonts w:ascii="Arial;sans-serif" w:hAnsi="Arial;sans-serif"/>
                <w:b/>
                <w:color w:val="004DE8"/>
                <w:sz w:val="24"/>
              </w:rPr>
              <w:t>Credit Performance within Expectations</w:t>
            </w:r>
          </w:p>
        </w:tc>
        <w:tc>
          <w:tcPr>
            <w:tcW w:w="7048" w:type="dxa"/>
            <w:gridSpan w:val="3"/>
            <w:tcBorders>
              <w:top w:val="single" w:sz="2" w:space="0" w:color="000000"/>
              <w:bottom w:val="single" w:sz="2" w:space="0" w:color="000000"/>
            </w:tcBorders>
            <w:tcMar>
              <w:top w:w="52" w:type="dxa"/>
              <w:left w:w="0" w:type="dxa"/>
              <w:bottom w:w="30" w:type="dxa"/>
              <w:right w:w="0" w:type="dxa"/>
            </w:tcMar>
            <w:vAlign w:val="center"/>
          </w:tcPr>
          <w:p>
            <w:pPr>
              <w:pStyle w:val="TableContents"/>
              <w:bidi w:val="0"/>
              <w:spacing w:lineRule="auto" w:line="240" w:before="0" w:after="160"/>
              <w:ind w:left="0" w:right="0" w:hanging="180"/>
              <w:jc w:val="left"/>
              <w:rPr/>
            </w:pPr>
            <w:r>
              <w:rPr>
                <w:color w:val="004DE8"/>
              </w:rPr>
              <w:t>•</w:t>
            </w:r>
            <w:r>
              <w:rPr>
                <w:rFonts w:ascii="Arial;sans-serif" w:hAnsi="Arial;sans-serif"/>
                <w:b w:val="false"/>
                <w:color w:val="000000"/>
                <w:sz w:val="22"/>
              </w:rPr>
              <w:t xml:space="preserve">Net charge-offs were </w:t>
            </w:r>
            <w:r>
              <w:rPr>
                <w:rFonts w:ascii="Arial;sans-serif" w:hAnsi="Arial;sans-serif"/>
                <w:b/>
                <w:color w:val="000000"/>
                <w:sz w:val="22"/>
              </w:rPr>
              <w:t>$113 million</w:t>
            </w:r>
            <w:r>
              <w:rPr>
                <w:rFonts w:ascii="Arial;sans-serif" w:hAnsi="Arial;sans-serif"/>
                <w:b w:val="false"/>
                <w:color w:val="000000"/>
                <w:sz w:val="22"/>
              </w:rPr>
              <w:t xml:space="preserve">, an increase from the year-ago quarter, which we believe is primarily driven by misaligned third-party debt resolution practices affecting a small, high-ability-to-pay segment of borrowers progressing straight through delinquency to default, and related shifts to our recovery strategies. </w:t>
            </w:r>
          </w:p>
          <w:p>
            <w:pPr>
              <w:pStyle w:val="TableContents"/>
              <w:bidi w:val="0"/>
              <w:spacing w:lineRule="auto" w:line="240" w:before="0" w:after="160"/>
              <w:ind w:left="0" w:right="0" w:hanging="180"/>
              <w:jc w:val="left"/>
              <w:rPr/>
            </w:pPr>
            <w:r>
              <w:rPr>
                <w:color w:val="004DE8"/>
              </w:rPr>
              <w:t>•</w:t>
            </w:r>
            <w:r>
              <w:rPr>
                <w:rFonts w:ascii="Arial;sans-serif" w:hAnsi="Arial;sans-serif"/>
                <w:b w:val="false"/>
                <w:color w:val="000000"/>
                <w:sz w:val="22"/>
              </w:rPr>
              <w:t xml:space="preserve">Delinquencies as a percentage of loans in repayment were </w:t>
            </w:r>
            <w:r>
              <w:rPr>
                <w:rFonts w:ascii="Arial;sans-serif" w:hAnsi="Arial;sans-serif"/>
                <w:b/>
                <w:color w:val="000000"/>
                <w:sz w:val="22"/>
              </w:rPr>
              <w:t>3.72%</w:t>
            </w:r>
            <w:r>
              <w:rPr>
                <w:color w:val="000000"/>
              </w:rPr>
              <w:t xml:space="preserve"> </w:t>
            </w:r>
            <w:r>
              <w:rPr>
                <w:rFonts w:ascii="Arial;sans-serif" w:hAnsi="Arial;sans-serif"/>
                <w:b w:val="false"/>
                <w:color w:val="000000"/>
                <w:sz w:val="22"/>
              </w:rPr>
              <w:t xml:space="preserve">for the second quarter of 2026, compared with </w:t>
            </w:r>
            <w:r>
              <w:rPr>
                <w:rFonts w:ascii="Arial;sans-serif" w:hAnsi="Arial;sans-serif"/>
                <w:b/>
                <w:color w:val="000000"/>
                <w:sz w:val="22"/>
              </w:rPr>
              <w:t>3.51%</w:t>
            </w:r>
            <w:r>
              <w:rPr>
                <w:color w:val="000000"/>
              </w:rPr>
              <w:t xml:space="preserve"> </w:t>
            </w:r>
            <w:r>
              <w:rPr>
                <w:rFonts w:ascii="Arial;sans-serif" w:hAnsi="Arial;sans-serif"/>
                <w:b w:val="false"/>
                <w:color w:val="000000"/>
                <w:sz w:val="22"/>
              </w:rPr>
              <w:t>for the second quarter of 2025.</w:t>
            </w:r>
          </w:p>
          <w:p>
            <w:pPr>
              <w:pStyle w:val="TableContents"/>
              <w:bidi w:val="0"/>
              <w:spacing w:before="0" w:after="160"/>
              <w:ind w:left="0" w:right="0" w:firstLine="180"/>
              <w:jc w:val="left"/>
              <w:rPr/>
            </w:pPr>
            <w:r>
              <w:rPr/>
            </w:r>
          </w:p>
        </w:tc>
      </w:tr>
    </w:tbl>
    <w:p>
      <w:pPr>
        <w:pStyle w:val="TextBody"/>
        <w:bidi w:val="0"/>
        <w:spacing w:before="0" w:after="0"/>
        <w:ind w:left="0" w:right="0" w:firstLine="720"/>
        <w:jc w:val="left"/>
        <w:rPr/>
      </w:pPr>
      <w:r>
        <w:rPr/>
      </w:r>
    </w:p>
    <w:p>
      <w:pPr>
        <w:pStyle w:val="TextBody"/>
        <w:bidi w:val="0"/>
        <w:spacing w:before="0" w:after="0"/>
        <w:ind w:left="0" w:right="0" w:firstLine="720"/>
        <w:jc w:val="left"/>
        <w:rPr/>
      </w:pPr>
      <w:r>
        <w:rPr/>
      </w:r>
    </w:p>
    <w:p>
      <w:pPr>
        <w:pStyle w:val="TextBody"/>
        <w:bidi w:val="0"/>
        <w:spacing w:lineRule="auto" w:line="288" w:before="0" w:after="0"/>
        <w:jc w:val="left"/>
        <w:rPr>
          <w:rFonts w:ascii="Arial;sans-serif" w:hAnsi="Arial;sans-serif"/>
          <w:b/>
          <w:color w:val="00B0F0"/>
          <w:sz w:val="28"/>
        </w:rPr>
      </w:pPr>
      <w:r>
        <w:rPr>
          <w:rFonts w:ascii="Arial;sans-serif" w:hAnsi="Arial;sans-serif"/>
          <w:b/>
          <w:color w:val="00B0F0"/>
          <w:sz w:val="28"/>
        </w:rPr>
        <w:t>2026 Guidance*</w:t>
      </w:r>
    </w:p>
    <w:p>
      <w:pPr>
        <w:pStyle w:val="TextBody"/>
        <w:bidi w:val="0"/>
        <w:spacing w:lineRule="auto" w:line="288" w:before="60" w:after="283"/>
        <w:jc w:val="left"/>
        <w:rPr>
          <w:rFonts w:ascii="Arial;sans-serif" w:hAnsi="Arial;sans-serif"/>
          <w:b w:val="false"/>
          <w:color w:val="000000"/>
          <w:sz w:val="24"/>
        </w:rPr>
      </w:pPr>
      <w:r>
        <w:rPr>
          <w:rFonts w:ascii="Arial;sans-serif" w:hAnsi="Arial;sans-serif"/>
          <w:b w:val="false"/>
          <w:color w:val="000000"/>
          <w:sz w:val="24"/>
        </w:rPr>
        <w:t>For the full-year 2026, the Company expects:</w:t>
      </w:r>
    </w:p>
    <w:tbl>
      <w:tblPr>
        <w:tblW w:w="7949" w:type="dxa"/>
        <w:jc w:val="center"/>
        <w:tblInd w:w="0" w:type="dxa"/>
        <w:tblLayout w:type="fixed"/>
        <w:tblCellMar>
          <w:top w:w="28" w:type="dxa"/>
          <w:left w:w="28" w:type="dxa"/>
          <w:bottom w:w="28" w:type="dxa"/>
          <w:right w:w="28" w:type="dxa"/>
        </w:tblCellMar>
      </w:tblPr>
      <w:tblGrid>
        <w:gridCol w:w="804"/>
        <w:gridCol w:w="707"/>
        <w:gridCol w:w="709"/>
        <w:gridCol w:w="1675"/>
        <w:gridCol w:w="1675"/>
        <w:gridCol w:w="2379"/>
      </w:tblGrid>
      <w:tr>
        <w:trPr/>
        <w:tc>
          <w:tcPr>
            <w:tcW w:w="804"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709" w:type="dxa"/>
            <w:tcBorders/>
            <w:vAlign w:val="center"/>
          </w:tcPr>
          <w:p>
            <w:pPr>
              <w:pStyle w:val="TableContents"/>
              <w:bidi w:val="0"/>
              <w:spacing w:before="0" w:after="283"/>
              <w:jc w:val="left"/>
              <w:rPr>
                <w:sz w:val="4"/>
                <w:szCs w:val="4"/>
              </w:rPr>
            </w:pPr>
            <w:r>
              <w:rPr>
                <w:sz w:val="4"/>
                <w:szCs w:val="4"/>
              </w:rPr>
            </w:r>
          </w:p>
        </w:tc>
        <w:tc>
          <w:tcPr>
            <w:tcW w:w="1675" w:type="dxa"/>
            <w:tcBorders/>
            <w:vAlign w:val="center"/>
          </w:tcPr>
          <w:p>
            <w:pPr>
              <w:pStyle w:val="TableContents"/>
              <w:bidi w:val="0"/>
              <w:spacing w:before="0" w:after="283"/>
              <w:jc w:val="left"/>
              <w:rPr>
                <w:sz w:val="4"/>
                <w:szCs w:val="4"/>
              </w:rPr>
            </w:pPr>
            <w:r>
              <w:rPr>
                <w:sz w:val="4"/>
                <w:szCs w:val="4"/>
              </w:rPr>
            </w:r>
          </w:p>
        </w:tc>
        <w:tc>
          <w:tcPr>
            <w:tcW w:w="1675" w:type="dxa"/>
            <w:tcBorders/>
            <w:vAlign w:val="center"/>
          </w:tcPr>
          <w:p>
            <w:pPr>
              <w:pStyle w:val="TableContents"/>
              <w:bidi w:val="0"/>
              <w:spacing w:before="0" w:after="283"/>
              <w:jc w:val="left"/>
              <w:rPr>
                <w:sz w:val="4"/>
                <w:szCs w:val="4"/>
              </w:rPr>
            </w:pPr>
            <w:r>
              <w:rPr>
                <w:sz w:val="4"/>
                <w:szCs w:val="4"/>
              </w:rPr>
            </w:r>
          </w:p>
        </w:tc>
        <w:tc>
          <w:tcPr>
            <w:tcW w:w="2379" w:type="dxa"/>
            <w:tcBorders/>
            <w:vAlign w:val="center"/>
          </w:tcPr>
          <w:p>
            <w:pPr>
              <w:pStyle w:val="TableContents"/>
              <w:bidi w:val="0"/>
              <w:spacing w:before="0" w:after="283"/>
              <w:jc w:val="left"/>
              <w:rPr>
                <w:sz w:val="4"/>
                <w:szCs w:val="4"/>
              </w:rPr>
            </w:pPr>
            <w:r>
              <w:rPr>
                <w:sz w:val="4"/>
                <w:szCs w:val="4"/>
              </w:rPr>
            </w:r>
          </w:p>
        </w:tc>
      </w:tr>
      <w:tr>
        <w:trPr/>
        <w:tc>
          <w:tcPr>
            <w:tcW w:w="2220" w:type="dxa"/>
            <w:gridSpan w:val="3"/>
            <w:tcBorders/>
            <w:tcMar>
              <w:top w:w="0" w:type="dxa"/>
              <w:left w:w="0" w:type="dxa"/>
              <w:bottom w:w="0" w:type="dxa"/>
              <w:right w:w="0" w:type="dxa"/>
            </w:tcMar>
            <w:vAlign w:val="center"/>
          </w:tcPr>
          <w:p>
            <w:pPr>
              <w:pStyle w:val="TableContents"/>
              <w:bidi w:val="0"/>
              <w:spacing w:before="0" w:after="0"/>
              <w:jc w:val="center"/>
              <w:rPr/>
            </w:pPr>
            <w:r>
              <w:rPr/>
            </w:r>
          </w:p>
          <w:p>
            <w:pPr>
              <w:pStyle w:val="TableContents"/>
              <w:bidi w:val="0"/>
              <w:spacing w:lineRule="auto" w:line="240" w:before="0" w:after="0"/>
              <w:jc w:val="center"/>
              <w:rPr>
                <w:rFonts w:ascii="Arial;sans-serif" w:hAnsi="Arial;sans-serif"/>
                <w:b/>
                <w:color w:val="00B0F0"/>
                <w:sz w:val="36"/>
              </w:rPr>
            </w:pPr>
            <w:r>
              <w:rPr>
                <w:rFonts w:ascii="Arial;sans-serif" w:hAnsi="Arial;sans-serif"/>
                <w:b/>
                <w:color w:val="00B0F0"/>
                <w:sz w:val="36"/>
              </w:rPr>
              <w:t>$3.10 - $3.20</w:t>
            </w:r>
          </w:p>
          <w:p>
            <w:pPr>
              <w:pStyle w:val="TableContents"/>
              <w:bidi w:val="0"/>
              <w:spacing w:lineRule="auto" w:line="240" w:before="0" w:after="0"/>
              <w:jc w:val="center"/>
              <w:rPr>
                <w:rFonts w:ascii="Arial;sans-serif" w:hAnsi="Arial;sans-serif"/>
                <w:b/>
                <w:color w:val="0C0034"/>
                <w:sz w:val="20"/>
              </w:rPr>
            </w:pPr>
            <w:r>
              <w:rPr>
                <w:rFonts w:ascii="Arial;sans-serif" w:hAnsi="Arial;sans-serif"/>
                <w:b/>
                <w:color w:val="0C0034"/>
                <w:sz w:val="20"/>
              </w:rPr>
              <w:t>Diluted Earnings</w:t>
            </w:r>
          </w:p>
          <w:p>
            <w:pPr>
              <w:pStyle w:val="TableContents"/>
              <w:bidi w:val="0"/>
              <w:spacing w:lineRule="auto" w:line="240" w:before="0" w:after="0"/>
              <w:jc w:val="center"/>
              <w:rPr>
                <w:rFonts w:ascii="Arial;sans-serif" w:hAnsi="Arial;sans-serif"/>
                <w:b/>
                <w:color w:val="0C0034"/>
                <w:sz w:val="20"/>
              </w:rPr>
            </w:pPr>
            <w:r>
              <w:rPr>
                <w:rFonts w:ascii="Arial;sans-serif" w:hAnsi="Arial;sans-serif"/>
                <w:b/>
                <w:color w:val="0C0034"/>
                <w:sz w:val="20"/>
              </w:rPr>
              <w:t>Per Common Share</w:t>
            </w:r>
          </w:p>
        </w:tc>
        <w:tc>
          <w:tcPr>
            <w:tcW w:w="5729" w:type="dxa"/>
            <w:gridSpan w:val="3"/>
            <w:tcBorders>
              <w:left w:val="single" w:sz="2" w:space="0" w:color="000000"/>
            </w:tcBorders>
            <w:tcMar>
              <w:top w:w="0" w:type="dxa"/>
              <w:bottom w:w="0" w:type="dxa"/>
              <w:right w:w="0" w:type="dxa"/>
            </w:tcMar>
            <w:vAlign w:val="center"/>
          </w:tcPr>
          <w:p>
            <w:pPr>
              <w:pStyle w:val="TableContents"/>
              <w:bidi w:val="0"/>
              <w:spacing w:before="0" w:after="0"/>
              <w:jc w:val="center"/>
              <w:rPr/>
            </w:pPr>
            <w:r>
              <w:rPr/>
            </w:r>
          </w:p>
          <w:p>
            <w:pPr>
              <w:pStyle w:val="TableContents"/>
              <w:bidi w:val="0"/>
              <w:spacing w:lineRule="auto" w:line="240" w:before="0" w:after="0"/>
              <w:jc w:val="center"/>
              <w:rPr>
                <w:rFonts w:ascii="Arial;sans-serif" w:hAnsi="Arial;sans-serif"/>
                <w:b/>
                <w:color w:val="00B0F0"/>
                <w:sz w:val="36"/>
              </w:rPr>
            </w:pPr>
            <w:r>
              <w:rPr>
                <w:rFonts w:ascii="Arial;sans-serif" w:hAnsi="Arial;sans-serif"/>
                <w:b/>
                <w:color w:val="00B0F0"/>
                <w:sz w:val="36"/>
              </w:rPr>
              <w:t>12% - 14%</w:t>
            </w:r>
          </w:p>
          <w:p>
            <w:pPr>
              <w:pStyle w:val="TableContents"/>
              <w:bidi w:val="0"/>
              <w:spacing w:lineRule="auto" w:line="240" w:before="0" w:after="0"/>
              <w:jc w:val="center"/>
              <w:rPr>
                <w:rFonts w:ascii="Arial;sans-serif" w:hAnsi="Arial;sans-serif"/>
                <w:b/>
                <w:color w:val="0C0034"/>
                <w:sz w:val="20"/>
              </w:rPr>
            </w:pPr>
            <w:r>
              <w:rPr>
                <w:rFonts w:ascii="Arial;sans-serif" w:hAnsi="Arial;sans-serif"/>
                <w:b/>
                <w:color w:val="0C0034"/>
                <w:sz w:val="20"/>
              </w:rPr>
              <w:t>Private Education Loan Originations Year-Over-Year Growth</w:t>
            </w:r>
          </w:p>
        </w:tc>
      </w:tr>
      <w:tr>
        <w:trPr/>
        <w:tc>
          <w:tcPr>
            <w:tcW w:w="2220" w:type="dxa"/>
            <w:gridSpan w:val="3"/>
            <w:tcBorders>
              <w:top w:val="single" w:sz="2" w:space="0" w:color="000000"/>
            </w:tcBorders>
            <w:tcMar>
              <w:top w:w="52" w:type="dxa"/>
              <w:left w:w="0" w:type="dxa"/>
              <w:bottom w:w="0" w:type="dxa"/>
              <w:right w:w="0" w:type="dxa"/>
            </w:tcMar>
            <w:vAlign w:val="center"/>
          </w:tcPr>
          <w:p>
            <w:pPr>
              <w:pStyle w:val="TableContents"/>
              <w:bidi w:val="0"/>
              <w:spacing w:before="0" w:after="0"/>
              <w:jc w:val="center"/>
              <w:rPr/>
            </w:pPr>
            <w:r>
              <w:rPr/>
            </w:r>
          </w:p>
          <w:p>
            <w:pPr>
              <w:pStyle w:val="TableContents"/>
              <w:bidi w:val="0"/>
              <w:spacing w:lineRule="auto" w:line="240" w:before="0" w:after="0"/>
              <w:jc w:val="center"/>
              <w:rPr>
                <w:rFonts w:ascii="Arial;sans-serif" w:hAnsi="Arial;sans-serif"/>
                <w:b/>
                <w:color w:val="00B0F0"/>
                <w:sz w:val="36"/>
              </w:rPr>
            </w:pPr>
            <w:r>
              <w:rPr>
                <w:rFonts w:ascii="Arial;sans-serif" w:hAnsi="Arial;sans-serif"/>
                <w:b/>
                <w:color w:val="00B0F0"/>
                <w:sz w:val="36"/>
              </w:rPr>
              <w:t>$365 - $385</w:t>
            </w:r>
          </w:p>
          <w:p>
            <w:pPr>
              <w:pStyle w:val="TableContents"/>
              <w:bidi w:val="0"/>
              <w:spacing w:lineRule="auto" w:line="240" w:before="0" w:after="0"/>
              <w:jc w:val="center"/>
              <w:rPr>
                <w:rFonts w:ascii="Arial;sans-serif" w:hAnsi="Arial;sans-serif"/>
                <w:b/>
                <w:color w:val="00B0F0"/>
                <w:sz w:val="36"/>
              </w:rPr>
            </w:pPr>
            <w:r>
              <w:rPr>
                <w:rFonts w:ascii="Arial;sans-serif" w:hAnsi="Arial;sans-serif"/>
                <w:b/>
                <w:color w:val="00B0F0"/>
                <w:sz w:val="36"/>
              </w:rPr>
              <w:t>million</w:t>
            </w:r>
          </w:p>
          <w:p>
            <w:pPr>
              <w:pStyle w:val="TableContents"/>
              <w:bidi w:val="0"/>
              <w:spacing w:lineRule="auto" w:line="240" w:before="0" w:after="0"/>
              <w:jc w:val="center"/>
              <w:rPr>
                <w:rFonts w:ascii="Arial;sans-serif" w:hAnsi="Arial;sans-serif"/>
                <w:b/>
                <w:color w:val="0C0034"/>
                <w:sz w:val="20"/>
              </w:rPr>
            </w:pPr>
            <w:r>
              <w:rPr>
                <w:rFonts w:ascii="Arial;sans-serif" w:hAnsi="Arial;sans-serif"/>
                <w:b/>
                <w:color w:val="0C0034"/>
                <w:sz w:val="20"/>
              </w:rPr>
              <w:t>Net Charge-Offs</w:t>
            </w:r>
          </w:p>
        </w:tc>
        <w:tc>
          <w:tcPr>
            <w:tcW w:w="5729" w:type="dxa"/>
            <w:gridSpan w:val="3"/>
            <w:tcBorders>
              <w:top w:val="single" w:sz="2" w:space="0" w:color="000000"/>
              <w:left w:val="single" w:sz="2" w:space="0" w:color="000000"/>
            </w:tcBorders>
            <w:tcMar>
              <w:top w:w="52" w:type="dxa"/>
              <w:bottom w:w="0" w:type="dxa"/>
              <w:right w:w="0" w:type="dxa"/>
            </w:tcMar>
            <w:vAlign w:val="center"/>
          </w:tcPr>
          <w:p>
            <w:pPr>
              <w:pStyle w:val="TableContents"/>
              <w:bidi w:val="0"/>
              <w:spacing w:before="0" w:after="0"/>
              <w:jc w:val="center"/>
              <w:rPr/>
            </w:pPr>
            <w:r>
              <w:rPr/>
            </w:r>
          </w:p>
          <w:p>
            <w:pPr>
              <w:pStyle w:val="TableContents"/>
              <w:bidi w:val="0"/>
              <w:spacing w:lineRule="auto" w:line="240" w:before="0" w:after="0"/>
              <w:jc w:val="center"/>
              <w:rPr>
                <w:rFonts w:ascii="Arial;sans-serif" w:hAnsi="Arial;sans-serif"/>
                <w:b/>
                <w:color w:val="00B0F0"/>
                <w:sz w:val="36"/>
              </w:rPr>
            </w:pPr>
            <w:r>
              <w:rPr>
                <w:rFonts w:ascii="Arial;sans-serif" w:hAnsi="Arial;sans-serif"/>
                <w:b/>
                <w:color w:val="00B0F0"/>
                <w:sz w:val="36"/>
              </w:rPr>
              <w:t>$750 - $780</w:t>
            </w:r>
          </w:p>
          <w:p>
            <w:pPr>
              <w:pStyle w:val="TableContents"/>
              <w:bidi w:val="0"/>
              <w:spacing w:lineRule="auto" w:line="240" w:before="0" w:after="0"/>
              <w:jc w:val="center"/>
              <w:rPr>
                <w:rFonts w:ascii="Arial;sans-serif" w:hAnsi="Arial;sans-serif"/>
                <w:b/>
                <w:color w:val="00B0F0"/>
                <w:sz w:val="36"/>
              </w:rPr>
            </w:pPr>
            <w:r>
              <w:rPr>
                <w:rFonts w:ascii="Arial;sans-serif" w:hAnsi="Arial;sans-serif"/>
                <w:b/>
                <w:color w:val="00B0F0"/>
                <w:sz w:val="36"/>
              </w:rPr>
              <w:t>million</w:t>
            </w:r>
          </w:p>
          <w:p>
            <w:pPr>
              <w:pStyle w:val="TableContents"/>
              <w:bidi w:val="0"/>
              <w:spacing w:lineRule="auto" w:line="240" w:before="0" w:after="0"/>
              <w:jc w:val="center"/>
              <w:rPr>
                <w:rFonts w:ascii="Arial;sans-serif" w:hAnsi="Arial;sans-serif"/>
                <w:b/>
                <w:color w:val="0C0034"/>
                <w:sz w:val="20"/>
              </w:rPr>
            </w:pPr>
            <w:r>
              <w:rPr>
                <w:rFonts w:ascii="Arial;sans-serif" w:hAnsi="Arial;sans-serif"/>
                <w:b/>
                <w:color w:val="0C0034"/>
                <w:sz w:val="20"/>
              </w:rPr>
              <w:t>Non-Interest Expenses</w:t>
            </w:r>
          </w:p>
        </w:tc>
      </w:tr>
    </w:tbl>
    <w:p>
      <w:pPr>
        <w:pStyle w:val="TextBody"/>
        <w:bidi w:val="0"/>
        <w:spacing w:lineRule="auto" w:line="288" w:before="240" w:after="283"/>
        <w:ind w:left="0" w:right="0" w:hanging="180"/>
        <w:jc w:val="left"/>
        <w:rPr>
          <w:rFonts w:ascii="Arial;sans-serif" w:hAnsi="Arial;sans-serif"/>
          <w:b w:val="false"/>
          <w:color w:val="000000"/>
          <w:sz w:val="12"/>
        </w:rPr>
      </w:pPr>
      <w:r>
        <w:rPr>
          <w:rFonts w:ascii="Arial;sans-serif" w:hAnsi="Arial;sans-serif"/>
          <w:b w:val="false"/>
          <w:color w:val="000000"/>
          <w:sz w:val="12"/>
        </w:rPr>
        <w:t>*The 2026 Guidance and related comments constitute forward-looking statements and are based on management’s current expectations and beliefs. There can be no guarantee as to whether and to what extent this guidance will be achieved. The Company undertakes no obligation to revise or release any revision or update to these forward-looking statements. See our Forward-Looking Statements disclosures on pg. 4 for more information.</w: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val="false"/>
          <w:color w:val="000000"/>
          <w:sz w:val="16"/>
        </w:rPr>
        <w:t xml:space="preserve">Investor Contact: Investor Relations, </w:t>
      </w:r>
      <w:r>
        <w:rPr>
          <w:rFonts w:ascii="Arial;sans-serif" w:hAnsi="Arial;sans-serif"/>
          <w:b w:val="false"/>
          <w:color w:val="0000FF"/>
          <w:sz w:val="18"/>
          <w:u w:val="single"/>
        </w:rPr>
        <w:t>IR@salliemae.com</w:t>
      </w:r>
      <w:r>
        <w:rPr>
          <w:color w:val="000000"/>
        </w:rPr>
        <w:t xml:space="preserve">                 </w:t>
      </w:r>
      <w:r>
        <w:rPr>
          <w:rFonts w:ascii="Arial;sans-serif" w:hAnsi="Arial;sans-serif"/>
          <w:b w:val="false"/>
          <w:color w:val="000000"/>
          <w:sz w:val="16"/>
        </w:rPr>
        <w:t xml:space="preserve">Media Contact: Media, </w:t>
      </w:r>
      <w:r>
        <w:rPr>
          <w:rFonts w:ascii="Arial;sans-serif" w:hAnsi="Arial;sans-serif"/>
          <w:b w:val="false"/>
          <w:color w:val="0000FF"/>
          <w:sz w:val="18"/>
          <w:u w:val="single"/>
        </w:rPr>
        <w:t>media@salliemae.com</w:t>
      </w:r>
    </w:p>
    <w:p>
      <w:pPr>
        <w:pStyle w:val="TextBody"/>
        <w:bidi w:val="0"/>
        <w:spacing w:before="0" w:after="0"/>
        <w:jc w:val="left"/>
        <w:rPr/>
      </w:pPr>
      <w:r>
        <w:rPr/>
      </w:r>
    </w:p>
    <w:p>
      <w:pPr>
        <w:pStyle w:val="TextBody"/>
        <w:bidi w:val="0"/>
        <w:spacing w:before="0" w:after="0"/>
        <w:ind w:left="0" w:right="0" w:hanging="180"/>
        <w:jc w:val="left"/>
        <w:rPr/>
      </w:pPr>
      <w:r>
        <w:rPr/>
      </w:r>
    </w:p>
    <w:p>
      <w:pPr>
        <w:pStyle w:val="TextBody"/>
        <w:bidi w:val="0"/>
        <w:spacing w:before="0" w:after="0"/>
        <w:jc w:val="left"/>
        <w:rPr/>
      </w:pPr>
      <w:r>
        <w:rPr/>
      </w:r>
    </w:p>
    <w:p>
      <w:pPr>
        <w:pStyle w:val="TextBody"/>
        <w:bidi w:val="0"/>
        <w:spacing w:before="0" w:after="0"/>
        <w:ind w:left="0" w:right="0" w:hanging="180"/>
        <w:jc w:val="left"/>
        <w:rPr/>
      </w:pPr>
      <w:r>
        <w:rPr/>
      </w:r>
    </w:p>
    <w:p>
      <w:pPr>
        <w:pStyle w:val="TextBody"/>
        <w:bidi w:val="0"/>
        <w:spacing w:before="0" w:after="0"/>
        <w:ind w:left="0" w:right="0" w:hanging="180"/>
        <w:jc w:val="left"/>
        <w:rPr/>
      </w:pPr>
      <w:r>
        <w:rPr/>
      </w:r>
    </w:p>
    <w:p>
      <w:pPr>
        <w:pStyle w:val="TextBody"/>
        <w:bidi w:val="0"/>
        <w:spacing w:before="0" w:after="0"/>
        <w:ind w:left="0" w:right="0" w:hanging="180"/>
        <w:jc w:val="left"/>
        <w:rPr/>
      </w:pPr>
      <w:r>
        <w:rPr/>
      </w:r>
    </w:p>
    <w:p>
      <w:pPr>
        <w:pStyle w:val="TextBody"/>
        <w:bidi w:val="0"/>
        <w:spacing w:before="0" w:after="0"/>
        <w:ind w:left="0" w:right="0" w:hanging="180"/>
        <w:jc w:val="left"/>
        <w:rPr/>
      </w:pPr>
      <w:r>
        <w:rPr/>
      </w:r>
    </w:p>
    <w:p>
      <w:pPr>
        <w:pStyle w:val="TextBody"/>
        <w:bidi w:val="0"/>
        <w:spacing w:before="0" w:after="0"/>
        <w:ind w:left="0" w:right="0" w:hanging="180"/>
        <w:jc w:val="left"/>
        <w:rPr/>
      </w:pPr>
      <w:r>
        <w:rPr/>
      </w:r>
    </w:p>
    <w:p>
      <w:pPr>
        <w:pStyle w:val="TextBody"/>
        <w:bidi w:val="0"/>
        <w:spacing w:before="0" w:after="0"/>
        <w:ind w:left="0" w:right="0" w:hanging="180"/>
        <w:jc w:val="left"/>
        <w:rPr/>
      </w:pPr>
      <w:r>
        <w:rPr/>
      </w:r>
    </w:p>
    <w:p>
      <w:pPr>
        <w:pStyle w:val="TextBody"/>
        <w:bidi w:val="0"/>
        <w:spacing w:before="0" w:after="0"/>
        <w:ind w:left="0" w:right="0" w:hanging="180"/>
        <w:jc w:val="left"/>
        <w:rPr/>
      </w:pPr>
      <w:r>
        <w:rPr/>
      </w:r>
    </w:p>
    <w:p>
      <w:pPr>
        <w:pStyle w:val="TextBody"/>
        <w:bidi w:val="0"/>
        <w:spacing w:before="0" w:after="0"/>
        <w:ind w:left="0" w:right="0" w:hanging="180"/>
        <w:jc w:val="left"/>
        <w:rPr/>
      </w:pPr>
      <w:r>
        <w:rPr/>
      </w:r>
    </w:p>
    <w:p>
      <w:pPr>
        <w:pStyle w:val="TextBody"/>
        <w:bidi w:val="0"/>
        <w:spacing w:before="0" w:after="0"/>
        <w:ind w:left="0" w:right="0" w:hanging="180"/>
        <w:jc w:val="left"/>
        <w:rPr/>
      </w:pPr>
      <w:r>
        <w:rPr/>
      </w:r>
    </w:p>
    <w:p>
      <w:pPr>
        <w:pStyle w:val="TextBody"/>
        <w:bidi w:val="0"/>
        <w:spacing w:before="0" w:after="0"/>
        <w:ind w:left="0" w:right="0" w:hanging="180"/>
        <w:jc w:val="left"/>
        <w:rPr/>
      </w:pPr>
      <w:r>
        <w:rPr/>
      </w:r>
    </w:p>
    <w:p>
      <w:pPr>
        <w:pStyle w:val="TextBody"/>
        <w:bidi w:val="0"/>
        <w:spacing w:before="0" w:after="0"/>
        <w:ind w:left="0" w:right="0" w:hanging="180"/>
        <w:jc w:val="left"/>
        <w:rPr/>
      </w:pPr>
      <w:r>
        <w:rPr/>
      </w:r>
    </w:p>
    <w:p>
      <w:pPr>
        <w:pStyle w:val="TextBody"/>
        <w:bidi w:val="0"/>
        <w:spacing w:before="0" w:after="0"/>
        <w:ind w:left="0" w:right="0" w:hanging="180"/>
        <w:jc w:val="left"/>
        <w:rPr/>
      </w:pPr>
      <w:r>
        <w:rPr/>
      </w:r>
    </w:p>
    <w:p>
      <w:pPr>
        <w:pStyle w:val="TextBody"/>
        <w:bidi w:val="0"/>
        <w:spacing w:before="0" w:after="0"/>
        <w:ind w:left="0" w:right="0" w:hanging="180"/>
        <w:jc w:val="left"/>
        <w:rPr/>
      </w:pPr>
      <w:r>
        <w:rPr/>
      </w:r>
    </w:p>
    <w:p>
      <w:pPr>
        <w:pStyle w:val="TextBody"/>
        <w:bidi w:val="0"/>
        <w:spacing w:before="0" w:after="0"/>
        <w:jc w:val="left"/>
        <w:rPr/>
      </w:pPr>
      <w:r>
        <w:rPr/>
      </w:r>
    </w:p>
    <w:p>
      <w:pPr>
        <w:pStyle w:val="TextBody"/>
        <w:bidi w:val="0"/>
        <w:spacing w:before="0" w:after="0"/>
        <w:jc w:val="center"/>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shd w:fill="0C003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Arial;sans-serif" w:hAnsi="Arial;sans-serif"/>
          <w:b/>
          <w:color w:val="000000"/>
          <w:sz w:val="16"/>
        </w:rPr>
      </w:pPr>
      <w:r>
        <w:rPr>
          <w:rFonts w:ascii="Arial;sans-serif" w:hAnsi="Arial;sans-serif"/>
          <w:b/>
          <w:color w:val="000000"/>
          <w:sz w:val="16"/>
        </w:rPr>
        <w:t>2</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75260"/>
                <wp:effectExtent l="0" t="0" r="0" b="0"/>
                <wp:wrapNone/>
                <wp:docPr id="8" name="Frame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5939" w:type="dxa"/>
        <w:jc w:val="center"/>
        <w:tblInd w:w="0" w:type="dxa"/>
        <w:tblLayout w:type="fixed"/>
        <w:tblCellMar>
          <w:top w:w="28" w:type="dxa"/>
          <w:left w:w="28" w:type="dxa"/>
          <w:bottom w:w="28" w:type="dxa"/>
          <w:right w:w="28" w:type="dxa"/>
        </w:tblCellMar>
      </w:tblPr>
      <w:tblGrid>
        <w:gridCol w:w="1901"/>
        <w:gridCol w:w="1672"/>
        <w:gridCol w:w="2366"/>
      </w:tblGrid>
      <w:tr>
        <w:trPr/>
        <w:tc>
          <w:tcPr>
            <w:tcW w:w="1901" w:type="dxa"/>
            <w:tcBorders/>
            <w:vAlign w:val="center"/>
          </w:tcPr>
          <w:p>
            <w:pPr>
              <w:pStyle w:val="TableContents"/>
              <w:bidi w:val="0"/>
              <w:spacing w:before="0" w:after="283"/>
              <w:jc w:val="left"/>
              <w:rPr>
                <w:sz w:val="4"/>
                <w:szCs w:val="4"/>
              </w:rPr>
            </w:pPr>
            <w:r>
              <w:rPr>
                <w:sz w:val="4"/>
                <w:szCs w:val="4"/>
              </w:rPr>
            </w:r>
          </w:p>
        </w:tc>
        <w:tc>
          <w:tcPr>
            <w:tcW w:w="1672" w:type="dxa"/>
            <w:tcBorders/>
            <w:vAlign w:val="center"/>
          </w:tcPr>
          <w:p>
            <w:pPr>
              <w:pStyle w:val="TableContents"/>
              <w:bidi w:val="0"/>
              <w:spacing w:before="0" w:after="283"/>
              <w:jc w:val="left"/>
              <w:rPr>
                <w:sz w:val="4"/>
                <w:szCs w:val="4"/>
              </w:rPr>
            </w:pPr>
            <w:r>
              <w:rPr>
                <w:sz w:val="4"/>
                <w:szCs w:val="4"/>
              </w:rPr>
            </w:r>
          </w:p>
        </w:tc>
        <w:tc>
          <w:tcPr>
            <w:tcW w:w="2366" w:type="dxa"/>
            <w:tcBorders/>
            <w:vAlign w:val="center"/>
          </w:tcPr>
          <w:p>
            <w:pPr>
              <w:pStyle w:val="TableContents"/>
              <w:bidi w:val="0"/>
              <w:spacing w:before="0" w:after="283"/>
              <w:jc w:val="left"/>
              <w:rPr>
                <w:sz w:val="4"/>
                <w:szCs w:val="4"/>
              </w:rPr>
            </w:pPr>
            <w:r>
              <w:rPr>
                <w:sz w:val="4"/>
                <w:szCs w:val="4"/>
              </w:rPr>
            </w:r>
          </w:p>
        </w:tc>
      </w:tr>
      <w:tr>
        <w:trPr/>
        <w:tc>
          <w:tcPr>
            <w:tcW w:w="5939" w:type="dxa"/>
            <w:gridSpan w:val="3"/>
            <w:tcBorders/>
            <w:shd w:fill="0C0034"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DED7FA"/>
                <w:sz w:val="40"/>
              </w:rPr>
            </w:pPr>
            <w:r>
              <w:rPr>
                <w:rFonts w:ascii="Arial;sans-serif" w:hAnsi="Arial;sans-serif"/>
                <w:b/>
                <w:color w:val="DED7FA"/>
                <w:sz w:val="40"/>
              </w:rPr>
              <w:t>Quarterly Financial Highlights</w:t>
            </w:r>
          </w:p>
        </w:tc>
      </w:tr>
    </w:tbl>
    <w:tbl>
      <w:tblPr>
        <w:tblW w:w="8893" w:type="dxa"/>
        <w:jc w:val="center"/>
        <w:tblInd w:w="0" w:type="dxa"/>
        <w:tblLayout w:type="fixed"/>
        <w:tblCellMar>
          <w:top w:w="28" w:type="dxa"/>
          <w:left w:w="28" w:type="dxa"/>
          <w:bottom w:w="28" w:type="dxa"/>
          <w:right w:w="28" w:type="dxa"/>
        </w:tblCellMar>
      </w:tblPr>
      <w:tblGrid>
        <w:gridCol w:w="2290"/>
        <w:gridCol w:w="2016"/>
        <w:gridCol w:w="2024"/>
        <w:gridCol w:w="279"/>
        <w:gridCol w:w="279"/>
        <w:gridCol w:w="281"/>
        <w:gridCol w:w="279"/>
        <w:gridCol w:w="279"/>
        <w:gridCol w:w="281"/>
        <w:gridCol w:w="259"/>
        <w:gridCol w:w="259"/>
        <w:gridCol w:w="367"/>
      </w:tblGrid>
      <w:tr>
        <w:trPr/>
        <w:tc>
          <w:tcPr>
            <w:tcW w:w="2290" w:type="dxa"/>
            <w:tcBorders/>
            <w:vAlign w:val="center"/>
          </w:tcPr>
          <w:p>
            <w:pPr>
              <w:pStyle w:val="TableContents"/>
              <w:bidi w:val="0"/>
              <w:spacing w:before="0" w:after="283"/>
              <w:jc w:val="left"/>
              <w:rPr>
                <w:sz w:val="4"/>
                <w:szCs w:val="4"/>
              </w:rPr>
            </w:pPr>
            <w:r>
              <w:rPr>
                <w:sz w:val="4"/>
                <w:szCs w:val="4"/>
              </w:rPr>
            </w:r>
          </w:p>
        </w:tc>
        <w:tc>
          <w:tcPr>
            <w:tcW w:w="2016" w:type="dxa"/>
            <w:tcBorders/>
            <w:vAlign w:val="center"/>
          </w:tcPr>
          <w:p>
            <w:pPr>
              <w:pStyle w:val="TableContents"/>
              <w:bidi w:val="0"/>
              <w:spacing w:before="0" w:after="283"/>
              <w:jc w:val="left"/>
              <w:rPr>
                <w:sz w:val="4"/>
                <w:szCs w:val="4"/>
              </w:rPr>
            </w:pPr>
            <w:r>
              <w:rPr>
                <w:sz w:val="4"/>
                <w:szCs w:val="4"/>
              </w:rPr>
            </w:r>
          </w:p>
        </w:tc>
        <w:tc>
          <w:tcPr>
            <w:tcW w:w="2024"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r>
      <w:tr>
        <w:trPr/>
        <w:tc>
          <w:tcPr>
            <w:tcW w:w="6330" w:type="dxa"/>
            <w:gridSpan w:val="3"/>
            <w:tcBorders>
              <w:top w:val="single" w:sz="8" w:space="0" w:color="000000"/>
              <w:left w:val="single" w:sz="8" w:space="0" w:color="000000"/>
            </w:tcBorders>
            <w:shd w:fill="0C0034" w:val="clear"/>
            <w:tcMar>
              <w:bottom w:w="0" w:type="dxa"/>
              <w:right w:w="0" w:type="dxa"/>
            </w:tcMar>
            <w:vAlign w:val="center"/>
          </w:tcPr>
          <w:p>
            <w:pPr>
              <w:pStyle w:val="TableContents"/>
              <w:bidi w:val="0"/>
              <w:spacing w:before="0" w:after="283"/>
              <w:jc w:val="left"/>
              <w:rPr>
                <w:sz w:val="4"/>
                <w:szCs w:val="4"/>
              </w:rPr>
            </w:pPr>
            <w:r>
              <w:rPr>
                <w:sz w:val="4"/>
                <w:szCs w:val="4"/>
              </w:rPr>
            </w:r>
          </w:p>
        </w:tc>
        <w:tc>
          <w:tcPr>
            <w:tcW w:w="839" w:type="dxa"/>
            <w:gridSpan w:val="3"/>
            <w:tcBorders>
              <w:top w:val="single" w:sz="8" w:space="0" w:color="000000"/>
              <w:left w:val="single" w:sz="8" w:space="0" w:color="000000"/>
            </w:tcBorders>
            <w:shd w:fill="0C0034" w:val="clear"/>
            <w:tcMar>
              <w:top w:w="52" w:type="dxa"/>
              <w:bottom w:w="0" w:type="dxa"/>
              <w:right w:w="0" w:type="dxa"/>
            </w:tcMar>
            <w:vAlign w:val="center"/>
          </w:tcPr>
          <w:p>
            <w:pPr>
              <w:pStyle w:val="TableContents"/>
              <w:bidi w:val="0"/>
              <w:spacing w:lineRule="auto" w:line="240" w:before="0" w:after="283"/>
              <w:jc w:val="center"/>
              <w:rPr>
                <w:rFonts w:ascii="Arial;sans-serif" w:hAnsi="Arial;sans-serif"/>
                <w:b/>
                <w:color w:val="DED7FA"/>
                <w:sz w:val="20"/>
              </w:rPr>
            </w:pPr>
            <w:r>
              <w:rPr>
                <w:rFonts w:ascii="Arial;sans-serif" w:hAnsi="Arial;sans-serif"/>
                <w:b/>
                <w:color w:val="DED7FA"/>
                <w:sz w:val="20"/>
              </w:rPr>
              <w:t>Q2 2026</w:t>
            </w:r>
          </w:p>
        </w:tc>
        <w:tc>
          <w:tcPr>
            <w:tcW w:w="839" w:type="dxa"/>
            <w:gridSpan w:val="3"/>
            <w:tcBorders>
              <w:top w:val="single" w:sz="8" w:space="0" w:color="000000"/>
              <w:left w:val="single" w:sz="8" w:space="0" w:color="000000"/>
            </w:tcBorders>
            <w:shd w:fill="0C0034" w:val="clear"/>
            <w:tcMar>
              <w:top w:w="52" w:type="dxa"/>
              <w:bottom w:w="0" w:type="dxa"/>
              <w:right w:w="0" w:type="dxa"/>
            </w:tcMar>
            <w:vAlign w:val="center"/>
          </w:tcPr>
          <w:p>
            <w:pPr>
              <w:pStyle w:val="TableContents"/>
              <w:bidi w:val="0"/>
              <w:spacing w:lineRule="auto" w:line="240" w:before="0" w:after="283"/>
              <w:jc w:val="center"/>
              <w:rPr>
                <w:rFonts w:ascii="Arial;sans-serif" w:hAnsi="Arial;sans-serif"/>
                <w:b/>
                <w:color w:val="DED7FA"/>
                <w:sz w:val="20"/>
              </w:rPr>
            </w:pPr>
            <w:r>
              <w:rPr>
                <w:rFonts w:ascii="Arial;sans-serif" w:hAnsi="Arial;sans-serif"/>
                <w:b/>
                <w:color w:val="DED7FA"/>
                <w:sz w:val="20"/>
              </w:rPr>
              <w:t>Q1 2026</w:t>
            </w:r>
          </w:p>
        </w:tc>
        <w:tc>
          <w:tcPr>
            <w:tcW w:w="885" w:type="dxa"/>
            <w:gridSpan w:val="3"/>
            <w:tcBorders>
              <w:top w:val="single" w:sz="8" w:space="0" w:color="000000"/>
              <w:left w:val="single" w:sz="8" w:space="0" w:color="000000"/>
              <w:right w:val="single" w:sz="8" w:space="0" w:color="000000"/>
            </w:tcBorders>
            <w:shd w:fill="0C0034" w:val="clear"/>
            <w:tcMar>
              <w:top w:w="52" w:type="dxa"/>
              <w:bottom w:w="0" w:type="dxa"/>
            </w:tcMar>
            <w:vAlign w:val="center"/>
          </w:tcPr>
          <w:p>
            <w:pPr>
              <w:pStyle w:val="TableContents"/>
              <w:bidi w:val="0"/>
              <w:spacing w:lineRule="auto" w:line="240" w:before="0" w:after="283"/>
              <w:jc w:val="center"/>
              <w:rPr>
                <w:rFonts w:ascii="Arial;sans-serif" w:hAnsi="Arial;sans-serif"/>
                <w:b/>
                <w:color w:val="DED7FA"/>
                <w:sz w:val="20"/>
              </w:rPr>
            </w:pPr>
            <w:r>
              <w:rPr>
                <w:rFonts w:ascii="Arial;sans-serif" w:hAnsi="Arial;sans-serif"/>
                <w:b/>
                <w:color w:val="DED7FA"/>
                <w:sz w:val="20"/>
              </w:rPr>
              <w:t>Q2 2025</w:t>
            </w:r>
          </w:p>
        </w:tc>
      </w:tr>
      <w:tr>
        <w:trPr/>
        <w:tc>
          <w:tcPr>
            <w:tcW w:w="6330"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u w:val="single"/>
              </w:rPr>
            </w:pPr>
            <w:r>
              <w:rPr>
                <w:rFonts w:ascii="Arial;sans-serif" w:hAnsi="Arial;sans-serif"/>
                <w:b/>
                <w:color w:val="000000"/>
                <w:sz w:val="20"/>
                <w:u w:val="single"/>
              </w:rPr>
              <w:t>Income Statement ($ millions)</w:t>
            </w:r>
          </w:p>
        </w:tc>
        <w:tc>
          <w:tcPr>
            <w:tcW w:w="839"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839"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3"/>
            <w:tcBorders>
              <w:top w:val="single" w:sz="8" w:space="0" w:color="000000"/>
              <w:left w:val="single" w:sz="8" w:space="0" w:color="000000"/>
              <w:right w:val="single" w:sz="8" w:space="0" w:color="000000"/>
            </w:tcBorders>
            <w:tcMar>
              <w:bottom w:w="0" w:type="dxa"/>
            </w:tcMar>
            <w:vAlign w:val="center"/>
          </w:tcPr>
          <w:p>
            <w:pPr>
              <w:pStyle w:val="TableContents"/>
              <w:bidi w:val="0"/>
              <w:spacing w:before="0" w:after="283"/>
              <w:jc w:val="left"/>
              <w:rPr>
                <w:sz w:val="4"/>
                <w:szCs w:val="4"/>
              </w:rPr>
            </w:pPr>
            <w:r>
              <w:rPr>
                <w:sz w:val="4"/>
                <w:szCs w:val="4"/>
              </w:rPr>
            </w:r>
          </w:p>
        </w:tc>
      </w:tr>
      <w:tr>
        <w:trPr/>
        <w:tc>
          <w:tcPr>
            <w:tcW w:w="6330"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interest income</w:t>
            </w:r>
          </w:p>
        </w:tc>
        <w:tc>
          <w:tcPr>
            <w:tcW w:w="839"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$602</w:t>
            </w:r>
          </w:p>
        </w:tc>
        <w:tc>
          <w:tcPr>
            <w:tcW w:w="839"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$649</w:t>
            </w:r>
          </w:p>
        </w:tc>
        <w:tc>
          <w:tcPr>
            <w:tcW w:w="885" w:type="dxa"/>
            <w:gridSpan w:val="3"/>
            <w:tcBorders>
              <w:left w:val="single" w:sz="8" w:space="0" w:color="000000"/>
              <w:right w:val="single" w:sz="8" w:space="0" w:color="000000"/>
            </w:tcBorders>
            <w:tcMar>
              <w:top w:w="0" w:type="dxa"/>
              <w:bottom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$657</w:t>
            </w:r>
          </w:p>
        </w:tc>
      </w:tr>
      <w:tr>
        <w:trPr/>
        <w:tc>
          <w:tcPr>
            <w:tcW w:w="6330"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interest expense</w:t>
            </w:r>
          </w:p>
        </w:tc>
        <w:tc>
          <w:tcPr>
            <w:tcW w:w="839"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269</w:t>
            </w:r>
          </w:p>
        </w:tc>
        <w:tc>
          <w:tcPr>
            <w:tcW w:w="839"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274</w:t>
            </w:r>
          </w:p>
        </w:tc>
        <w:tc>
          <w:tcPr>
            <w:tcW w:w="885" w:type="dxa"/>
            <w:gridSpan w:val="3"/>
            <w:tcBorders>
              <w:left w:val="single" w:sz="8" w:space="0" w:color="000000"/>
              <w:right w:val="single" w:sz="8" w:space="0" w:color="000000"/>
            </w:tcBorders>
            <w:tcMar>
              <w:top w:w="0" w:type="dxa"/>
              <w:bottom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280</w:t>
            </w:r>
          </w:p>
        </w:tc>
      </w:tr>
      <w:tr>
        <w:trPr/>
        <w:tc>
          <w:tcPr>
            <w:tcW w:w="6330"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Net interest income</w:t>
            </w:r>
          </w:p>
        </w:tc>
        <w:tc>
          <w:tcPr>
            <w:tcW w:w="839"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333</w:t>
            </w:r>
          </w:p>
        </w:tc>
        <w:tc>
          <w:tcPr>
            <w:tcW w:w="839"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375</w:t>
            </w:r>
          </w:p>
        </w:tc>
        <w:tc>
          <w:tcPr>
            <w:tcW w:w="885" w:type="dxa"/>
            <w:gridSpan w:val="3"/>
            <w:tcBorders>
              <w:top w:val="single" w:sz="8" w:space="0" w:color="000000"/>
              <w:left w:val="single" w:sz="8" w:space="0" w:color="000000"/>
              <w:right w:val="single" w:sz="8" w:space="0" w:color="000000"/>
            </w:tcBorders>
            <w:tcMar>
              <w:top w:w="52" w:type="dxa"/>
              <w:bottom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377</w:t>
            </w:r>
          </w:p>
        </w:tc>
      </w:tr>
      <w:tr>
        <w:trPr/>
        <w:tc>
          <w:tcPr>
            <w:tcW w:w="6330"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Less: provisions for credit losses</w:t>
            </w:r>
          </w:p>
        </w:tc>
        <w:tc>
          <w:tcPr>
            <w:tcW w:w="839"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126</w:t>
            </w:r>
          </w:p>
        </w:tc>
        <w:tc>
          <w:tcPr>
            <w:tcW w:w="839"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(11)</w:t>
            </w:r>
          </w:p>
        </w:tc>
        <w:tc>
          <w:tcPr>
            <w:tcW w:w="885" w:type="dxa"/>
            <w:gridSpan w:val="3"/>
            <w:tcBorders>
              <w:left w:val="single" w:sz="8" w:space="0" w:color="000000"/>
              <w:right w:val="single" w:sz="8" w:space="0" w:color="000000"/>
            </w:tcBorders>
            <w:tcMar>
              <w:top w:w="0" w:type="dxa"/>
              <w:bottom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149</w:t>
            </w:r>
          </w:p>
        </w:tc>
      </w:tr>
      <w:tr>
        <w:trPr/>
        <w:tc>
          <w:tcPr>
            <w:tcW w:w="6330"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non-interest income</w:t>
            </w:r>
          </w:p>
        </w:tc>
        <w:tc>
          <w:tcPr>
            <w:tcW w:w="839"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68</w:t>
            </w:r>
          </w:p>
        </w:tc>
        <w:tc>
          <w:tcPr>
            <w:tcW w:w="839"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185</w:t>
            </w:r>
          </w:p>
        </w:tc>
        <w:tc>
          <w:tcPr>
            <w:tcW w:w="885" w:type="dxa"/>
            <w:gridSpan w:val="3"/>
            <w:tcBorders>
              <w:left w:val="single" w:sz="8" w:space="0" w:color="000000"/>
              <w:right w:val="single" w:sz="8" w:space="0" w:color="000000"/>
            </w:tcBorders>
            <w:tcMar>
              <w:top w:w="0" w:type="dxa"/>
              <w:bottom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27</w:t>
            </w:r>
          </w:p>
        </w:tc>
      </w:tr>
      <w:tr>
        <w:trPr/>
        <w:tc>
          <w:tcPr>
            <w:tcW w:w="6330"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non-interest expenses</w:t>
            </w:r>
          </w:p>
        </w:tc>
        <w:tc>
          <w:tcPr>
            <w:tcW w:w="839"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195</w:t>
            </w:r>
          </w:p>
        </w:tc>
        <w:tc>
          <w:tcPr>
            <w:tcW w:w="839"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171</w:t>
            </w:r>
          </w:p>
        </w:tc>
        <w:tc>
          <w:tcPr>
            <w:tcW w:w="885" w:type="dxa"/>
            <w:gridSpan w:val="3"/>
            <w:tcBorders>
              <w:left w:val="single" w:sz="8" w:space="0" w:color="000000"/>
              <w:right w:val="single" w:sz="8" w:space="0" w:color="000000"/>
            </w:tcBorders>
            <w:tcMar>
              <w:top w:w="0" w:type="dxa"/>
              <w:bottom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167</w:t>
            </w:r>
          </w:p>
        </w:tc>
      </w:tr>
      <w:tr>
        <w:trPr/>
        <w:tc>
          <w:tcPr>
            <w:tcW w:w="6330"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Income tax expense</w:t>
            </w:r>
          </w:p>
        </w:tc>
        <w:tc>
          <w:tcPr>
            <w:tcW w:w="839"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22</w:t>
            </w:r>
          </w:p>
        </w:tc>
        <w:tc>
          <w:tcPr>
            <w:tcW w:w="839"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92</w:t>
            </w:r>
          </w:p>
        </w:tc>
        <w:tc>
          <w:tcPr>
            <w:tcW w:w="885" w:type="dxa"/>
            <w:gridSpan w:val="3"/>
            <w:tcBorders>
              <w:left w:val="single" w:sz="8" w:space="0" w:color="000000"/>
              <w:right w:val="single" w:sz="8" w:space="0" w:color="000000"/>
            </w:tcBorders>
            <w:tcMar>
              <w:top w:w="0" w:type="dxa"/>
              <w:bottom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16</w:t>
            </w:r>
          </w:p>
        </w:tc>
      </w:tr>
      <w:tr>
        <w:trPr/>
        <w:tc>
          <w:tcPr>
            <w:tcW w:w="6330"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Net income</w:t>
            </w:r>
          </w:p>
        </w:tc>
        <w:tc>
          <w:tcPr>
            <w:tcW w:w="839"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59</w:t>
            </w:r>
          </w:p>
        </w:tc>
        <w:tc>
          <w:tcPr>
            <w:tcW w:w="839"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308</w:t>
            </w:r>
          </w:p>
        </w:tc>
        <w:tc>
          <w:tcPr>
            <w:tcW w:w="885" w:type="dxa"/>
            <w:gridSpan w:val="3"/>
            <w:tcBorders>
              <w:top w:val="single" w:sz="8" w:space="0" w:color="000000"/>
              <w:left w:val="single" w:sz="8" w:space="0" w:color="000000"/>
              <w:right w:val="single" w:sz="8" w:space="0" w:color="000000"/>
            </w:tcBorders>
            <w:tcMar>
              <w:top w:w="52" w:type="dxa"/>
              <w:bottom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71</w:t>
            </w:r>
          </w:p>
        </w:tc>
      </w:tr>
      <w:tr>
        <w:trPr/>
        <w:tc>
          <w:tcPr>
            <w:tcW w:w="6330"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Preferred stock dividends</w:t>
            </w:r>
          </w:p>
        </w:tc>
        <w:tc>
          <w:tcPr>
            <w:tcW w:w="839"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4</w:t>
            </w:r>
          </w:p>
        </w:tc>
        <w:tc>
          <w:tcPr>
            <w:tcW w:w="839"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4</w:t>
            </w:r>
          </w:p>
        </w:tc>
        <w:tc>
          <w:tcPr>
            <w:tcW w:w="885" w:type="dxa"/>
            <w:gridSpan w:val="3"/>
            <w:tcBorders>
              <w:left w:val="single" w:sz="8" w:space="0" w:color="000000"/>
              <w:right w:val="single" w:sz="8" w:space="0" w:color="000000"/>
            </w:tcBorders>
            <w:tcMar>
              <w:top w:w="0" w:type="dxa"/>
              <w:bottom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4</w:t>
            </w:r>
          </w:p>
        </w:tc>
      </w:tr>
      <w:tr>
        <w:trPr/>
        <w:tc>
          <w:tcPr>
            <w:tcW w:w="6330"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income attributable to common stock</w:t>
            </w:r>
          </w:p>
        </w:tc>
        <w:tc>
          <w:tcPr>
            <w:tcW w:w="839"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$55</w:t>
            </w:r>
          </w:p>
        </w:tc>
        <w:tc>
          <w:tcPr>
            <w:tcW w:w="839"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$304</w:t>
            </w:r>
          </w:p>
        </w:tc>
        <w:tc>
          <w:tcPr>
            <w:tcW w:w="885" w:type="dxa"/>
            <w:gridSpan w:val="3"/>
            <w:tcBorders>
              <w:top w:val="single" w:sz="8" w:space="0" w:color="000000"/>
              <w:left w:val="single" w:sz="8" w:space="0" w:color="000000"/>
              <w:right w:val="single" w:sz="8" w:space="0" w:color="000000"/>
            </w:tcBorders>
            <w:tcMar>
              <w:top w:w="52" w:type="dxa"/>
              <w:bottom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$67</w:t>
            </w:r>
          </w:p>
        </w:tc>
      </w:tr>
      <w:tr>
        <w:trPr/>
        <w:tc>
          <w:tcPr>
            <w:tcW w:w="6330"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39"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39"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3"/>
            <w:tcBorders>
              <w:left w:val="single" w:sz="8" w:space="0" w:color="000000"/>
              <w:right w:val="single" w:sz="8" w:space="0" w:color="000000"/>
            </w:tcBorders>
            <w:tcMar>
              <w:top w:w="0" w:type="dxa"/>
              <w:bottom w:w="0" w:type="dxa"/>
            </w:tcMar>
            <w:vAlign w:val="center"/>
          </w:tcPr>
          <w:p>
            <w:pPr>
              <w:pStyle w:val="TableContents"/>
              <w:bidi w:val="0"/>
              <w:spacing w:before="0" w:after="283"/>
              <w:jc w:val="left"/>
              <w:rPr>
                <w:sz w:val="4"/>
                <w:szCs w:val="4"/>
              </w:rPr>
            </w:pPr>
            <w:r>
              <w:rPr>
                <w:sz w:val="4"/>
                <w:szCs w:val="4"/>
              </w:rPr>
            </w:r>
          </w:p>
        </w:tc>
      </w:tr>
      <w:tr>
        <w:trPr/>
        <w:tc>
          <w:tcPr>
            <w:tcW w:w="6330"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u w:val="single"/>
              </w:rPr>
            </w:pPr>
            <w:r>
              <w:rPr>
                <w:rFonts w:ascii="Arial;sans-serif" w:hAnsi="Arial;sans-serif"/>
                <w:b/>
                <w:color w:val="000000"/>
                <w:sz w:val="20"/>
                <w:u w:val="single"/>
              </w:rPr>
              <w:t>Ending Balances ($ millions)</w:t>
            </w:r>
          </w:p>
        </w:tc>
        <w:tc>
          <w:tcPr>
            <w:tcW w:w="839"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39"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3"/>
            <w:tcBorders>
              <w:left w:val="single" w:sz="8" w:space="0" w:color="000000"/>
              <w:right w:val="single" w:sz="8" w:space="0" w:color="000000"/>
            </w:tcBorders>
            <w:tcMar>
              <w:top w:w="0" w:type="dxa"/>
              <w:bottom w:w="0" w:type="dxa"/>
            </w:tcMar>
            <w:vAlign w:val="center"/>
          </w:tcPr>
          <w:p>
            <w:pPr>
              <w:pStyle w:val="TableContents"/>
              <w:bidi w:val="0"/>
              <w:spacing w:before="0" w:after="283"/>
              <w:jc w:val="left"/>
              <w:rPr>
                <w:sz w:val="4"/>
                <w:szCs w:val="4"/>
              </w:rPr>
            </w:pPr>
            <w:r>
              <w:rPr>
                <w:sz w:val="4"/>
                <w:szCs w:val="4"/>
              </w:rPr>
            </w:r>
          </w:p>
        </w:tc>
      </w:tr>
      <w:tr>
        <w:trPr/>
        <w:tc>
          <w:tcPr>
            <w:tcW w:w="6330"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Private Education Loans held for investment, net</w:t>
            </w:r>
          </w:p>
        </w:tc>
        <w:tc>
          <w:tcPr>
            <w:tcW w:w="839"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$19,531</w:t>
            </w:r>
          </w:p>
        </w:tc>
        <w:tc>
          <w:tcPr>
            <w:tcW w:w="839"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$19,887</w:t>
            </w:r>
          </w:p>
        </w:tc>
        <w:tc>
          <w:tcPr>
            <w:tcW w:w="885" w:type="dxa"/>
            <w:gridSpan w:val="3"/>
            <w:tcBorders>
              <w:left w:val="single" w:sz="8" w:space="0" w:color="000000"/>
              <w:right w:val="single" w:sz="8" w:space="0" w:color="000000"/>
            </w:tcBorders>
            <w:tcMar>
              <w:top w:w="0" w:type="dxa"/>
              <w:bottom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$21,160</w:t>
            </w:r>
          </w:p>
        </w:tc>
      </w:tr>
      <w:tr>
        <w:trPr/>
        <w:tc>
          <w:tcPr>
            <w:tcW w:w="6330" w:type="dxa"/>
            <w:gridSpan w:val="3"/>
            <w:tcBorders/>
            <w:vAlign w:val="center"/>
          </w:tcPr>
          <w:p>
            <w:pPr>
              <w:pStyle w:val="TableContents"/>
              <w:bidi w:val="0"/>
              <w:spacing w:before="0" w:after="283"/>
              <w:jc w:val="left"/>
              <w:rPr>
                <w:sz w:val="4"/>
                <w:szCs w:val="4"/>
              </w:rPr>
            </w:pPr>
            <w:r>
              <w:rPr>
                <w:sz w:val="4"/>
                <w:szCs w:val="4"/>
              </w:rPr>
            </w:r>
          </w:p>
        </w:tc>
        <w:tc>
          <w:tcPr>
            <w:tcW w:w="839" w:type="dxa"/>
            <w:gridSpan w:val="3"/>
            <w:tcBorders/>
            <w:vAlign w:val="center"/>
          </w:tcPr>
          <w:p>
            <w:pPr>
              <w:pStyle w:val="TableContents"/>
              <w:bidi w:val="0"/>
              <w:spacing w:before="0" w:after="283"/>
              <w:jc w:val="left"/>
              <w:rPr>
                <w:sz w:val="4"/>
                <w:szCs w:val="4"/>
              </w:rPr>
            </w:pPr>
            <w:r>
              <w:rPr>
                <w:sz w:val="4"/>
                <w:szCs w:val="4"/>
              </w:rPr>
            </w:r>
          </w:p>
        </w:tc>
        <w:tc>
          <w:tcPr>
            <w:tcW w:w="839" w:type="dxa"/>
            <w:gridSpan w:val="3"/>
            <w:tcBorders/>
            <w:vAlign w:val="center"/>
          </w:tcPr>
          <w:p>
            <w:pPr>
              <w:pStyle w:val="TableContents"/>
              <w:bidi w:val="0"/>
              <w:spacing w:before="0" w:after="283"/>
              <w:jc w:val="left"/>
              <w:rPr>
                <w:sz w:val="4"/>
                <w:szCs w:val="4"/>
              </w:rPr>
            </w:pPr>
            <w:r>
              <w:rPr>
                <w:sz w:val="4"/>
                <w:szCs w:val="4"/>
              </w:rPr>
            </w:r>
          </w:p>
        </w:tc>
        <w:tc>
          <w:tcPr>
            <w:tcW w:w="885" w:type="dxa"/>
            <w:gridSpan w:val="3"/>
            <w:tcBorders/>
            <w:vAlign w:val="center"/>
          </w:tcPr>
          <w:p>
            <w:pPr>
              <w:pStyle w:val="TableContents"/>
              <w:bidi w:val="0"/>
              <w:spacing w:before="0" w:after="283"/>
              <w:jc w:val="left"/>
              <w:rPr>
                <w:sz w:val="4"/>
                <w:szCs w:val="4"/>
              </w:rPr>
            </w:pPr>
            <w:r>
              <w:rPr>
                <w:sz w:val="4"/>
                <w:szCs w:val="4"/>
              </w:rPr>
            </w:r>
          </w:p>
        </w:tc>
      </w:tr>
      <w:tr>
        <w:trPr/>
        <w:tc>
          <w:tcPr>
            <w:tcW w:w="6330"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Private Education Loans held for sale, net</w:t>
            </w:r>
          </w:p>
        </w:tc>
        <w:tc>
          <w:tcPr>
            <w:tcW w:w="839"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172</w:t>
            </w:r>
          </w:p>
        </w:tc>
        <w:tc>
          <w:tcPr>
            <w:tcW w:w="839"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236</w:t>
            </w:r>
          </w:p>
        </w:tc>
        <w:tc>
          <w:tcPr>
            <w:tcW w:w="885" w:type="dxa"/>
            <w:gridSpan w:val="3"/>
            <w:tcBorders>
              <w:left w:val="single" w:sz="8" w:space="0" w:color="000000"/>
              <w:right w:val="single" w:sz="8" w:space="0" w:color="000000"/>
            </w:tcBorders>
            <w:tcMar>
              <w:top w:w="0" w:type="dxa"/>
              <w:bottom w:w="0" w:type="dxa"/>
            </w:tcMar>
            <w:vAlign w:val="center"/>
          </w:tcPr>
          <w:p>
            <w:pPr>
              <w:pStyle w:val="TableContents"/>
              <w:bidi w:val="0"/>
              <w:spacing w:lineRule="auto" w:line="240" w:before="0" w:after="283"/>
              <w:jc w:val="center"/>
              <w:rPr>
                <w:color w:val="000000"/>
              </w:rPr>
            </w:pPr>
            <w:r>
              <w:rPr>
                <w:color w:val="000000"/>
              </w:rPr>
              <w:t>—</w:t>
            </w:r>
          </w:p>
        </w:tc>
      </w:tr>
      <w:tr>
        <w:trPr/>
        <w:tc>
          <w:tcPr>
            <w:tcW w:w="6330"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Deposits</w:t>
            </w:r>
          </w:p>
        </w:tc>
        <w:tc>
          <w:tcPr>
            <w:tcW w:w="839"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19,895</w:t>
            </w:r>
          </w:p>
        </w:tc>
        <w:tc>
          <w:tcPr>
            <w:tcW w:w="839"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20,525</w:t>
            </w:r>
          </w:p>
        </w:tc>
        <w:tc>
          <w:tcPr>
            <w:tcW w:w="885" w:type="dxa"/>
            <w:gridSpan w:val="3"/>
            <w:tcBorders>
              <w:left w:val="single" w:sz="8" w:space="0" w:color="000000"/>
              <w:right w:val="single" w:sz="8" w:space="0" w:color="000000"/>
            </w:tcBorders>
            <w:tcMar>
              <w:top w:w="0" w:type="dxa"/>
              <w:bottom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20,482</w:t>
            </w:r>
          </w:p>
        </w:tc>
      </w:tr>
      <w:tr>
        <w:trPr/>
        <w:tc>
          <w:tcPr>
            <w:tcW w:w="6330" w:type="dxa"/>
            <w:gridSpan w:val="3"/>
            <w:tcBorders>
              <w:left w:val="single" w:sz="8" w:space="0" w:color="000000"/>
            </w:tcBorders>
            <w:tcMar>
              <w:top w:w="0" w:type="dxa"/>
              <w:left w:w="2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Brokered</w:t>
            </w:r>
          </w:p>
        </w:tc>
        <w:tc>
          <w:tcPr>
            <w:tcW w:w="839"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8,246</w:t>
            </w:r>
          </w:p>
        </w:tc>
        <w:tc>
          <w:tcPr>
            <w:tcW w:w="839"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8,676</w:t>
            </w:r>
          </w:p>
        </w:tc>
        <w:tc>
          <w:tcPr>
            <w:tcW w:w="885" w:type="dxa"/>
            <w:gridSpan w:val="3"/>
            <w:tcBorders>
              <w:left w:val="single" w:sz="8" w:space="0" w:color="000000"/>
              <w:right w:val="single" w:sz="8" w:space="0" w:color="000000"/>
            </w:tcBorders>
            <w:tcMar>
              <w:top w:w="0" w:type="dxa"/>
              <w:bottom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8,592</w:t>
            </w:r>
          </w:p>
        </w:tc>
      </w:tr>
      <w:tr>
        <w:trPr/>
        <w:tc>
          <w:tcPr>
            <w:tcW w:w="6330" w:type="dxa"/>
            <w:gridSpan w:val="3"/>
            <w:tcBorders>
              <w:left w:val="single" w:sz="8" w:space="0" w:color="000000"/>
            </w:tcBorders>
            <w:tcMar>
              <w:top w:w="0" w:type="dxa"/>
              <w:left w:w="2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Retail and other</w:t>
            </w:r>
          </w:p>
        </w:tc>
        <w:tc>
          <w:tcPr>
            <w:tcW w:w="839"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11,649</w:t>
            </w:r>
          </w:p>
        </w:tc>
        <w:tc>
          <w:tcPr>
            <w:tcW w:w="839"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11,849</w:t>
            </w:r>
          </w:p>
        </w:tc>
        <w:tc>
          <w:tcPr>
            <w:tcW w:w="885" w:type="dxa"/>
            <w:gridSpan w:val="3"/>
            <w:tcBorders>
              <w:left w:val="single" w:sz="8" w:space="0" w:color="000000"/>
              <w:right w:val="single" w:sz="8" w:space="0" w:color="000000"/>
            </w:tcBorders>
            <w:tcMar>
              <w:top w:w="0" w:type="dxa"/>
              <w:bottom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11,890</w:t>
            </w:r>
          </w:p>
        </w:tc>
      </w:tr>
      <w:tr>
        <w:trPr/>
        <w:tc>
          <w:tcPr>
            <w:tcW w:w="6330"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39"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39"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3"/>
            <w:tcBorders>
              <w:left w:val="single" w:sz="8" w:space="0" w:color="000000"/>
              <w:right w:val="single" w:sz="8" w:space="0" w:color="000000"/>
            </w:tcBorders>
            <w:tcMar>
              <w:top w:w="0" w:type="dxa"/>
              <w:bottom w:w="0" w:type="dxa"/>
            </w:tcMar>
            <w:vAlign w:val="center"/>
          </w:tcPr>
          <w:p>
            <w:pPr>
              <w:pStyle w:val="TableContents"/>
              <w:bidi w:val="0"/>
              <w:spacing w:before="0" w:after="283"/>
              <w:jc w:val="left"/>
              <w:rPr>
                <w:sz w:val="4"/>
                <w:szCs w:val="4"/>
              </w:rPr>
            </w:pPr>
            <w:r>
              <w:rPr>
                <w:sz w:val="4"/>
                <w:szCs w:val="4"/>
              </w:rPr>
            </w:r>
          </w:p>
        </w:tc>
      </w:tr>
      <w:tr>
        <w:trPr/>
        <w:tc>
          <w:tcPr>
            <w:tcW w:w="6330"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u w:val="single"/>
              </w:rPr>
            </w:pPr>
            <w:r>
              <w:rPr>
                <w:rFonts w:ascii="Arial;sans-serif" w:hAnsi="Arial;sans-serif"/>
                <w:b/>
                <w:color w:val="000000"/>
                <w:sz w:val="20"/>
                <w:u w:val="single"/>
              </w:rPr>
              <w:t>Key Performance Metrics ($ in millions)</w:t>
            </w:r>
          </w:p>
        </w:tc>
        <w:tc>
          <w:tcPr>
            <w:tcW w:w="839"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39"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3"/>
            <w:tcBorders>
              <w:left w:val="single" w:sz="8" w:space="0" w:color="000000"/>
              <w:right w:val="single" w:sz="8" w:space="0" w:color="000000"/>
            </w:tcBorders>
            <w:tcMar>
              <w:top w:w="0" w:type="dxa"/>
              <w:bottom w:w="0" w:type="dxa"/>
            </w:tcMar>
            <w:vAlign w:val="center"/>
          </w:tcPr>
          <w:p>
            <w:pPr>
              <w:pStyle w:val="TableContents"/>
              <w:bidi w:val="0"/>
              <w:spacing w:before="0" w:after="283"/>
              <w:jc w:val="left"/>
              <w:rPr>
                <w:sz w:val="4"/>
                <w:szCs w:val="4"/>
              </w:rPr>
            </w:pPr>
            <w:r>
              <w:rPr>
                <w:sz w:val="4"/>
                <w:szCs w:val="4"/>
              </w:rPr>
            </w:r>
          </w:p>
        </w:tc>
      </w:tr>
      <w:tr>
        <w:trPr/>
        <w:tc>
          <w:tcPr>
            <w:tcW w:w="6330"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interest margin</w:t>
            </w:r>
          </w:p>
        </w:tc>
        <w:tc>
          <w:tcPr>
            <w:tcW w:w="839"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4.75%</w:t>
            </w:r>
          </w:p>
        </w:tc>
        <w:tc>
          <w:tcPr>
            <w:tcW w:w="839"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5.29%</w:t>
            </w:r>
          </w:p>
        </w:tc>
        <w:tc>
          <w:tcPr>
            <w:tcW w:w="885" w:type="dxa"/>
            <w:gridSpan w:val="3"/>
            <w:tcBorders>
              <w:left w:val="single" w:sz="8" w:space="0" w:color="000000"/>
              <w:right w:val="single" w:sz="8" w:space="0" w:color="000000"/>
            </w:tcBorders>
            <w:tcMar>
              <w:top w:w="0" w:type="dxa"/>
              <w:bottom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5.31%</w:t>
            </w:r>
          </w:p>
        </w:tc>
      </w:tr>
      <w:tr>
        <w:trPr/>
        <w:tc>
          <w:tcPr>
            <w:tcW w:w="6330"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Yield - Total interest-earning assets</w:t>
            </w:r>
          </w:p>
        </w:tc>
        <w:tc>
          <w:tcPr>
            <w:tcW w:w="839"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8.59%</w:t>
            </w:r>
          </w:p>
        </w:tc>
        <w:tc>
          <w:tcPr>
            <w:tcW w:w="839"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9.14%</w:t>
            </w:r>
          </w:p>
        </w:tc>
        <w:tc>
          <w:tcPr>
            <w:tcW w:w="885" w:type="dxa"/>
            <w:gridSpan w:val="3"/>
            <w:tcBorders>
              <w:left w:val="single" w:sz="8" w:space="0" w:color="000000"/>
              <w:right w:val="single" w:sz="8" w:space="0" w:color="000000"/>
            </w:tcBorders>
            <w:tcMar>
              <w:top w:w="0" w:type="dxa"/>
              <w:bottom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9.25%</w:t>
            </w:r>
          </w:p>
        </w:tc>
      </w:tr>
      <w:tr>
        <w:trPr/>
        <w:tc>
          <w:tcPr>
            <w:tcW w:w="6330" w:type="dxa"/>
            <w:gridSpan w:val="3"/>
            <w:tcBorders>
              <w:left w:val="single" w:sz="8" w:space="0" w:color="000000"/>
            </w:tcBorders>
            <w:tcMar>
              <w:top w:w="0" w:type="dxa"/>
              <w:left w:w="2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Private Education Loans</w:t>
            </w:r>
          </w:p>
        </w:tc>
        <w:tc>
          <w:tcPr>
            <w:tcW w:w="839"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10.25%</w:t>
            </w:r>
          </w:p>
        </w:tc>
        <w:tc>
          <w:tcPr>
            <w:tcW w:w="839"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10.46%</w:t>
            </w:r>
          </w:p>
        </w:tc>
        <w:tc>
          <w:tcPr>
            <w:tcW w:w="885" w:type="dxa"/>
            <w:gridSpan w:val="3"/>
            <w:tcBorders>
              <w:left w:val="single" w:sz="8" w:space="0" w:color="000000"/>
              <w:right w:val="single" w:sz="8" w:space="0" w:color="000000"/>
            </w:tcBorders>
            <w:tcMar>
              <w:top w:w="0" w:type="dxa"/>
              <w:bottom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10.62%</w:t>
            </w:r>
          </w:p>
        </w:tc>
      </w:tr>
      <w:tr>
        <w:trPr/>
        <w:tc>
          <w:tcPr>
            <w:tcW w:w="6330"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Cost of Funds</w:t>
            </w:r>
          </w:p>
        </w:tc>
        <w:tc>
          <w:tcPr>
            <w:tcW w:w="839"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4.13%</w:t>
            </w:r>
          </w:p>
        </w:tc>
        <w:tc>
          <w:tcPr>
            <w:tcW w:w="839"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4.13%</w:t>
            </w:r>
          </w:p>
        </w:tc>
        <w:tc>
          <w:tcPr>
            <w:tcW w:w="885" w:type="dxa"/>
            <w:gridSpan w:val="3"/>
            <w:tcBorders>
              <w:left w:val="single" w:sz="8" w:space="0" w:color="000000"/>
              <w:right w:val="single" w:sz="8" w:space="0" w:color="000000"/>
            </w:tcBorders>
            <w:tcMar>
              <w:top w:w="0" w:type="dxa"/>
              <w:bottom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4.22%</w:t>
            </w:r>
          </w:p>
        </w:tc>
      </w:tr>
      <w:tr>
        <w:trPr/>
        <w:tc>
          <w:tcPr>
            <w:tcW w:w="6330"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Efficiency Ratio</w:t>
            </w:r>
            <w:r>
              <w:rPr>
                <w:rFonts w:ascii="Arial;sans-serif" w:hAnsi="Arial;sans-serif"/>
                <w:b w:val="false"/>
                <w:color w:val="000000"/>
                <w:sz w:val="13"/>
              </w:rPr>
              <w:t>(1)</w:t>
            </w:r>
            <w:r>
              <w:rPr>
                <w:color w:val="000000"/>
              </w:rPr>
              <w:t xml:space="preserve"> </w:t>
            </w:r>
          </w:p>
        </w:tc>
        <w:tc>
          <w:tcPr>
            <w:tcW w:w="839"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48.6%</w:t>
            </w:r>
          </w:p>
        </w:tc>
        <w:tc>
          <w:tcPr>
            <w:tcW w:w="839"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30.6%</w:t>
            </w:r>
          </w:p>
        </w:tc>
        <w:tc>
          <w:tcPr>
            <w:tcW w:w="885" w:type="dxa"/>
            <w:gridSpan w:val="3"/>
            <w:tcBorders>
              <w:left w:val="single" w:sz="8" w:space="0" w:color="000000"/>
              <w:right w:val="single" w:sz="8" w:space="0" w:color="000000"/>
            </w:tcBorders>
            <w:tcMar>
              <w:top w:w="0" w:type="dxa"/>
              <w:bottom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41.4%</w:t>
            </w:r>
          </w:p>
        </w:tc>
      </w:tr>
      <w:tr>
        <w:trPr/>
        <w:tc>
          <w:tcPr>
            <w:tcW w:w="6330"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Return on Assets (“ROA”)</w:t>
            </w:r>
            <w:r>
              <w:rPr>
                <w:rFonts w:ascii="Arial;sans-serif" w:hAnsi="Arial;sans-serif"/>
                <w:b w:val="false"/>
                <w:color w:val="000000"/>
                <w:sz w:val="13"/>
              </w:rPr>
              <w:t>(2)</w:t>
            </w:r>
          </w:p>
        </w:tc>
        <w:tc>
          <w:tcPr>
            <w:tcW w:w="839"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0.8%</w:t>
            </w:r>
          </w:p>
        </w:tc>
        <w:tc>
          <w:tcPr>
            <w:tcW w:w="839"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4.2%</w:t>
            </w:r>
          </w:p>
        </w:tc>
        <w:tc>
          <w:tcPr>
            <w:tcW w:w="885" w:type="dxa"/>
            <w:gridSpan w:val="3"/>
            <w:tcBorders>
              <w:left w:val="single" w:sz="8" w:space="0" w:color="000000"/>
              <w:right w:val="single" w:sz="8" w:space="0" w:color="000000"/>
            </w:tcBorders>
            <w:tcMar>
              <w:top w:w="0" w:type="dxa"/>
              <w:bottom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1.0%</w:t>
            </w:r>
          </w:p>
        </w:tc>
      </w:tr>
      <w:tr>
        <w:trPr/>
        <w:tc>
          <w:tcPr>
            <w:tcW w:w="6330"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Return on Common Equity (“ROCE”)</w:t>
            </w:r>
            <w:r>
              <w:rPr>
                <w:rFonts w:ascii="Arial;sans-serif" w:hAnsi="Arial;sans-serif"/>
                <w:b w:val="false"/>
                <w:color w:val="000000"/>
                <w:sz w:val="13"/>
              </w:rPr>
              <w:t>(3)</w:t>
            </w:r>
          </w:p>
        </w:tc>
        <w:tc>
          <w:tcPr>
            <w:tcW w:w="839"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9.9%</w:t>
            </w:r>
          </w:p>
        </w:tc>
        <w:tc>
          <w:tcPr>
            <w:tcW w:w="839"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56.4%</w:t>
            </w:r>
          </w:p>
        </w:tc>
        <w:tc>
          <w:tcPr>
            <w:tcW w:w="885" w:type="dxa"/>
            <w:gridSpan w:val="3"/>
            <w:tcBorders>
              <w:left w:val="single" w:sz="8" w:space="0" w:color="000000"/>
              <w:right w:val="single" w:sz="8" w:space="0" w:color="000000"/>
            </w:tcBorders>
            <w:tcMar>
              <w:top w:w="0" w:type="dxa"/>
              <w:bottom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12.6%</w:t>
            </w:r>
          </w:p>
        </w:tc>
      </w:tr>
      <w:tr>
        <w:trPr/>
        <w:tc>
          <w:tcPr>
            <w:tcW w:w="6330" w:type="dxa"/>
            <w:gridSpan w:val="3"/>
            <w:tcBorders>
              <w:left w:val="single" w:sz="8" w:space="0" w:color="000000"/>
            </w:tcBorders>
            <w:tcMar>
              <w:top w:w="0" w:type="dxa"/>
              <w:left w:w="3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Private Education Loan sales</w:t>
            </w:r>
          </w:p>
        </w:tc>
        <w:tc>
          <w:tcPr>
            <w:tcW w:w="839"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$420</w:t>
            </w:r>
          </w:p>
        </w:tc>
        <w:tc>
          <w:tcPr>
            <w:tcW w:w="839"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$3,332</w:t>
            </w:r>
          </w:p>
        </w:tc>
        <w:tc>
          <w:tcPr>
            <w:tcW w:w="885" w:type="dxa"/>
            <w:gridSpan w:val="3"/>
            <w:tcBorders>
              <w:left w:val="single" w:sz="8" w:space="0" w:color="000000"/>
              <w:right w:val="single" w:sz="8" w:space="0" w:color="000000"/>
            </w:tcBorders>
            <w:tcMar>
              <w:top w:w="0" w:type="dxa"/>
              <w:bottom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w:t>
            </w:r>
          </w:p>
        </w:tc>
      </w:tr>
      <w:tr>
        <w:trPr/>
        <w:tc>
          <w:tcPr>
            <w:tcW w:w="6330"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39"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39"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3"/>
            <w:tcBorders>
              <w:left w:val="single" w:sz="8" w:space="0" w:color="000000"/>
              <w:right w:val="single" w:sz="8" w:space="0" w:color="000000"/>
            </w:tcBorders>
            <w:tcMar>
              <w:top w:w="0" w:type="dxa"/>
              <w:bottom w:w="0" w:type="dxa"/>
            </w:tcMar>
            <w:vAlign w:val="center"/>
          </w:tcPr>
          <w:p>
            <w:pPr>
              <w:pStyle w:val="TableContents"/>
              <w:bidi w:val="0"/>
              <w:spacing w:before="0" w:after="283"/>
              <w:jc w:val="left"/>
              <w:rPr>
                <w:sz w:val="4"/>
                <w:szCs w:val="4"/>
              </w:rPr>
            </w:pPr>
            <w:r>
              <w:rPr>
                <w:sz w:val="4"/>
                <w:szCs w:val="4"/>
              </w:rPr>
            </w:r>
          </w:p>
        </w:tc>
      </w:tr>
      <w:tr>
        <w:trPr/>
        <w:tc>
          <w:tcPr>
            <w:tcW w:w="6330"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u w:val="single"/>
              </w:rPr>
            </w:pPr>
            <w:r>
              <w:rPr>
                <w:rFonts w:ascii="Arial;sans-serif" w:hAnsi="Arial;sans-serif"/>
                <w:b/>
                <w:color w:val="000000"/>
                <w:sz w:val="20"/>
                <w:u w:val="single"/>
              </w:rPr>
              <w:t>Per Common Share</w:t>
            </w:r>
          </w:p>
        </w:tc>
        <w:tc>
          <w:tcPr>
            <w:tcW w:w="839"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39"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3"/>
            <w:tcBorders>
              <w:left w:val="single" w:sz="8" w:space="0" w:color="000000"/>
              <w:right w:val="single" w:sz="8" w:space="0" w:color="000000"/>
            </w:tcBorders>
            <w:tcMar>
              <w:top w:w="0" w:type="dxa"/>
              <w:bottom w:w="0" w:type="dxa"/>
            </w:tcMar>
            <w:vAlign w:val="center"/>
          </w:tcPr>
          <w:p>
            <w:pPr>
              <w:pStyle w:val="TableContents"/>
              <w:bidi w:val="0"/>
              <w:spacing w:before="0" w:after="283"/>
              <w:jc w:val="left"/>
              <w:rPr>
                <w:sz w:val="4"/>
                <w:szCs w:val="4"/>
              </w:rPr>
            </w:pPr>
            <w:r>
              <w:rPr>
                <w:sz w:val="4"/>
                <w:szCs w:val="4"/>
              </w:rPr>
            </w:r>
          </w:p>
        </w:tc>
      </w:tr>
      <w:tr>
        <w:trPr/>
        <w:tc>
          <w:tcPr>
            <w:tcW w:w="6330"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GAAP diluted earnings per common share</w:t>
            </w:r>
          </w:p>
        </w:tc>
        <w:tc>
          <w:tcPr>
            <w:tcW w:w="839"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$0.29</w:t>
            </w:r>
          </w:p>
        </w:tc>
        <w:tc>
          <w:tcPr>
            <w:tcW w:w="839"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$1.54</w:t>
            </w:r>
          </w:p>
        </w:tc>
        <w:tc>
          <w:tcPr>
            <w:tcW w:w="885" w:type="dxa"/>
            <w:gridSpan w:val="3"/>
            <w:tcBorders>
              <w:left w:val="single" w:sz="8" w:space="0" w:color="000000"/>
              <w:right w:val="single" w:sz="8" w:space="0" w:color="000000"/>
            </w:tcBorders>
            <w:tcMar>
              <w:top w:w="0" w:type="dxa"/>
              <w:bottom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$0.32</w:t>
            </w:r>
          </w:p>
        </w:tc>
      </w:tr>
      <w:tr>
        <w:trPr/>
        <w:tc>
          <w:tcPr>
            <w:tcW w:w="6330" w:type="dxa"/>
            <w:gridSpan w:val="3"/>
            <w:tcBorders>
              <w:left w:val="single" w:sz="8" w:space="0" w:color="000000"/>
              <w:bottom w:val="single" w:sz="8" w:space="0" w:color="000000"/>
            </w:tcBorders>
            <w:tcMar>
              <w:top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Average common and common equivalent shares outstanding (millions)</w:t>
            </w:r>
          </w:p>
        </w:tc>
        <w:tc>
          <w:tcPr>
            <w:tcW w:w="839" w:type="dxa"/>
            <w:gridSpan w:val="3"/>
            <w:tcBorders>
              <w:left w:val="single" w:sz="8" w:space="0" w:color="000000"/>
              <w:bottom w:val="single" w:sz="8" w:space="0" w:color="000000"/>
            </w:tcBorders>
            <w:tcMar>
              <w:top w:w="0"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190</w:t>
            </w:r>
          </w:p>
        </w:tc>
        <w:tc>
          <w:tcPr>
            <w:tcW w:w="839" w:type="dxa"/>
            <w:gridSpan w:val="3"/>
            <w:tcBorders>
              <w:left w:val="single" w:sz="8" w:space="0" w:color="000000"/>
              <w:bottom w:val="single" w:sz="8" w:space="0" w:color="000000"/>
            </w:tcBorders>
            <w:tcMar>
              <w:top w:w="0"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198</w:t>
            </w:r>
          </w:p>
        </w:tc>
        <w:tc>
          <w:tcPr>
            <w:tcW w:w="885" w:type="dxa"/>
            <w:gridSpan w:val="3"/>
            <w:tcBorders>
              <w:left w:val="single" w:sz="8" w:space="0" w:color="000000"/>
              <w:bottom w:val="single" w:sz="8" w:space="0" w:color="000000"/>
              <w:right w:val="single" w:sz="8" w:space="0" w:color="000000"/>
            </w:tcBorders>
            <w:tcMar>
              <w:top w:w="0" w:type="dxa"/>
              <w:bottom w:w="3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213</w:t>
            </w:r>
          </w:p>
        </w:tc>
      </w:tr>
    </w:tbl>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shd w:fill="0C003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Arial;sans-serif" w:hAnsi="Arial;sans-serif"/>
          <w:b/>
          <w:color w:val="000000"/>
          <w:sz w:val="16"/>
        </w:rPr>
      </w:pPr>
      <w:r>
        <w:rPr>
          <w:rFonts w:ascii="Arial;sans-serif" w:hAnsi="Arial;sans-serif"/>
          <w:b/>
          <w:color w:val="000000"/>
          <w:sz w:val="16"/>
        </w:rPr>
        <w:t>3</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75260"/>
                <wp:effectExtent l="0" t="0" r="0" b="0"/>
                <wp:wrapNone/>
                <wp:docPr id="9" name="Frame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shd w:fill="0C003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Arial;sans-serif" w:hAnsi="Arial;sans-serif"/>
          <w:b/>
          <w:color w:val="6238F8"/>
          <w:sz w:val="24"/>
        </w:rPr>
      </w:pPr>
      <w:r>
        <w:rPr>
          <w:rFonts w:ascii="Arial;sans-serif" w:hAnsi="Arial;sans-serif"/>
          <w:b/>
          <w:color w:val="6238F8"/>
          <w:sz w:val="24"/>
        </w:rPr>
        <w:t>Footnotes: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7"/>
        </w:rPr>
      </w:pPr>
      <w:r>
        <w:rPr>
          <w:rFonts w:ascii="Arial;sans-serif" w:hAnsi="Arial;sans-serif"/>
          <w:b w:val="false"/>
          <w:color w:val="000000"/>
          <w:sz w:val="17"/>
        </w:rPr>
        <w:t xml:space="preserve">(1) We calculate and report our Efficiency Ratio as the ratio of (a) total non-interest expenses numerator to (b) the net denominator, which consists of net interest income plus total non-interest income.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7"/>
        </w:rPr>
      </w:pPr>
      <w:r>
        <w:rPr>
          <w:rFonts w:ascii="Arial;sans-serif" w:hAnsi="Arial;sans-serif"/>
          <w:b w:val="false"/>
          <w:color w:val="000000"/>
          <w:sz w:val="17"/>
        </w:rPr>
        <w:t>(2) We calculate and report our Return on Assets (“ROA”) as the ratio of (a) GAAP net income numerator (annualized) to (b) the GAAP total average assets denominator.</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7"/>
        </w:rPr>
      </w:pPr>
      <w:r>
        <w:rPr>
          <w:rFonts w:ascii="Arial;sans-serif" w:hAnsi="Arial;sans-serif"/>
          <w:b w:val="false"/>
          <w:color w:val="000000"/>
          <w:sz w:val="17"/>
        </w:rPr>
        <w:t xml:space="preserve">(3) We calculate and report our Return on Common Equity (“ROCE”) as the ratio of (a) GAAP net income attributable to common stock numerator (annualized) to (b) the net denominator, which consists of GAAP total average equity less total average preferred stock. </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Arial;sans-serif" w:hAnsi="Arial;sans-serif"/>
          <w:b/>
          <w:color w:val="6238F8"/>
          <w:sz w:val="16"/>
        </w:rPr>
      </w:pPr>
      <w:r>
        <w:rPr>
          <w:rFonts w:ascii="Arial;sans-serif" w:hAnsi="Arial;sans-serif"/>
          <w:b/>
          <w:color w:val="6238F8"/>
          <w:sz w:val="16"/>
        </w:rPr>
        <w:t>***</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shd w:fill="0C003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jc w:val="center"/>
        <w:rPr>
          <w:rFonts w:ascii="Arial;sans-serif" w:hAnsi="Arial;sans-serif"/>
          <w:b/>
          <w:color w:val="000000"/>
          <w:sz w:val="16"/>
        </w:rPr>
      </w:pPr>
      <w:r>
        <w:rPr>
          <w:rFonts w:ascii="Arial;sans-serif" w:hAnsi="Arial;sans-serif"/>
          <w:b/>
          <w:color w:val="000000"/>
          <w:sz w:val="16"/>
        </w:rPr>
        <w:t>4</w:t>
      </w:r>
    </w:p>
    <w:p>
      <w:pPr>
        <w:pStyle w:val="TextBody"/>
        <w:bidi w:val="0"/>
        <w:spacing w:before="0" w:after="0"/>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75260"/>
                <wp:effectExtent l="0" t="0" r="0" b="0"/>
                <wp:wrapNone/>
                <wp:docPr id="10" name="Frame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shd w:fill="0C003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68" w:before="0" w:after="0"/>
        <w:jc w:val="left"/>
        <w:rPr>
          <w:rFonts w:ascii="Arial;sans-serif" w:hAnsi="Arial;sans-serif"/>
          <w:b/>
          <w:color w:val="000000"/>
          <w:sz w:val="20"/>
        </w:rPr>
      </w:pPr>
      <w:r>
        <w:rPr>
          <w:rFonts w:ascii="Arial;sans-serif" w:hAnsi="Arial;sans-serif"/>
          <w:b/>
          <w:color w:val="000000"/>
          <w:sz w:val="20"/>
        </w:rPr>
        <w:t xml:space="preserve">CAUTIONARY NOTE AND DISCLAIMER REGARDING FORWARD-LOOKING STATEMENTS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7"/>
        </w:rPr>
      </w:pPr>
      <w:r>
        <w:rPr>
          <w:rFonts w:ascii="Arial;sans-serif" w:hAnsi="Arial;sans-serif"/>
          <w:b w:val="false"/>
          <w:color w:val="000000"/>
          <w:sz w:val="17"/>
        </w:rPr>
        <w:t xml:space="preserve">This press release contains “forward-looking statements” and information based on management’s current expectations as of the date of this press release. See SLM Corporation’s most recently filed Annual Report on Form 10-K and subsequent filings with the Securities and Exchange Commission (“SEC Filings”) for definitions and descriptions of terms used in this presentation. Statements that are not historical facts, including statements about SLM Corporation’s beliefs, opinions, expectations, and/or statements that assume or are dependent upon future events, are forward-looking statements. These include, but are not limited to, the strategies, goals, and assumptions of SLM Corporation and its subsidiaries, collectively or individually as the context requires (the “Company,” “we,” “our,” or “us”); the Company’s expectation and ability to execute loan sales (including sales under the Company’s strategic partnership) and share repurchases; the Company’s expectation and ability to pay a quarterly cash dividend on the Company’s common stock in the future, subject to approval of the Board of Directors; the Company’s 2026 guidance; the Company’s three-year horizon outlook; the Company’s credit outlook; the impact of acquisitions the Company has made or may make in the future; the Company’s projections regarding originations, net charge-offs, non-interest expenses, earnings, balance sheet position, and other metrics; any estimates related to accounting standard changes; and any estimates related to the impact of changes in credit administration practices, including the results of simulations or other behavioral observations. </w:t>
      </w:r>
    </w:p>
    <w:p>
      <w:pPr>
        <w:pStyle w:val="TextBody"/>
        <w:bidi w:val="0"/>
        <w:spacing w:lineRule="auto" w:line="288" w:before="0" w:after="0"/>
        <w:jc w:val="left"/>
        <w:rPr>
          <w:rFonts w:ascii="Arial;sans-serif" w:hAnsi="Arial;sans-serif"/>
          <w:b w:val="false"/>
          <w:color w:val="000000"/>
          <w:sz w:val="17"/>
        </w:rPr>
      </w:pPr>
      <w:r>
        <w:rPr>
          <w:rFonts w:ascii="Arial;sans-serif" w:hAnsi="Arial;sans-serif"/>
          <w:b w:val="false"/>
          <w:color w:val="000000"/>
          <w:sz w:val="17"/>
        </w:rPr>
        <w:t xml:space="preserve">Forward-looking statements are subject to risks, uncertainties, assumptions, and other factors, many of which are difficult to predict and generally beyond the Company’s control, which may cause actual results to differ materially from those reflected in such forward-looking statements. There can be no assurance that future developments affecting the Company will be as anticipated by management. The Company cautions readers that a number of important factors could cause actual results to differ materially from those expressed in, implied by, or projected in such forward-looking statements. These factors include, among others, the risks and uncertainties set forth in Item 1A., “Risk Factors,” and elsewhere in SLM Corporation’s SEC Filings; increases in financing costs; limits on liquidity; increases in costs associated with compliance with laws and regulations; failure to comply with consumer protection, banking, and other laws or regulations; changes in laws, regulations, and supervisory expectations, especially in light of the goals of the current federal administration; the ability to timely develop new products and services and the acceptance of those products and services by potential and existing customers; changes in accounting standards and related changes in significant accounting estimates, including those regarding the measurement of the Company’s allowance for credit losses and the related provision expense; any adverse outcomes in significant litigation to which the Company is a party; credit risk associated with the Company’s exposure to third parties, including counterparties to the Company’s derivative transactions; the effectiveness of the Company’s risk management framework and quantitative models; changes in the terms of education loans and the educational credit marketplace (including changes resulting from new laws and the implementation of existing laws); and changes in the demand for the Company’s deposit products, including changes caused by new or emerging market entrants or technologies. The Company could also be affected by, among other things, changes in funding costs and availability; reductions to credit ratings; cybersecurity incidents, cyberattacks, risks related to artificial intelligence (“AI”), and other failures or breaches of operating systems or infrastructure, including those of third-party vendors; the societal, demographic, business, and legislative/regulatory impacts of pandemics, other public health crises, severe weather events, and/or natural disasters; damage to reputation; risks associated with restructuring initiatives, including failures to successfully implement cost-cutting programs and the adverse effects of such initiatives on the business; changes in the demand for higher education, educational financing, or financing preferences of lenders, educational institutions, students, and their families, including changes to the amount or availability of funding that educational institutions, students, or their families receive from government sources; changes in laws and regulations with respect to the student lending business and financial institutions generally; changes in banking rules and regulations, including increased capital requirements; increased competition from banks and other consumer lenders; changes in customer creditworthiness; changes in the general interest rate environment, including the rate relationships among relevant money-market instruments and those of earning assets versus funding arrangements; rates of prepayments on loans owned by the Company; and changes in general economic or macroeconomic conditions, including, but not limited to, changes due to inflation, stagflation, recession, shifts in the labor market, and changes to government policies or initiatives, such as tariffs, trade wars, wars, immigration, and student visa policies, which could negatively impact consumer or business sentiment, demand for higher education, demand for student loans, financial and business results and/or modeling, and the ability to successfully effectuate any acquisitions, strategic partnerships, or initiatives. The preparation of the Company’s consolidated financial statements also requires management to make certain estimates and assumptions, including estimates and assumptions about future events. These estimates or assumptions may prove to be incorrect.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7"/>
        </w:rPr>
      </w:pPr>
      <w:r>
        <w:rPr>
          <w:rFonts w:ascii="Arial;sans-serif" w:hAnsi="Arial;sans-serif"/>
          <w:b w:val="false"/>
          <w:color w:val="000000"/>
          <w:sz w:val="17"/>
        </w:rPr>
        <w:t>All oral and written forward-looking statements attributed to the Company are expressly qualified in their entirety by the factors, risks, and uncertainties set forth in the foregoing cautionary statements, and are made only as of the date of this press release or, where the statement is oral, as of the date stated. The Company’s past performance is not indicative of future results, and actual results may differ materially from any projections and/or estimates herein. The Company does not undertake any obligation to update, supplement, or revise any forward-looking statements or estimates to conform to actual results or changes in the Company’s expectations, nor to reflect events or circumstances that occur after the date on which such statements were made. In light of these risks, uncertainties, and assumptions, you should not place undue reliance on any forward-looking statements or estimates discussed herein.</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shd w:fill="0C003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Arial;sans-serif" w:hAnsi="Arial;sans-serif"/>
          <w:b/>
          <w:color w:val="000000"/>
          <w:sz w:val="16"/>
        </w:rPr>
      </w:pPr>
      <w:r>
        <w:rPr>
          <w:rFonts w:ascii="Arial;sans-serif" w:hAnsi="Arial;sans-serif"/>
          <w:b/>
          <w:color w:val="000000"/>
          <w:sz w:val="16"/>
        </w:rPr>
        <w:t>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75260"/>
                <wp:effectExtent l="0" t="0" r="0" b="0"/>
                <wp:wrapNone/>
                <wp:docPr id="11" name="Frame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10205" w:type="dxa"/>
        <w:jc w:val="center"/>
        <w:tblInd w:w="0" w:type="dxa"/>
        <w:tblLayout w:type="fixed"/>
        <w:tblCellMar>
          <w:top w:w="28" w:type="dxa"/>
          <w:left w:w="28" w:type="dxa"/>
          <w:bottom w:w="28" w:type="dxa"/>
          <w:right w:w="28" w:type="dxa"/>
        </w:tblCellMar>
      </w:tblPr>
      <w:tblGrid>
        <w:gridCol w:w="2457"/>
        <w:gridCol w:w="2118"/>
        <w:gridCol w:w="2128"/>
        <w:gridCol w:w="109"/>
        <w:gridCol w:w="109"/>
        <w:gridCol w:w="109"/>
        <w:gridCol w:w="211"/>
        <w:gridCol w:w="1081"/>
        <w:gridCol w:w="109"/>
        <w:gridCol w:w="109"/>
        <w:gridCol w:w="109"/>
        <w:gridCol w:w="109"/>
        <w:gridCol w:w="211"/>
        <w:gridCol w:w="1081"/>
        <w:gridCol w:w="155"/>
      </w:tblGrid>
      <w:tr>
        <w:trPr/>
        <w:tc>
          <w:tcPr>
            <w:tcW w:w="2457" w:type="dxa"/>
            <w:tcBorders/>
            <w:vAlign w:val="center"/>
          </w:tcPr>
          <w:p>
            <w:pPr>
              <w:pStyle w:val="TableContents"/>
              <w:bidi w:val="0"/>
              <w:spacing w:before="0" w:after="283"/>
              <w:jc w:val="left"/>
              <w:rPr>
                <w:sz w:val="4"/>
                <w:szCs w:val="4"/>
              </w:rPr>
            </w:pPr>
            <w:r>
              <w:rPr>
                <w:sz w:val="4"/>
                <w:szCs w:val="4"/>
              </w:rPr>
            </w:r>
          </w:p>
        </w:tc>
        <w:tc>
          <w:tcPr>
            <w:tcW w:w="2118" w:type="dxa"/>
            <w:tcBorders/>
            <w:vAlign w:val="center"/>
          </w:tcPr>
          <w:p>
            <w:pPr>
              <w:pStyle w:val="TableContents"/>
              <w:bidi w:val="0"/>
              <w:spacing w:before="0" w:after="283"/>
              <w:jc w:val="left"/>
              <w:rPr>
                <w:sz w:val="4"/>
                <w:szCs w:val="4"/>
              </w:rPr>
            </w:pPr>
            <w:r>
              <w:rPr>
                <w:sz w:val="4"/>
                <w:szCs w:val="4"/>
              </w:rPr>
            </w:r>
          </w:p>
        </w:tc>
        <w:tc>
          <w:tcPr>
            <w:tcW w:w="2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70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134F82"/>
                <w:sz w:val="20"/>
              </w:rPr>
            </w:pPr>
            <w:r>
              <w:rPr>
                <w:rFonts w:ascii="Arial;sans-serif" w:hAnsi="Arial;sans-serif"/>
                <w:b/>
                <w:color w:val="134F82"/>
                <w:sz w:val="20"/>
              </w:rPr>
              <w:t>SLM CORPORATION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0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134F82"/>
                <w:sz w:val="20"/>
              </w:rPr>
            </w:pPr>
            <w:r>
              <w:rPr>
                <w:rFonts w:ascii="Arial;sans-serif" w:hAnsi="Arial;sans-serif"/>
                <w:b/>
                <w:color w:val="134F82"/>
                <w:sz w:val="20"/>
              </w:rPr>
              <w:t>CONSOLIDATED BALANCE SHEETS (Unaudited)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0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134F82"/>
                <w:sz w:val="18"/>
              </w:rPr>
            </w:pPr>
            <w:r>
              <w:rPr>
                <w:rFonts w:ascii="Arial;sans-serif" w:hAnsi="Arial;sans-serif"/>
                <w:b/>
                <w:color w:val="134F82"/>
                <w:sz w:val="18"/>
              </w:rPr>
              <w:t>June 30,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134F82"/>
                <w:sz w:val="18"/>
              </w:rPr>
            </w:pPr>
            <w:r>
              <w:rPr>
                <w:rFonts w:ascii="Arial;sans-serif" w:hAnsi="Arial;sans-serif"/>
                <w:b/>
                <w:color w:val="134F82"/>
                <w:sz w:val="18"/>
              </w:rPr>
              <w:t>December 31,</w:t>
            </w:r>
          </w:p>
        </w:tc>
      </w:tr>
      <w:tr>
        <w:trPr/>
        <w:tc>
          <w:tcPr>
            <w:tcW w:w="670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134F82"/>
                <w:sz w:val="16"/>
              </w:rPr>
            </w:pPr>
            <w:r>
              <w:rPr>
                <w:rFonts w:ascii="Arial;sans-serif" w:hAnsi="Arial;sans-serif"/>
                <w:b/>
                <w:color w:val="134F82"/>
                <w:sz w:val="16"/>
              </w:rPr>
              <w:t>(Dollars in thousands, except share and per share amounts)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134F82"/>
                <w:sz w:val="18"/>
              </w:rPr>
            </w:pPr>
            <w:r>
              <w:rPr>
                <w:rFonts w:ascii="Arial;sans-serif" w:hAnsi="Arial;sans-serif"/>
                <w:b/>
                <w:color w:val="134F82"/>
                <w:sz w:val="18"/>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134F82"/>
                <w:sz w:val="18"/>
              </w:rPr>
            </w:pPr>
            <w:r>
              <w:rPr>
                <w:rFonts w:ascii="Arial;sans-serif" w:hAnsi="Arial;sans-serif"/>
                <w:b/>
                <w:color w:val="134F82"/>
                <w:sz w:val="18"/>
              </w:rPr>
              <w:t>2025</w:t>
            </w:r>
          </w:p>
        </w:tc>
      </w:tr>
      <w:tr>
        <w:trPr/>
        <w:tc>
          <w:tcPr>
            <w:tcW w:w="670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134F82"/>
                <w:sz w:val="18"/>
              </w:rPr>
            </w:pPr>
            <w:r>
              <w:rPr>
                <w:rFonts w:ascii="Arial;sans-serif" w:hAnsi="Arial;sans-serif"/>
                <w:b/>
                <w:color w:val="134F82"/>
                <w:sz w:val="18"/>
              </w:rPr>
              <w:t>Assets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03" w:type="dxa"/>
            <w:gridSpan w:val="3"/>
            <w:tcBorders/>
            <w:shd w:fill="EDEDEE"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Cash and cash equivalents</w:t>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DEDEE"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81" w:type="dxa"/>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4,588,129 </w:t>
            </w:r>
          </w:p>
        </w:tc>
        <w:tc>
          <w:tcPr>
            <w:tcW w:w="109"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DEDEE"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81" w:type="dxa"/>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4,241,265 </w:t>
            </w:r>
          </w:p>
        </w:tc>
        <w:tc>
          <w:tcPr>
            <w:tcW w:w="155"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Investments: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03" w:type="dxa"/>
            <w:gridSpan w:val="3"/>
            <w:tcBorders/>
            <w:shd w:fill="EDEDEE"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Trading investments at fair value (cost of $37,986 and $37,606, respectively)</w:t>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55,938 </w:t>
            </w:r>
          </w:p>
        </w:tc>
        <w:tc>
          <w:tcPr>
            <w:tcW w:w="109"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49,250 </w:t>
            </w:r>
          </w:p>
        </w:tc>
        <w:tc>
          <w:tcPr>
            <w:tcW w:w="155"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0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Available-for-sale investments at fair value (cost of $1,775,289 and $1,812,408, respectively)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1,716,712 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1,758,070 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03" w:type="dxa"/>
            <w:gridSpan w:val="3"/>
            <w:tcBorders/>
            <w:shd w:fill="EDEDEE"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investments</w:t>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107,088 </w:t>
            </w:r>
          </w:p>
        </w:tc>
        <w:tc>
          <w:tcPr>
            <w:tcW w:w="109"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115,394 </w:t>
            </w:r>
          </w:p>
        </w:tc>
        <w:tc>
          <w:tcPr>
            <w:tcW w:w="155"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investments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1,879,738 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1,922,714 </w:t>
            </w:r>
          </w:p>
        </w:tc>
        <w:tc>
          <w:tcPr>
            <w:tcW w:w="15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03" w:type="dxa"/>
            <w:gridSpan w:val="3"/>
            <w:tcBorders/>
            <w:shd w:fill="EDEDEE"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Loans held for investment (net of allowance for losses of $1,354,014 and $1,430,318, respectively)</w:t>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19,531,493 </w:t>
            </w:r>
          </w:p>
        </w:tc>
        <w:tc>
          <w:tcPr>
            <w:tcW w:w="109"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20,332,124 </w:t>
            </w:r>
          </w:p>
        </w:tc>
        <w:tc>
          <w:tcPr>
            <w:tcW w:w="155"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Loans held for sale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172,466 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933,256 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03" w:type="dxa"/>
            <w:gridSpan w:val="3"/>
            <w:tcBorders/>
            <w:shd w:fill="EDEDEE"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Restricted cash</w:t>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206,858 </w:t>
            </w:r>
          </w:p>
        </w:tc>
        <w:tc>
          <w:tcPr>
            <w:tcW w:w="109"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177,263 </w:t>
            </w:r>
          </w:p>
        </w:tc>
        <w:tc>
          <w:tcPr>
            <w:tcW w:w="155"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interest-earning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03" w:type="dxa"/>
            <w:gridSpan w:val="3"/>
            <w:tcBorders/>
            <w:shd w:fill="EDEDEE"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Accrued interest receivable</w:t>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1,602,311 </w:t>
            </w:r>
          </w:p>
        </w:tc>
        <w:tc>
          <w:tcPr>
            <w:tcW w:w="109"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1,562,811 </w:t>
            </w:r>
          </w:p>
        </w:tc>
        <w:tc>
          <w:tcPr>
            <w:tcW w:w="155"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Premises and equipment,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123,433 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122,193 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03" w:type="dxa"/>
            <w:gridSpan w:val="3"/>
            <w:tcBorders/>
            <w:shd w:fill="EDEDEE"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Goodwill and acquired intangible assets, net</w:t>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58,546 </w:t>
            </w:r>
          </w:p>
        </w:tc>
        <w:tc>
          <w:tcPr>
            <w:tcW w:w="109"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59,974 </w:t>
            </w:r>
          </w:p>
        </w:tc>
        <w:tc>
          <w:tcPr>
            <w:tcW w:w="155"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Income taxes receivable,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373,056 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347,260 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7" w:type="dxa"/>
            <w:gridSpan w:val="3"/>
            <w:tcBorders/>
            <w:vAlign w:val="center"/>
          </w:tcPr>
          <w:p>
            <w:pPr>
              <w:pStyle w:val="TableContents"/>
              <w:bidi w:val="0"/>
              <w:spacing w:before="0" w:after="283"/>
              <w:jc w:val="left"/>
              <w:rPr>
                <w:sz w:val="4"/>
                <w:szCs w:val="4"/>
              </w:rPr>
            </w:pPr>
            <w:r>
              <w:rPr>
                <w:sz w:val="4"/>
                <w:szCs w:val="4"/>
              </w:rPr>
            </w:r>
          </w:p>
        </w:tc>
      </w:tr>
      <w:tr>
        <w:trPr/>
        <w:tc>
          <w:tcPr>
            <w:tcW w:w="6703" w:type="dxa"/>
            <w:gridSpan w:val="3"/>
            <w:tcBorders/>
            <w:shd w:fill="EDEDEE"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assets</w:t>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43,304 </w:t>
            </w:r>
          </w:p>
        </w:tc>
        <w:tc>
          <w:tcPr>
            <w:tcW w:w="109"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47,315 </w:t>
            </w:r>
          </w:p>
        </w:tc>
        <w:tc>
          <w:tcPr>
            <w:tcW w:w="155"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134F82"/>
                <w:sz w:val="18"/>
              </w:rPr>
            </w:pPr>
            <w:r>
              <w:rPr>
                <w:rFonts w:ascii="Arial;sans-serif" w:hAnsi="Arial;sans-serif"/>
                <w:b/>
                <w:color w:val="134F82"/>
                <w:sz w:val="18"/>
              </w:rPr>
              <w:t>Total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8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28,579,411 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8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29,746,295 </w:t>
            </w:r>
          </w:p>
        </w:tc>
        <w:tc>
          <w:tcPr>
            <w:tcW w:w="15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03"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doub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7" w:type="dxa"/>
            <w:gridSpan w:val="3"/>
            <w:tcBorders>
              <w:top w:val="doub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134F82"/>
                <w:sz w:val="18"/>
              </w:rPr>
            </w:pPr>
            <w:r>
              <w:rPr>
                <w:rFonts w:ascii="Arial;sans-serif" w:hAnsi="Arial;sans-serif"/>
                <w:b/>
                <w:color w:val="134F82"/>
                <w:sz w:val="18"/>
              </w:rPr>
              <w:t>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03" w:type="dxa"/>
            <w:gridSpan w:val="3"/>
            <w:tcBorders/>
            <w:shd w:fill="EDEDEE"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Deposits</w:t>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DEDEE"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81" w:type="dxa"/>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19,894,501 </w:t>
            </w:r>
          </w:p>
        </w:tc>
        <w:tc>
          <w:tcPr>
            <w:tcW w:w="109"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DEDEE"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81" w:type="dxa"/>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21,060,151 </w:t>
            </w:r>
          </w:p>
        </w:tc>
        <w:tc>
          <w:tcPr>
            <w:tcW w:w="155"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Short-term borrowings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498,415 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03" w:type="dxa"/>
            <w:gridSpan w:val="3"/>
            <w:tcBorders/>
            <w:shd w:fill="EDEDEE"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Long-term borrowings</w:t>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5,844,116 </w:t>
            </w:r>
          </w:p>
        </w:tc>
        <w:tc>
          <w:tcPr>
            <w:tcW w:w="109"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5,362,494 </w:t>
            </w:r>
          </w:p>
        </w:tc>
        <w:tc>
          <w:tcPr>
            <w:tcW w:w="155"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7" w:type="dxa"/>
            <w:gridSpan w:val="3"/>
            <w:tcBorders/>
            <w:vAlign w:val="center"/>
          </w:tcPr>
          <w:p>
            <w:pPr>
              <w:pStyle w:val="TableContents"/>
              <w:bidi w:val="0"/>
              <w:spacing w:before="0" w:after="283"/>
              <w:jc w:val="left"/>
              <w:rPr>
                <w:sz w:val="4"/>
                <w:szCs w:val="4"/>
              </w:rPr>
            </w:pPr>
            <w:r>
              <w:rPr>
                <w:sz w:val="4"/>
                <w:szCs w:val="4"/>
              </w:rPr>
            </w:r>
          </w:p>
        </w:tc>
      </w:tr>
      <w:tr>
        <w:trPr/>
        <w:tc>
          <w:tcPr>
            <w:tcW w:w="67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7" w:type="dxa"/>
            <w:gridSpan w:val="3"/>
            <w:tcBorders/>
            <w:vAlign w:val="center"/>
          </w:tcPr>
          <w:p>
            <w:pPr>
              <w:pStyle w:val="TableContents"/>
              <w:bidi w:val="0"/>
              <w:spacing w:before="0" w:after="283"/>
              <w:jc w:val="left"/>
              <w:rPr>
                <w:sz w:val="4"/>
                <w:szCs w:val="4"/>
              </w:rPr>
            </w:pPr>
            <w:r>
              <w:rPr>
                <w:sz w:val="4"/>
                <w:szCs w:val="4"/>
              </w:rPr>
            </w:r>
          </w:p>
        </w:tc>
      </w:tr>
      <w:tr>
        <w:trPr/>
        <w:tc>
          <w:tcPr>
            <w:tcW w:w="67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366,125 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373,877 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03" w:type="dxa"/>
            <w:gridSpan w:val="3"/>
            <w:tcBorders/>
            <w:shd w:fill="EDEDEE"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134F82"/>
                <w:sz w:val="18"/>
              </w:rPr>
            </w:pPr>
            <w:r>
              <w:rPr>
                <w:rFonts w:ascii="Arial;sans-serif" w:hAnsi="Arial;sans-serif"/>
                <w:b/>
                <w:color w:val="134F82"/>
                <w:sz w:val="18"/>
              </w:rPr>
              <w:t>Total liabilities</w:t>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26,104,742 </w:t>
            </w:r>
          </w:p>
        </w:tc>
        <w:tc>
          <w:tcPr>
            <w:tcW w:w="109" w:type="dxa"/>
            <w:tcBorders>
              <w:top w:val="single" w:sz="8" w:space="0" w:color="000000"/>
            </w:tcBorders>
            <w:shd w:fill="EDEDEE"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27,294,937 </w:t>
            </w:r>
          </w:p>
        </w:tc>
        <w:tc>
          <w:tcPr>
            <w:tcW w:w="155" w:type="dxa"/>
            <w:tcBorders>
              <w:top w:val="single" w:sz="8" w:space="0" w:color="000000"/>
            </w:tcBorders>
            <w:shd w:fill="EDEDEE"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134F82"/>
                <w:sz w:val="18"/>
              </w:rPr>
            </w:pPr>
            <w:r>
              <w:rPr>
                <w:rFonts w:ascii="Arial;sans-serif" w:hAnsi="Arial;sans-serif"/>
                <w:b/>
                <w:color w:val="134F82"/>
                <w:sz w:val="18"/>
              </w:rPr>
              <w:t>Commitments and contingencies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03" w:type="dxa"/>
            <w:gridSpan w:val="3"/>
            <w:tcBorders/>
            <w:shd w:fill="EDEDEE"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134F82"/>
                <w:sz w:val="18"/>
              </w:rPr>
            </w:pPr>
            <w:r>
              <w:rPr>
                <w:rFonts w:ascii="Arial;sans-serif" w:hAnsi="Arial;sans-serif"/>
                <w:b/>
                <w:color w:val="134F82"/>
                <w:sz w:val="18"/>
              </w:rPr>
              <w:t>Equity</w:t>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0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Preferred stock, par value $0.20 per share, 20 million shares authorized: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03" w:type="dxa"/>
            <w:gridSpan w:val="3"/>
            <w:tcBorders/>
            <w:shd w:fill="EDEDEE"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Series B: 2.5 million and 2.5 million shares issued, respectively, at stated value of $100 per share</w:t>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251,070 </w:t>
            </w:r>
          </w:p>
        </w:tc>
        <w:tc>
          <w:tcPr>
            <w:tcW w:w="109"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251,070 </w:t>
            </w:r>
          </w:p>
        </w:tc>
        <w:tc>
          <w:tcPr>
            <w:tcW w:w="155"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0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Common stock, par value $0.20 per share, 1.125 billion shares authorized: 445.7 million and 443.2 million shares issued, respectively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89,136 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88,650 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03" w:type="dxa"/>
            <w:gridSpan w:val="3"/>
            <w:tcBorders/>
            <w:shd w:fill="EDEDEE"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Additional paid-in capital</w:t>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1,261,748 </w:t>
            </w:r>
          </w:p>
        </w:tc>
        <w:tc>
          <w:tcPr>
            <w:tcW w:w="109"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1,240,250 </w:t>
            </w:r>
          </w:p>
        </w:tc>
        <w:tc>
          <w:tcPr>
            <w:tcW w:w="155"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0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Accumulated other comprehensive loss (net of tax benefit of ($14,669) and ($13,446), respectively)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(43,790)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(40,128)</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03" w:type="dxa"/>
            <w:gridSpan w:val="3"/>
            <w:tcBorders/>
            <w:shd w:fill="EDEDEE"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Retained earnings</w:t>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5,041,088 </w:t>
            </w:r>
          </w:p>
        </w:tc>
        <w:tc>
          <w:tcPr>
            <w:tcW w:w="109"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4,734,313 </w:t>
            </w:r>
          </w:p>
        </w:tc>
        <w:tc>
          <w:tcPr>
            <w:tcW w:w="155"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SLM Corporation stockholders’ equity before treasury stock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6,599,252 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6,274,155 </w:t>
            </w:r>
          </w:p>
        </w:tc>
        <w:tc>
          <w:tcPr>
            <w:tcW w:w="15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03" w:type="dxa"/>
            <w:gridSpan w:val="3"/>
            <w:tcBorders/>
            <w:shd w:fill="EDEDEE"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Less: Common stock held in treasury at cost: 257.7 million and 244.0 million shares, respectively</w:t>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(4,124,583)</w:t>
            </w:r>
          </w:p>
        </w:tc>
        <w:tc>
          <w:tcPr>
            <w:tcW w:w="109"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(3,822,797)</w:t>
            </w:r>
          </w:p>
        </w:tc>
        <w:tc>
          <w:tcPr>
            <w:tcW w:w="155"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134F82"/>
                <w:sz w:val="18"/>
              </w:rPr>
            </w:pPr>
            <w:r>
              <w:rPr>
                <w:rFonts w:ascii="Arial;sans-serif" w:hAnsi="Arial;sans-serif"/>
                <w:b/>
                <w:color w:val="134F82"/>
                <w:sz w:val="18"/>
              </w:rPr>
              <w:t>Total 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2,474,669 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2,451,358 </w:t>
            </w:r>
          </w:p>
        </w:tc>
        <w:tc>
          <w:tcPr>
            <w:tcW w:w="15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03" w:type="dxa"/>
            <w:gridSpan w:val="3"/>
            <w:tcBorders/>
            <w:shd w:fill="EDEDEE"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134F82"/>
                <w:sz w:val="18"/>
              </w:rPr>
            </w:pPr>
            <w:r>
              <w:rPr>
                <w:rFonts w:ascii="Arial;sans-serif" w:hAnsi="Arial;sans-serif"/>
                <w:b/>
                <w:color w:val="134F82"/>
                <w:sz w:val="18"/>
              </w:rPr>
              <w:t>Total liabilities and equity</w:t>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EDEDEE"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81" w:type="dxa"/>
            <w:tcBorders>
              <w:top w:val="single" w:sz="8" w:space="0" w:color="000000"/>
              <w:bottom w:val="double" w:sz="8" w:space="0" w:color="000000"/>
            </w:tcBorders>
            <w:shd w:fill="EDEDEE"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28,579,411 </w:t>
            </w:r>
          </w:p>
        </w:tc>
        <w:tc>
          <w:tcPr>
            <w:tcW w:w="109" w:type="dxa"/>
            <w:tcBorders>
              <w:top w:val="single" w:sz="8" w:space="0" w:color="000000"/>
              <w:bottom w:val="double" w:sz="8" w:space="0" w:color="000000"/>
            </w:tcBorders>
            <w:shd w:fill="EDEDEE"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EDEDEE"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EDEDEE"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81" w:type="dxa"/>
            <w:tcBorders>
              <w:top w:val="single" w:sz="8" w:space="0" w:color="000000"/>
              <w:bottom w:val="double" w:sz="8" w:space="0" w:color="000000"/>
            </w:tcBorders>
            <w:shd w:fill="EDEDEE"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29,746,295 </w:t>
            </w:r>
          </w:p>
        </w:tc>
        <w:tc>
          <w:tcPr>
            <w:tcW w:w="155" w:type="dxa"/>
            <w:tcBorders>
              <w:top w:val="single" w:sz="8" w:space="0" w:color="000000"/>
              <w:bottom w:val="double" w:sz="8" w:space="0" w:color="000000"/>
            </w:tcBorders>
            <w:shd w:fill="EDEDEE"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31445"/>
                <wp:effectExtent l="0" t="0" r="0" b="0"/>
                <wp:wrapNone/>
                <wp:docPr id="12" name="Frame10"/>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6</w:t>
                      </w:r>
                    </w:p>
                  </w:txbxContent>
                </v:textbox>
                <w10:wrap type="none"/>
              </v:rect>
            </w:pict>
          </mc:Fallback>
        </mc:AlternateContent>
      </w:r>
    </w:p>
    <w:tbl>
      <w:tblPr>
        <w:tblW w:w="10205" w:type="dxa"/>
        <w:jc w:val="center"/>
        <w:tblInd w:w="0" w:type="dxa"/>
        <w:tblLayout w:type="fixed"/>
        <w:tblCellMar>
          <w:top w:w="28" w:type="dxa"/>
          <w:left w:w="28" w:type="dxa"/>
          <w:bottom w:w="28" w:type="dxa"/>
          <w:right w:w="28" w:type="dxa"/>
        </w:tblCellMar>
      </w:tblPr>
      <w:tblGrid>
        <w:gridCol w:w="1387"/>
        <w:gridCol w:w="1219"/>
        <w:gridCol w:w="1225"/>
        <w:gridCol w:w="114"/>
        <w:gridCol w:w="114"/>
        <w:gridCol w:w="114"/>
        <w:gridCol w:w="220"/>
        <w:gridCol w:w="864"/>
        <w:gridCol w:w="114"/>
        <w:gridCol w:w="114"/>
        <w:gridCol w:w="114"/>
        <w:gridCol w:w="114"/>
        <w:gridCol w:w="220"/>
        <w:gridCol w:w="864"/>
        <w:gridCol w:w="114"/>
        <w:gridCol w:w="109"/>
        <w:gridCol w:w="109"/>
        <w:gridCol w:w="109"/>
        <w:gridCol w:w="211"/>
        <w:gridCol w:w="976"/>
        <w:gridCol w:w="109"/>
        <w:gridCol w:w="109"/>
        <w:gridCol w:w="109"/>
        <w:gridCol w:w="109"/>
        <w:gridCol w:w="211"/>
        <w:gridCol w:w="976"/>
        <w:gridCol w:w="157"/>
      </w:tblGrid>
      <w:tr>
        <w:trPr/>
        <w:tc>
          <w:tcPr>
            <w:tcW w:w="1387" w:type="dxa"/>
            <w:tcBorders/>
            <w:vAlign w:val="center"/>
          </w:tcPr>
          <w:p>
            <w:pPr>
              <w:pStyle w:val="TableContents"/>
              <w:bidi w:val="0"/>
              <w:spacing w:before="0" w:after="283"/>
              <w:jc w:val="left"/>
              <w:rPr>
                <w:sz w:val="4"/>
                <w:szCs w:val="4"/>
              </w:rPr>
            </w:pPr>
            <w:r>
              <w:rPr>
                <w:sz w:val="4"/>
                <w:szCs w:val="4"/>
              </w:rPr>
            </w:r>
          </w:p>
        </w:tc>
        <w:tc>
          <w:tcPr>
            <w:tcW w:w="1219" w:type="dxa"/>
            <w:tcBorders/>
            <w:vAlign w:val="center"/>
          </w:tcPr>
          <w:p>
            <w:pPr>
              <w:pStyle w:val="TableContents"/>
              <w:bidi w:val="0"/>
              <w:spacing w:before="0" w:after="283"/>
              <w:jc w:val="left"/>
              <w:rPr>
                <w:sz w:val="4"/>
                <w:szCs w:val="4"/>
              </w:rPr>
            </w:pPr>
            <w:r>
              <w:rPr>
                <w:sz w:val="4"/>
                <w:szCs w:val="4"/>
              </w:rPr>
            </w:r>
          </w:p>
        </w:tc>
        <w:tc>
          <w:tcPr>
            <w:tcW w:w="1225"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86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86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8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144F82"/>
                <w:sz w:val="20"/>
              </w:rPr>
            </w:pPr>
            <w:r>
              <w:rPr>
                <w:rFonts w:ascii="Arial;sans-serif" w:hAnsi="Arial;sans-serif"/>
                <w:b/>
                <w:color w:val="144F82"/>
                <w:sz w:val="20"/>
              </w:rPr>
              <w:t>SLM CORPORATION</w:t>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1" w:type="dxa"/>
            <w:gridSpan w:val="15"/>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144F82"/>
                <w:sz w:val="20"/>
              </w:rPr>
            </w:pPr>
            <w:r>
              <w:rPr>
                <w:rFonts w:ascii="Arial;sans-serif" w:hAnsi="Arial;sans-serif"/>
                <w:b/>
                <w:color w:val="144F82"/>
                <w:sz w:val="20"/>
              </w:rPr>
              <w:t>CONSOLIDATED STATEMENTS OF INCOME (Unaudited)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383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8"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134F82"/>
                <w:sz w:val="18"/>
              </w:rPr>
            </w:pPr>
            <w:r>
              <w:rPr>
                <w:rFonts w:ascii="Arial;sans-serif" w:hAnsi="Arial;sans-serif"/>
                <w:b/>
                <w:color w:val="134F82"/>
                <w:sz w:val="18"/>
              </w:rPr>
              <w:t>Three Months Ended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7"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134F82"/>
                <w:sz w:val="18"/>
              </w:rPr>
            </w:pPr>
            <w:r>
              <w:rPr>
                <w:rFonts w:ascii="Arial;sans-serif" w:hAnsi="Arial;sans-serif"/>
                <w:b/>
                <w:color w:val="134F82"/>
                <w:sz w:val="18"/>
              </w:rPr>
              <w:t>Six Months Ended</w:t>
            </w:r>
          </w:p>
        </w:tc>
      </w:tr>
      <w:tr>
        <w:trPr/>
        <w:tc>
          <w:tcPr>
            <w:tcW w:w="383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134F82"/>
                <w:sz w:val="18"/>
              </w:rPr>
            </w:pPr>
            <w:r>
              <w:rPr>
                <w:rFonts w:ascii="Arial;sans-serif" w:hAnsi="Arial;sans-serif"/>
                <w:b/>
                <w:color w:val="134F82"/>
                <w:sz w:val="18"/>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134F82"/>
                <w:sz w:val="18"/>
              </w:rPr>
            </w:pPr>
            <w:r>
              <w:rPr>
                <w:rFonts w:ascii="Arial;sans-serif" w:hAnsi="Arial;sans-serif"/>
                <w:b/>
                <w:color w:val="134F82"/>
                <w:sz w:val="18"/>
              </w:rPr>
              <w:t>June 30,</w:t>
            </w:r>
          </w:p>
        </w:tc>
      </w:tr>
      <w:tr>
        <w:trPr/>
        <w:tc>
          <w:tcPr>
            <w:tcW w:w="38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134F82"/>
                <w:sz w:val="16"/>
              </w:rPr>
            </w:pPr>
            <w:r>
              <w:rPr>
                <w:rFonts w:ascii="Arial;sans-serif" w:hAnsi="Arial;sans-serif"/>
                <w:b/>
                <w:color w:val="134F82"/>
                <w:sz w:val="16"/>
              </w:rPr>
              <w:t>(Dollars in thousands, except share and per share amounts)</w:t>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134F82"/>
                <w:sz w:val="18"/>
              </w:rPr>
            </w:pPr>
            <w:r>
              <w:rPr>
                <w:rFonts w:ascii="Arial;sans-serif" w:hAnsi="Arial;sans-serif"/>
                <w:b/>
                <w:color w:val="134F82"/>
                <w:sz w:val="18"/>
              </w:rPr>
              <w:t>2026</w:t>
            </w:r>
          </w:p>
        </w:tc>
        <w:tc>
          <w:tcPr>
            <w:tcW w:w="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134F82"/>
                <w:sz w:val="18"/>
              </w:rPr>
            </w:pPr>
            <w:r>
              <w:rPr>
                <w:rFonts w:ascii="Arial;sans-serif" w:hAnsi="Arial;sans-serif"/>
                <w:b/>
                <w:color w:val="134F82"/>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134F82"/>
                <w:sz w:val="18"/>
              </w:rPr>
            </w:pPr>
            <w:r>
              <w:rPr>
                <w:rFonts w:ascii="Arial;sans-serif" w:hAnsi="Arial;sans-serif"/>
                <w:b/>
                <w:color w:val="134F82"/>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134F82"/>
                <w:sz w:val="18"/>
              </w:rPr>
            </w:pPr>
            <w:r>
              <w:rPr>
                <w:rFonts w:ascii="Arial;sans-serif" w:hAnsi="Arial;sans-serif"/>
                <w:b/>
                <w:color w:val="134F82"/>
                <w:sz w:val="18"/>
              </w:rPr>
              <w:t>2025</w:t>
            </w:r>
          </w:p>
        </w:tc>
      </w:tr>
      <w:tr>
        <w:trPr/>
        <w:tc>
          <w:tcPr>
            <w:tcW w:w="3831" w:type="dxa"/>
            <w:gridSpan w:val="3"/>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134F82"/>
                <w:sz w:val="18"/>
              </w:rPr>
            </w:pPr>
            <w:r>
              <w:rPr>
                <w:rFonts w:ascii="Arial;sans-serif" w:hAnsi="Arial;sans-serif"/>
                <w:b/>
                <w:color w:val="134F82"/>
                <w:sz w:val="18"/>
              </w:rPr>
              <w:t>Interest income:</w:t>
            </w:r>
          </w:p>
        </w:tc>
        <w:tc>
          <w:tcPr>
            <w:tcW w:w="342" w:type="dxa"/>
            <w:gridSpan w:val="3"/>
            <w:tcBorders>
              <w:top w:val="sing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3"/>
            <w:tcBorders>
              <w:top w:val="sing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op w:val="sing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3"/>
            <w:tcBorders>
              <w:top w:val="sing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3"/>
            <w:tcBorders>
              <w:top w:val="sing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Loans</w:t>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6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539,936 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6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597,609 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1,142,198 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1,196,376 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31" w:type="dxa"/>
            <w:gridSpan w:val="3"/>
            <w:tcBorders/>
            <w:shd w:fill="EDEDEE"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Investments</w:t>
            </w:r>
          </w:p>
        </w:tc>
        <w:tc>
          <w:tcPr>
            <w:tcW w:w="342"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17,124 </w:t>
            </w:r>
          </w:p>
        </w:tc>
        <w:tc>
          <w:tcPr>
            <w:tcW w:w="114"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13,710 </w:t>
            </w:r>
          </w:p>
        </w:tc>
        <w:tc>
          <w:tcPr>
            <w:tcW w:w="114"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32,092 </w:t>
            </w:r>
          </w:p>
        </w:tc>
        <w:tc>
          <w:tcPr>
            <w:tcW w:w="109"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28,456 </w:t>
            </w:r>
          </w:p>
        </w:tc>
        <w:tc>
          <w:tcPr>
            <w:tcW w:w="157"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Cash and cash equivalents</w:t>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44,995 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45,440 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77,074 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88,017 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31" w:type="dxa"/>
            <w:gridSpan w:val="3"/>
            <w:tcBorders/>
            <w:shd w:fill="EDEDEE"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interest income</w:t>
            </w:r>
          </w:p>
        </w:tc>
        <w:tc>
          <w:tcPr>
            <w:tcW w:w="342"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602,055 </w:t>
            </w:r>
          </w:p>
        </w:tc>
        <w:tc>
          <w:tcPr>
            <w:tcW w:w="114" w:type="dxa"/>
            <w:tcBorders>
              <w:top w:val="single" w:sz="8" w:space="0" w:color="000000"/>
            </w:tcBorders>
            <w:shd w:fill="EDEDEE"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op w:val="sing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656,759 </w:t>
            </w:r>
          </w:p>
        </w:tc>
        <w:tc>
          <w:tcPr>
            <w:tcW w:w="114" w:type="dxa"/>
            <w:tcBorders>
              <w:top w:val="single" w:sz="8" w:space="0" w:color="000000"/>
            </w:tcBorders>
            <w:shd w:fill="EDEDEE"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1,251,364 </w:t>
            </w:r>
          </w:p>
        </w:tc>
        <w:tc>
          <w:tcPr>
            <w:tcW w:w="109" w:type="dxa"/>
            <w:tcBorders>
              <w:top w:val="single" w:sz="8" w:space="0" w:color="000000"/>
            </w:tcBorders>
            <w:shd w:fill="EDEDEE"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1,312,849 </w:t>
            </w:r>
          </w:p>
        </w:tc>
        <w:tc>
          <w:tcPr>
            <w:tcW w:w="157" w:type="dxa"/>
            <w:tcBorders>
              <w:top w:val="single" w:sz="8" w:space="0" w:color="000000"/>
            </w:tcBorders>
            <w:shd w:fill="EDEDEE"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134F82"/>
                <w:sz w:val="18"/>
              </w:rPr>
            </w:pPr>
            <w:r>
              <w:rPr>
                <w:rFonts w:ascii="Arial;sans-serif" w:hAnsi="Arial;sans-serif"/>
                <w:b/>
                <w:color w:val="134F82"/>
                <w:sz w:val="18"/>
              </w:rPr>
              <w:t>Interest expense:</w:t>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31" w:type="dxa"/>
            <w:gridSpan w:val="3"/>
            <w:tcBorders/>
            <w:shd w:fill="EDEDEE"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Deposits</w:t>
            </w:r>
          </w:p>
        </w:tc>
        <w:tc>
          <w:tcPr>
            <w:tcW w:w="342"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191,078 </w:t>
            </w:r>
          </w:p>
        </w:tc>
        <w:tc>
          <w:tcPr>
            <w:tcW w:w="114"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201,478 </w:t>
            </w:r>
          </w:p>
        </w:tc>
        <w:tc>
          <w:tcPr>
            <w:tcW w:w="114"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391,687 </w:t>
            </w:r>
          </w:p>
        </w:tc>
        <w:tc>
          <w:tcPr>
            <w:tcW w:w="109"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405,617 </w:t>
            </w:r>
          </w:p>
        </w:tc>
        <w:tc>
          <w:tcPr>
            <w:tcW w:w="157"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Interest expense on short-term borrowings</w:t>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2,737 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3,613 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7,865 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7,014 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31" w:type="dxa"/>
            <w:gridSpan w:val="3"/>
            <w:tcBorders/>
            <w:shd w:fill="EDEDEE"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Interest expense on long-term borrowings</w:t>
            </w:r>
          </w:p>
        </w:tc>
        <w:tc>
          <w:tcPr>
            <w:tcW w:w="342"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75,419 </w:t>
            </w:r>
          </w:p>
        </w:tc>
        <w:tc>
          <w:tcPr>
            <w:tcW w:w="114"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74,848 </w:t>
            </w:r>
          </w:p>
        </w:tc>
        <w:tc>
          <w:tcPr>
            <w:tcW w:w="114"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143,580 </w:t>
            </w:r>
          </w:p>
        </w:tc>
        <w:tc>
          <w:tcPr>
            <w:tcW w:w="109"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148,428 </w:t>
            </w:r>
          </w:p>
        </w:tc>
        <w:tc>
          <w:tcPr>
            <w:tcW w:w="157"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31"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198"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1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4" w:type="dxa"/>
            <w:gridSpan w:val="3"/>
            <w:tcBorders/>
            <w:vAlign w:val="center"/>
          </w:tcPr>
          <w:p>
            <w:pPr>
              <w:pStyle w:val="TableContents"/>
              <w:bidi w:val="0"/>
              <w:spacing w:before="0" w:after="283"/>
              <w:jc w:val="left"/>
              <w:rPr>
                <w:sz w:val="4"/>
                <w:szCs w:val="4"/>
              </w:rPr>
            </w:pPr>
            <w:r>
              <w:rPr>
                <w:sz w:val="4"/>
                <w:szCs w:val="4"/>
              </w:rPr>
            </w:r>
          </w:p>
        </w:tc>
      </w:tr>
      <w:tr>
        <w:trPr/>
        <w:tc>
          <w:tcPr>
            <w:tcW w:w="38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interest expense</w:t>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269,234 </w:t>
            </w:r>
          </w:p>
        </w:tc>
        <w:tc>
          <w:tcPr>
            <w:tcW w:w="11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279,939 </w:t>
            </w:r>
          </w:p>
        </w:tc>
        <w:tc>
          <w:tcPr>
            <w:tcW w:w="11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543,132 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561,059 </w:t>
            </w:r>
          </w:p>
        </w:tc>
        <w:tc>
          <w:tcPr>
            <w:tcW w:w="15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31" w:type="dxa"/>
            <w:gridSpan w:val="3"/>
            <w:tcBorders/>
            <w:shd w:fill="EDEDEE"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interest income</w:t>
            </w:r>
          </w:p>
        </w:tc>
        <w:tc>
          <w:tcPr>
            <w:tcW w:w="342"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332,821 </w:t>
            </w:r>
          </w:p>
        </w:tc>
        <w:tc>
          <w:tcPr>
            <w:tcW w:w="114" w:type="dxa"/>
            <w:tcBorders>
              <w:top w:val="single" w:sz="8" w:space="0" w:color="000000"/>
            </w:tcBorders>
            <w:shd w:fill="EDEDEE"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op w:val="sing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376,820 </w:t>
            </w:r>
          </w:p>
        </w:tc>
        <w:tc>
          <w:tcPr>
            <w:tcW w:w="114" w:type="dxa"/>
            <w:tcBorders>
              <w:top w:val="single" w:sz="8" w:space="0" w:color="000000"/>
            </w:tcBorders>
            <w:shd w:fill="EDEDEE"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708,232 </w:t>
            </w:r>
          </w:p>
        </w:tc>
        <w:tc>
          <w:tcPr>
            <w:tcW w:w="109" w:type="dxa"/>
            <w:tcBorders>
              <w:top w:val="single" w:sz="8" w:space="0" w:color="000000"/>
            </w:tcBorders>
            <w:shd w:fill="EDEDEE"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751,790 </w:t>
            </w:r>
          </w:p>
        </w:tc>
        <w:tc>
          <w:tcPr>
            <w:tcW w:w="157" w:type="dxa"/>
            <w:tcBorders>
              <w:top w:val="single" w:sz="8" w:space="0" w:color="000000"/>
            </w:tcBorders>
            <w:shd w:fill="EDEDEE"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Less: provisions for credit losses</w:t>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125,663 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148,718 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114,197 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172,004 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31" w:type="dxa"/>
            <w:gridSpan w:val="3"/>
            <w:tcBorders/>
            <w:shd w:fill="EDEDEE"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interest income after provisions for credit losses</w:t>
            </w:r>
          </w:p>
        </w:tc>
        <w:tc>
          <w:tcPr>
            <w:tcW w:w="342"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207,158 </w:t>
            </w:r>
          </w:p>
        </w:tc>
        <w:tc>
          <w:tcPr>
            <w:tcW w:w="114" w:type="dxa"/>
            <w:tcBorders>
              <w:top w:val="single" w:sz="8" w:space="0" w:color="000000"/>
            </w:tcBorders>
            <w:shd w:fill="EDEDEE"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op w:val="sing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228,102 </w:t>
            </w:r>
          </w:p>
        </w:tc>
        <w:tc>
          <w:tcPr>
            <w:tcW w:w="114" w:type="dxa"/>
            <w:tcBorders>
              <w:top w:val="single" w:sz="8" w:space="0" w:color="000000"/>
            </w:tcBorders>
            <w:shd w:fill="EDEDEE"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594,035 </w:t>
            </w:r>
          </w:p>
        </w:tc>
        <w:tc>
          <w:tcPr>
            <w:tcW w:w="109" w:type="dxa"/>
            <w:tcBorders>
              <w:top w:val="single" w:sz="8" w:space="0" w:color="000000"/>
            </w:tcBorders>
            <w:shd w:fill="EDEDEE"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579,786 </w:t>
            </w:r>
          </w:p>
        </w:tc>
        <w:tc>
          <w:tcPr>
            <w:tcW w:w="157" w:type="dxa"/>
            <w:tcBorders>
              <w:top w:val="single" w:sz="8" w:space="0" w:color="000000"/>
            </w:tcBorders>
            <w:shd w:fill="EDEDEE"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134F82"/>
                <w:sz w:val="18"/>
              </w:rPr>
            </w:pPr>
            <w:r>
              <w:rPr>
                <w:rFonts w:ascii="Arial;sans-serif" w:hAnsi="Arial;sans-serif"/>
                <w:b/>
                <w:color w:val="134F82"/>
                <w:sz w:val="18"/>
              </w:rPr>
              <w:t>Non-interest income:</w:t>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31" w:type="dxa"/>
            <w:gridSpan w:val="3"/>
            <w:tcBorders/>
            <w:shd w:fill="EDEDEE"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Gains (losses) on sales of loans, net</w:t>
            </w:r>
          </w:p>
        </w:tc>
        <w:tc>
          <w:tcPr>
            <w:tcW w:w="342"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14,939 </w:t>
            </w:r>
          </w:p>
        </w:tc>
        <w:tc>
          <w:tcPr>
            <w:tcW w:w="114"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w:t>
            </w:r>
          </w:p>
        </w:tc>
        <w:tc>
          <w:tcPr>
            <w:tcW w:w="114"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161,252 </w:t>
            </w:r>
          </w:p>
        </w:tc>
        <w:tc>
          <w:tcPr>
            <w:tcW w:w="109"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187,722 </w:t>
            </w:r>
          </w:p>
        </w:tc>
        <w:tc>
          <w:tcPr>
            <w:tcW w:w="157"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Gains (losses) on securities, net</w:t>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8,001 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(2,641)</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5,603 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(13,019)</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31"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198"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1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4" w:type="dxa"/>
            <w:gridSpan w:val="3"/>
            <w:tcBorders/>
            <w:vAlign w:val="center"/>
          </w:tcPr>
          <w:p>
            <w:pPr>
              <w:pStyle w:val="TableContents"/>
              <w:bidi w:val="0"/>
              <w:spacing w:before="0" w:after="283"/>
              <w:jc w:val="left"/>
              <w:rPr>
                <w:sz w:val="4"/>
                <w:szCs w:val="4"/>
              </w:rPr>
            </w:pPr>
            <w:r>
              <w:rPr>
                <w:sz w:val="4"/>
                <w:szCs w:val="4"/>
              </w:rPr>
            </w:r>
          </w:p>
        </w:tc>
      </w:tr>
      <w:tr>
        <w:trPr/>
        <w:tc>
          <w:tcPr>
            <w:tcW w:w="3831" w:type="dxa"/>
            <w:gridSpan w:val="3"/>
            <w:tcBorders/>
            <w:shd w:fill="EDEDEE"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income</w:t>
            </w:r>
          </w:p>
        </w:tc>
        <w:tc>
          <w:tcPr>
            <w:tcW w:w="342"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45,346 </w:t>
            </w:r>
          </w:p>
        </w:tc>
        <w:tc>
          <w:tcPr>
            <w:tcW w:w="114"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29,430 </w:t>
            </w:r>
          </w:p>
        </w:tc>
        <w:tc>
          <w:tcPr>
            <w:tcW w:w="114"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86,008 </w:t>
            </w:r>
          </w:p>
        </w:tc>
        <w:tc>
          <w:tcPr>
            <w:tcW w:w="109"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58,117 </w:t>
            </w:r>
          </w:p>
        </w:tc>
        <w:tc>
          <w:tcPr>
            <w:tcW w:w="157"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non-interest income</w:t>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68,286 </w:t>
            </w:r>
          </w:p>
        </w:tc>
        <w:tc>
          <w:tcPr>
            <w:tcW w:w="11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26,776 </w:t>
            </w:r>
          </w:p>
        </w:tc>
        <w:tc>
          <w:tcPr>
            <w:tcW w:w="11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252,863 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232,820 </w:t>
            </w:r>
          </w:p>
        </w:tc>
        <w:tc>
          <w:tcPr>
            <w:tcW w:w="15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31" w:type="dxa"/>
            <w:gridSpan w:val="3"/>
            <w:tcBorders/>
            <w:shd w:fill="EDEDEE"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134F82"/>
                <w:sz w:val="18"/>
              </w:rPr>
            </w:pPr>
            <w:r>
              <w:rPr>
                <w:rFonts w:ascii="Arial;sans-serif" w:hAnsi="Arial;sans-serif"/>
                <w:b/>
                <w:color w:val="134F82"/>
                <w:sz w:val="18"/>
              </w:rPr>
              <w:t>Non-interest expenses:</w:t>
            </w:r>
          </w:p>
        </w:tc>
        <w:tc>
          <w:tcPr>
            <w:tcW w:w="342"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3"/>
            <w:tcBorders>
              <w:top w:val="sing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op w:val="sing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3"/>
            <w:tcBorders>
              <w:top w:val="sing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3"/>
            <w:tcBorders>
              <w:top w:val="sing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Operating expenses:</w:t>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31" w:type="dxa"/>
            <w:gridSpan w:val="3"/>
            <w:tcBorders/>
            <w:shd w:fill="EDEDEE"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Compensation and benefits</w:t>
            </w:r>
          </w:p>
        </w:tc>
        <w:tc>
          <w:tcPr>
            <w:tcW w:w="342"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100,253 </w:t>
            </w:r>
          </w:p>
        </w:tc>
        <w:tc>
          <w:tcPr>
            <w:tcW w:w="114"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84,900 </w:t>
            </w:r>
          </w:p>
        </w:tc>
        <w:tc>
          <w:tcPr>
            <w:tcW w:w="114"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203,699 </w:t>
            </w:r>
          </w:p>
        </w:tc>
        <w:tc>
          <w:tcPr>
            <w:tcW w:w="109"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175,730 </w:t>
            </w:r>
          </w:p>
        </w:tc>
        <w:tc>
          <w:tcPr>
            <w:tcW w:w="157"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FDIC assessment fees</w:t>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5,143 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9,782 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9,584 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22,185 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31" w:type="dxa"/>
            <w:gridSpan w:val="3"/>
            <w:tcBorders/>
            <w:shd w:fill="EDEDEE"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operating expenses</w:t>
            </w:r>
          </w:p>
        </w:tc>
        <w:tc>
          <w:tcPr>
            <w:tcW w:w="342"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88,900 </w:t>
            </w:r>
          </w:p>
        </w:tc>
        <w:tc>
          <w:tcPr>
            <w:tcW w:w="114"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71,664 </w:t>
            </w:r>
          </w:p>
        </w:tc>
        <w:tc>
          <w:tcPr>
            <w:tcW w:w="114"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151,374 </w:t>
            </w:r>
          </w:p>
        </w:tc>
        <w:tc>
          <w:tcPr>
            <w:tcW w:w="109"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122,019 </w:t>
            </w:r>
          </w:p>
        </w:tc>
        <w:tc>
          <w:tcPr>
            <w:tcW w:w="157"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operating expenses</w:t>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194,296 </w:t>
            </w:r>
          </w:p>
        </w:tc>
        <w:tc>
          <w:tcPr>
            <w:tcW w:w="11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166,346 </w:t>
            </w:r>
          </w:p>
        </w:tc>
        <w:tc>
          <w:tcPr>
            <w:tcW w:w="11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364,657 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319,934 </w:t>
            </w:r>
          </w:p>
        </w:tc>
        <w:tc>
          <w:tcPr>
            <w:tcW w:w="15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31" w:type="dxa"/>
            <w:gridSpan w:val="3"/>
            <w:tcBorders/>
            <w:shd w:fill="EDEDEE"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Acquired intangible assets amortization expense</w:t>
            </w:r>
          </w:p>
        </w:tc>
        <w:tc>
          <w:tcPr>
            <w:tcW w:w="342"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687 </w:t>
            </w:r>
          </w:p>
        </w:tc>
        <w:tc>
          <w:tcPr>
            <w:tcW w:w="114"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898 </w:t>
            </w:r>
          </w:p>
        </w:tc>
        <w:tc>
          <w:tcPr>
            <w:tcW w:w="114"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1,427 </w:t>
            </w:r>
          </w:p>
        </w:tc>
        <w:tc>
          <w:tcPr>
            <w:tcW w:w="109"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EDEDEE"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1,919 </w:t>
            </w:r>
          </w:p>
        </w:tc>
        <w:tc>
          <w:tcPr>
            <w:tcW w:w="157" w:type="dxa"/>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31"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198"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1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4" w:type="dxa"/>
            <w:gridSpan w:val="3"/>
            <w:tcBorders/>
            <w:vAlign w:val="center"/>
          </w:tcPr>
          <w:p>
            <w:pPr>
              <w:pStyle w:val="TableContents"/>
              <w:bidi w:val="0"/>
              <w:spacing w:before="0" w:after="283"/>
              <w:jc w:val="left"/>
              <w:rPr>
                <w:sz w:val="4"/>
                <w:szCs w:val="4"/>
              </w:rPr>
            </w:pPr>
            <w:r>
              <w:rPr>
                <w:sz w:val="4"/>
                <w:szCs w:val="4"/>
              </w:rPr>
            </w:r>
          </w:p>
        </w:tc>
      </w:tr>
      <w:tr>
        <w:trPr/>
        <w:tc>
          <w:tcPr>
            <w:tcW w:w="3831"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198"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1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4" w:type="dxa"/>
            <w:gridSpan w:val="3"/>
            <w:tcBorders/>
            <w:vAlign w:val="center"/>
          </w:tcPr>
          <w:p>
            <w:pPr>
              <w:pStyle w:val="TableContents"/>
              <w:bidi w:val="0"/>
              <w:spacing w:before="0" w:after="283"/>
              <w:jc w:val="left"/>
              <w:rPr>
                <w:sz w:val="4"/>
                <w:szCs w:val="4"/>
              </w:rPr>
            </w:pPr>
            <w:r>
              <w:rPr>
                <w:sz w:val="4"/>
                <w:szCs w:val="4"/>
              </w:rPr>
            </w:r>
          </w:p>
        </w:tc>
      </w:tr>
      <w:tr>
        <w:trPr/>
        <w:tc>
          <w:tcPr>
            <w:tcW w:w="38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non-interest expenses</w:t>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194,983 </w:t>
            </w:r>
          </w:p>
        </w:tc>
        <w:tc>
          <w:tcPr>
            <w:tcW w:w="11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167,244 </w:t>
            </w:r>
          </w:p>
        </w:tc>
        <w:tc>
          <w:tcPr>
            <w:tcW w:w="11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366,084 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321,853 </w:t>
            </w:r>
          </w:p>
        </w:tc>
        <w:tc>
          <w:tcPr>
            <w:tcW w:w="15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31" w:type="dxa"/>
            <w:gridSpan w:val="3"/>
            <w:tcBorders/>
            <w:shd w:fill="EDEDEE"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Income before income tax expense</w:t>
            </w:r>
          </w:p>
        </w:tc>
        <w:tc>
          <w:tcPr>
            <w:tcW w:w="342"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80,461 </w:t>
            </w:r>
          </w:p>
        </w:tc>
        <w:tc>
          <w:tcPr>
            <w:tcW w:w="114" w:type="dxa"/>
            <w:tcBorders>
              <w:top w:val="single" w:sz="8" w:space="0" w:color="000000"/>
            </w:tcBorders>
            <w:shd w:fill="EDEDEE"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op w:val="sing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87,634 </w:t>
            </w:r>
          </w:p>
        </w:tc>
        <w:tc>
          <w:tcPr>
            <w:tcW w:w="114" w:type="dxa"/>
            <w:tcBorders>
              <w:top w:val="single" w:sz="8" w:space="0" w:color="000000"/>
            </w:tcBorders>
            <w:shd w:fill="EDEDEE"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480,814 </w:t>
            </w:r>
          </w:p>
        </w:tc>
        <w:tc>
          <w:tcPr>
            <w:tcW w:w="109" w:type="dxa"/>
            <w:tcBorders>
              <w:top w:val="single" w:sz="8" w:space="0" w:color="000000"/>
            </w:tcBorders>
            <w:shd w:fill="EDEDEE"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490,753 </w:t>
            </w:r>
          </w:p>
        </w:tc>
        <w:tc>
          <w:tcPr>
            <w:tcW w:w="157" w:type="dxa"/>
            <w:tcBorders>
              <w:top w:val="single" w:sz="8" w:space="0" w:color="000000"/>
            </w:tcBorders>
            <w:shd w:fill="EDEDEE"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Income tax expense</w:t>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21,936 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16,362 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114,335 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114,941 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31" w:type="dxa"/>
            <w:gridSpan w:val="3"/>
            <w:tcBorders/>
            <w:shd w:fill="EDEDEE"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134F82"/>
                <w:sz w:val="18"/>
              </w:rPr>
            </w:pPr>
            <w:r>
              <w:rPr>
                <w:rFonts w:ascii="Arial;sans-serif" w:hAnsi="Arial;sans-serif"/>
                <w:b/>
                <w:color w:val="134F82"/>
                <w:sz w:val="18"/>
              </w:rPr>
              <w:t>Net income</w:t>
            </w:r>
          </w:p>
        </w:tc>
        <w:tc>
          <w:tcPr>
            <w:tcW w:w="342"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58,525 </w:t>
            </w:r>
          </w:p>
        </w:tc>
        <w:tc>
          <w:tcPr>
            <w:tcW w:w="114" w:type="dxa"/>
            <w:tcBorders>
              <w:top w:val="single" w:sz="8" w:space="0" w:color="000000"/>
            </w:tcBorders>
            <w:shd w:fill="EDEDEE"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op w:val="sing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71,272 </w:t>
            </w:r>
          </w:p>
        </w:tc>
        <w:tc>
          <w:tcPr>
            <w:tcW w:w="114" w:type="dxa"/>
            <w:tcBorders>
              <w:top w:val="single" w:sz="8" w:space="0" w:color="000000"/>
            </w:tcBorders>
            <w:shd w:fill="EDEDEE"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366,479 </w:t>
            </w:r>
          </w:p>
        </w:tc>
        <w:tc>
          <w:tcPr>
            <w:tcW w:w="109" w:type="dxa"/>
            <w:tcBorders>
              <w:top w:val="single" w:sz="8" w:space="0" w:color="000000"/>
            </w:tcBorders>
            <w:shd w:fill="EDEDEE"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375,812 </w:t>
            </w:r>
          </w:p>
        </w:tc>
        <w:tc>
          <w:tcPr>
            <w:tcW w:w="157" w:type="dxa"/>
            <w:tcBorders>
              <w:top w:val="single" w:sz="8" w:space="0" w:color="000000"/>
            </w:tcBorders>
            <w:shd w:fill="EDEDEE"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Preferred stock dividends</w:t>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3,581 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3,972 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7,136 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7,928 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31" w:type="dxa"/>
            <w:gridSpan w:val="3"/>
            <w:tcBorders/>
            <w:shd w:fill="EDEDEE"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134F82"/>
                <w:sz w:val="18"/>
              </w:rPr>
            </w:pPr>
            <w:r>
              <w:rPr>
                <w:rFonts w:ascii="Arial;sans-serif" w:hAnsi="Arial;sans-serif"/>
                <w:b/>
                <w:color w:val="134F82"/>
                <w:sz w:val="18"/>
              </w:rPr>
              <w:t>Net income attributable to SLM Corporation common stock</w:t>
            </w:r>
          </w:p>
        </w:tc>
        <w:tc>
          <w:tcPr>
            <w:tcW w:w="342"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64" w:type="dxa"/>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54,944 </w:t>
            </w:r>
          </w:p>
        </w:tc>
        <w:tc>
          <w:tcPr>
            <w:tcW w:w="114" w:type="dxa"/>
            <w:tcBorders>
              <w:top w:val="single" w:sz="8" w:space="0" w:color="000000"/>
            </w:tcBorders>
            <w:shd w:fill="EDEDEE"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op w:val="sing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64" w:type="dxa"/>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67,300 </w:t>
            </w:r>
          </w:p>
        </w:tc>
        <w:tc>
          <w:tcPr>
            <w:tcW w:w="114" w:type="dxa"/>
            <w:tcBorders>
              <w:top w:val="single" w:sz="8" w:space="0" w:color="000000"/>
            </w:tcBorders>
            <w:shd w:fill="EDEDEE"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359,343 </w:t>
            </w:r>
          </w:p>
        </w:tc>
        <w:tc>
          <w:tcPr>
            <w:tcW w:w="109" w:type="dxa"/>
            <w:tcBorders>
              <w:top w:val="single" w:sz="8" w:space="0" w:color="000000"/>
            </w:tcBorders>
            <w:shd w:fill="EDEDEE"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367,884 </w:t>
            </w:r>
          </w:p>
        </w:tc>
        <w:tc>
          <w:tcPr>
            <w:tcW w:w="157" w:type="dxa"/>
            <w:tcBorders>
              <w:top w:val="single" w:sz="8" w:space="0" w:color="000000"/>
            </w:tcBorders>
            <w:shd w:fill="EDEDEE"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134F82"/>
                <w:sz w:val="18"/>
              </w:rPr>
            </w:pPr>
            <w:r>
              <w:rPr>
                <w:rFonts w:ascii="Arial;sans-serif" w:hAnsi="Arial;sans-serif"/>
                <w:b/>
                <w:color w:val="134F82"/>
                <w:sz w:val="18"/>
              </w:rPr>
              <w:t>Basic earnings per common share</w:t>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64"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0.29 </w:t>
            </w:r>
          </w:p>
        </w:tc>
        <w:tc>
          <w:tcPr>
            <w:tcW w:w="114"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64"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0.32 </w:t>
            </w:r>
          </w:p>
        </w:tc>
        <w:tc>
          <w:tcPr>
            <w:tcW w:w="114"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1.87 </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1.75 </w:t>
            </w:r>
          </w:p>
        </w:tc>
        <w:tc>
          <w:tcPr>
            <w:tcW w:w="157"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31" w:type="dxa"/>
            <w:gridSpan w:val="3"/>
            <w:tcBorders/>
            <w:shd w:fill="EDEDEE"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Average common shares outstanding</w:t>
            </w:r>
          </w:p>
        </w:tc>
        <w:tc>
          <w:tcPr>
            <w:tcW w:w="342"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top w:val="doub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188,576 </w:t>
            </w:r>
          </w:p>
        </w:tc>
        <w:tc>
          <w:tcPr>
            <w:tcW w:w="114" w:type="dxa"/>
            <w:tcBorders>
              <w:top w:val="double" w:sz="8" w:space="0" w:color="000000"/>
            </w:tcBorders>
            <w:shd w:fill="EDEDEE"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op w:val="doub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top w:val="doub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209,282 </w:t>
            </w:r>
          </w:p>
        </w:tc>
        <w:tc>
          <w:tcPr>
            <w:tcW w:w="114" w:type="dxa"/>
            <w:tcBorders>
              <w:top w:val="double" w:sz="8" w:space="0" w:color="000000"/>
            </w:tcBorders>
            <w:shd w:fill="EDEDEE"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doub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191,999 </w:t>
            </w:r>
          </w:p>
        </w:tc>
        <w:tc>
          <w:tcPr>
            <w:tcW w:w="109" w:type="dxa"/>
            <w:tcBorders>
              <w:top w:val="double" w:sz="8" w:space="0" w:color="000000"/>
            </w:tcBorders>
            <w:shd w:fill="EDEDEE"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doub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209,978 </w:t>
            </w:r>
          </w:p>
        </w:tc>
        <w:tc>
          <w:tcPr>
            <w:tcW w:w="157" w:type="dxa"/>
            <w:tcBorders>
              <w:top w:val="double" w:sz="8" w:space="0" w:color="000000"/>
            </w:tcBorders>
            <w:shd w:fill="EDEDEE"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134F82"/>
                <w:sz w:val="18"/>
              </w:rPr>
            </w:pPr>
            <w:r>
              <w:rPr>
                <w:rFonts w:ascii="Arial;sans-serif" w:hAnsi="Arial;sans-serif"/>
                <w:b/>
                <w:color w:val="134F82"/>
                <w:sz w:val="18"/>
              </w:rPr>
              <w:t>Diluted earnings per common share</w:t>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64"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0.29 </w:t>
            </w:r>
          </w:p>
        </w:tc>
        <w:tc>
          <w:tcPr>
            <w:tcW w:w="114"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64"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0.32 </w:t>
            </w:r>
          </w:p>
        </w:tc>
        <w:tc>
          <w:tcPr>
            <w:tcW w:w="114"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1.85 </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1.72 </w:t>
            </w:r>
          </w:p>
        </w:tc>
        <w:tc>
          <w:tcPr>
            <w:tcW w:w="157"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31" w:type="dxa"/>
            <w:gridSpan w:val="3"/>
            <w:tcBorders/>
            <w:shd w:fill="EDEDEE"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Average common and common equivalent shares outstanding</w:t>
            </w:r>
          </w:p>
        </w:tc>
        <w:tc>
          <w:tcPr>
            <w:tcW w:w="342" w:type="dxa"/>
            <w:gridSpan w:val="3"/>
            <w:tcBorders/>
            <w:shd w:fill="EDED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top w:val="doub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190,384 </w:t>
            </w:r>
          </w:p>
        </w:tc>
        <w:tc>
          <w:tcPr>
            <w:tcW w:w="114" w:type="dxa"/>
            <w:tcBorders>
              <w:top w:val="double" w:sz="8" w:space="0" w:color="000000"/>
            </w:tcBorders>
            <w:shd w:fill="EDEDEE"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op w:val="doub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top w:val="doub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213,220 </w:t>
            </w:r>
          </w:p>
        </w:tc>
        <w:tc>
          <w:tcPr>
            <w:tcW w:w="114" w:type="dxa"/>
            <w:tcBorders>
              <w:top w:val="double" w:sz="8" w:space="0" w:color="000000"/>
            </w:tcBorders>
            <w:shd w:fill="EDEDEE"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doub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194,109 </w:t>
            </w:r>
          </w:p>
        </w:tc>
        <w:tc>
          <w:tcPr>
            <w:tcW w:w="109" w:type="dxa"/>
            <w:tcBorders>
              <w:top w:val="double" w:sz="8" w:space="0" w:color="000000"/>
            </w:tcBorders>
            <w:shd w:fill="EDEDEE"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EDED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double" w:sz="8" w:space="0" w:color="000000"/>
            </w:tcBorders>
            <w:shd w:fill="EDEDEE"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214,098 </w:t>
            </w:r>
          </w:p>
        </w:tc>
        <w:tc>
          <w:tcPr>
            <w:tcW w:w="157" w:type="dxa"/>
            <w:tcBorders>
              <w:top w:val="double" w:sz="8" w:space="0" w:color="000000"/>
            </w:tcBorders>
            <w:shd w:fill="EDEDEE"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Declared dividends per common share</w:t>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64"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0.13 </w:t>
            </w:r>
          </w:p>
        </w:tc>
        <w:tc>
          <w:tcPr>
            <w:tcW w:w="114"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op w:val="doub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64"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0.13 </w:t>
            </w:r>
          </w:p>
        </w:tc>
        <w:tc>
          <w:tcPr>
            <w:tcW w:w="114"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0.26 </w:t>
            </w:r>
          </w:p>
        </w:tc>
        <w:tc>
          <w:tcPr>
            <w:tcW w:w="109"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0.26 </w:t>
            </w:r>
          </w:p>
        </w:tc>
        <w:tc>
          <w:tcPr>
            <w:tcW w:w="157"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3831"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198"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1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4"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jc w:val="center"/>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31445"/>
                <wp:effectExtent l="0" t="0" r="0" b="0"/>
                <wp:wrapNone/>
                <wp:docPr id="13" name="Frame11"/>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7</w:t>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1.jpeg"/><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9</Pages>
  <Words>3199</Words>
  <Characters>18994</Characters>
  <CharactersWithSpaces>21972</CharactersWithSpaces>
  <Paragraphs>550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